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Evaluation Strategy &amp; Metrics Report</w:t>
        <w:br/>
        <w:t>PII Redaction Engine (Redactly)</w:t>
      </w:r>
    </w:p>
    <w:p>
      <w:pPr>
        <w:jc w:val="center"/>
      </w:pPr>
      <w:r>
        <w:rPr>
          <w:i/>
          <w:color w:val="475569"/>
          <w:sz w:val="22"/>
        </w:rPr>
        <w:t>Comprehensive Accuracy, Precision, Recall Analysis &amp; Benchmark Results</w:t>
        <w:br/>
        <w:t>Repository: https://github.com/tejasvihazarika/PII-Redaction-Tool</w:t>
      </w:r>
    </w:p>
    <w:p/>
    <w:p>
      <w:pPr>
        <w:pStyle w:val="Heading1"/>
      </w:pPr>
      <w:r>
        <w:t>1. Executive Summary</w:t>
      </w:r>
    </w:p>
    <w:p>
      <w:r>
        <w:t>This evaluation report details the quantitative performance and verification methodology of the PII Redaction Tool (Redactly). The redaction engine employs a hybrid architecture combining deterministic Regular Expressions, Contextual Window Heuristics, Institutional Dictionary Filtering, and SpaCy Statistical Named Entity Recognition (NER).</w:t>
      </w:r>
    </w:p>
    <w:p>
      <w:pPr>
        <w:pStyle w:val="Heading1"/>
      </w:pPr>
      <w:r>
        <w:t>2. Evaluation Methodology &amp; Test Benchmarks</w:t>
      </w:r>
    </w:p>
    <w:p>
      <w:r>
        <w:t>The evaluation framework assesses detection capabilities across 10 critical PII categories: Full Names, Email Addresses, Phone Numbers, Company Names, Physical Addresses, SSN / Student IDs, Credit Card Numbers, Dates of Birth, IP Addresses, and Text Dates. The test suite comprises synthesized Red Herring Prospectuses, formal placement consent forms, and noisy support ticket logs.</w:t>
      </w:r>
    </w:p>
    <w:p>
      <w:pPr>
        <w:pStyle w:val="Heading2"/>
      </w:pPr>
      <w:r>
        <w:t>3. Key Evaluation Metrics</w:t>
      </w:r>
    </w:p>
    <w:p>
      <w:r>
        <w:t>• Precision: TP / (TP + FP) — Measures the accuracy of positive redactions, ensuring non-sensitive text (e.g. form headers) is NOT falsely redacted.</w:t>
      </w:r>
    </w:p>
    <w:p>
      <w:r>
        <w:t>• Recall: TP / (TP + FN) — Measures the engine's ability to catch all sensitive PII entities present in the document.</w:t>
      </w:r>
    </w:p>
    <w:p>
      <w:r>
        <w:t>• F1-Score: 2 * (Precision * Recall) / (Precision + Recall) — The harmonic mean balancing precision and recall.</w:t>
      </w:r>
    </w:p>
    <w:p>
      <w:r>
        <w:t>• Overall Accuracy: (TP + TN) / Total Entities Evaluated.</w:t>
      </w:r>
    </w:p>
    <w:p>
      <w:pPr>
        <w:pStyle w:val="Heading1"/>
      </w:pPr>
      <w:r>
        <w:t>4. Benchmark Quantitative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PII Entity Category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Ground Truth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True Positives (TP)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False Positives (FP)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Recall (%)</w:t>
            </w:r>
          </w:p>
        </w:tc>
      </w:tr>
      <w:tr>
        <w:tc>
          <w:tcPr>
            <w:tcW w:type="dxa" w:w="1560"/>
          </w:tcPr>
          <w:p>
            <w:r>
              <w:t>Email Addresses</w:t>
            </w:r>
          </w:p>
        </w:tc>
        <w:tc>
          <w:tcPr>
            <w:tcW w:type="dxa" w:w="1560"/>
          </w:tcPr>
          <w:p>
            <w:r>
              <w:t>15</w:t>
            </w:r>
          </w:p>
        </w:tc>
        <w:tc>
          <w:tcPr>
            <w:tcW w:type="dxa" w:w="1560"/>
          </w:tcPr>
          <w:p>
            <w:r>
              <w:t>15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</w:tr>
      <w:tr>
        <w:tc>
          <w:tcPr>
            <w:tcW w:type="dxa" w:w="1560"/>
          </w:tcPr>
          <w:p>
            <w:r>
              <w:t>Phone Numbers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</w:tr>
      <w:tr>
        <w:tc>
          <w:tcPr>
            <w:tcW w:type="dxa" w:w="1560"/>
          </w:tcPr>
          <w:p>
            <w:r>
              <w:t>Full Names</w:t>
            </w:r>
          </w:p>
        </w:tc>
        <w:tc>
          <w:tcPr>
            <w:tcW w:type="dxa" w:w="1560"/>
          </w:tcPr>
          <w:p>
            <w:r>
              <w:t>35</w:t>
            </w:r>
          </w:p>
        </w:tc>
        <w:tc>
          <w:tcPr>
            <w:tcW w:type="dxa" w:w="1560"/>
          </w:tcPr>
          <w:p>
            <w:r>
              <w:t>34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97.1%</w:t>
            </w:r>
          </w:p>
        </w:tc>
        <w:tc>
          <w:tcPr>
            <w:tcW w:type="dxa" w:w="1560"/>
          </w:tcPr>
          <w:p>
            <w:r>
              <w:t>97.1%</w:t>
            </w:r>
          </w:p>
        </w:tc>
      </w:tr>
      <w:tr>
        <w:tc>
          <w:tcPr>
            <w:tcW w:type="dxa" w:w="1560"/>
          </w:tcPr>
          <w:p>
            <w:r>
              <w:t>Physical Addresses</w:t>
            </w:r>
          </w:p>
        </w:tc>
        <w:tc>
          <w:tcPr>
            <w:tcW w:type="dxa" w:w="1560"/>
          </w:tcPr>
          <w:p>
            <w:r>
              <w:t>12</w:t>
            </w:r>
          </w:p>
        </w:tc>
        <w:tc>
          <w:tcPr>
            <w:tcW w:type="dxa" w:w="1560"/>
          </w:tcPr>
          <w:p>
            <w:r>
              <w:t>11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91.7%</w:t>
            </w:r>
          </w:p>
        </w:tc>
        <w:tc>
          <w:tcPr>
            <w:tcW w:type="dxa" w:w="1560"/>
          </w:tcPr>
          <w:p>
            <w:r>
              <w:t>91.7%</w:t>
            </w:r>
          </w:p>
        </w:tc>
      </w:tr>
      <w:tr>
        <w:tc>
          <w:tcPr>
            <w:tcW w:type="dxa" w:w="1560"/>
          </w:tcPr>
          <w:p>
            <w:r>
              <w:t>Company / Institutions</w:t>
            </w:r>
          </w:p>
        </w:tc>
        <w:tc>
          <w:tcPr>
            <w:tcW w:type="dxa" w:w="1560"/>
          </w:tcPr>
          <w:p>
            <w:r>
              <w:t>18</w:t>
            </w:r>
          </w:p>
        </w:tc>
        <w:tc>
          <w:tcPr>
            <w:tcW w:type="dxa" w:w="1560"/>
          </w:tcPr>
          <w:p>
            <w:r>
              <w:t>17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94.4%</w:t>
            </w:r>
          </w:p>
        </w:tc>
        <w:tc>
          <w:tcPr>
            <w:tcW w:type="dxa" w:w="1560"/>
          </w:tcPr>
          <w:p>
            <w:r>
              <w:t>94.4%</w:t>
            </w:r>
          </w:p>
        </w:tc>
      </w:tr>
      <w:tr>
        <w:tc>
          <w:tcPr>
            <w:tcW w:type="dxa" w:w="1560"/>
          </w:tcPr>
          <w:p>
            <w:r>
              <w:t>SSN / Student SAP IDs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</w:tr>
      <w:tr>
        <w:tc>
          <w:tcPr>
            <w:tcW w:type="dxa" w:w="1560"/>
          </w:tcPr>
          <w:p>
            <w:r>
              <w:t>Dates of Birth / Dates</w:t>
            </w:r>
          </w:p>
        </w:tc>
        <w:tc>
          <w:tcPr>
            <w:tcW w:type="dxa" w:w="1560"/>
          </w:tcPr>
          <w:p>
            <w:r>
              <w:t>14</w:t>
            </w:r>
          </w:p>
        </w:tc>
        <w:tc>
          <w:tcPr>
            <w:tcW w:type="dxa" w:w="1560"/>
          </w:tcPr>
          <w:p>
            <w:r>
              <w:t>14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</w:tr>
      <w:tr>
        <w:tc>
          <w:tcPr>
            <w:tcW w:type="dxa" w:w="1560"/>
          </w:tcPr>
          <w:p>
            <w:r>
              <w:t>IP Addresses</w:t>
            </w:r>
          </w:p>
        </w:tc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</w:tr>
      <w:tr>
        <w:tc>
          <w:tcPr>
            <w:tcW w:type="dxa" w:w="1560"/>
          </w:tcPr>
          <w:p>
            <w:r>
              <w:t>Credit Card Numbers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</w:tr>
    </w:tbl>
    <w:p/>
    <w:p>
      <w:r>
        <w:rPr>
          <w:b/>
          <w:sz w:val="24"/>
        </w:rPr>
        <w:t>Overall Benchmark Performance Summary:</w:t>
        <w:br/>
        <w:t>• Macro Precision: 98.1%</w:t>
        <w:br/>
        <w:t>• Macro Recall: 98.1%</w:t>
        <w:br/>
        <w:t>• Macro F1-Score: 98.1%</w:t>
        <w:br/>
        <w:t>• System Accuracy: 98.5%</w:t>
      </w:r>
    </w:p>
    <w:p>
      <w:pPr>
        <w:pStyle w:val="Heading1"/>
      </w:pPr>
      <w:r>
        <w:t>5. Tradeoffs &amp; Error Analysis</w:t>
      </w:r>
    </w:p>
    <w:p>
      <w:r>
        <w:t>1. High Precision vs. Recall Tradeoff: To eliminate false positives on institutional form headers (e.g. "Office of Career Services"), an explicit institutional blacklist was incorporated. This prevents corporate suffix matchers from over-flagging academic departments.</w:t>
      </w:r>
    </w:p>
    <w:p>
      <w:r>
        <w:t>2. Contextual Sliding Window for Names: Indian multi-part names (e.g. "Tejasvi Hazarika", "Dipankar Hazarika") are detected via contextual triggers ("I, [Name]", "Name: [Name]") and explicit surname lexicons, achieving high recall without flagging standard capitalized English text.</w:t>
      </w:r>
    </w:p>
    <w:p>
      <w:pPr>
        <w:pStyle w:val="Heading1"/>
      </w:pPr>
      <w:r>
        <w:t>6. Extensibility &amp; Architecture</w:t>
      </w:r>
    </w:p>
    <w:p>
      <w:r>
        <w:t>The system is designed with modular separation:</w:t>
        <w:br/>
        <w:t>• Python FastAPI Backend (redact_pii.py): Handles server-side batch document &amp; docx processing.</w:t>
        <w:br/>
        <w:t>• Client-Side Scanner (piiScanner.js): Mirrors backend logic for zero-latency browser scanning.</w:t>
        <w:br/>
        <w:t>• Adding a New PII Type: Simply register a new pattern in `regexes` array and `isFalsePositive` validator.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