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7C74" w14:textId="3EE386C4" w:rsidR="00AC323A" w:rsidRPr="00AC323A" w:rsidRDefault="00AC323A" w:rsidP="00CE311C">
      <w:pP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t xml:space="preserve">   </w:t>
      </w:r>
      <w: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t>Azure Data Engineering</w:t>
      </w:r>
    </w:p>
    <w:p w14:paraId="3A1EA6FA" w14:textId="0B7DFDE2" w:rsidR="00CE311C" w:rsidRDefault="00AC323A" w:rsidP="00CE311C">
      <w:pPr>
        <w:rPr>
          <w:b/>
          <w:bCs/>
        </w:rPr>
      </w:pPr>
      <w:r w:rsidRPr="00AC323A">
        <w:rPr>
          <w:b/>
          <w:bCs/>
        </w:rPr>
        <w:t>Homework -</w:t>
      </w:r>
      <w:r w:rsidR="00CE2717">
        <w:rPr>
          <w:b/>
          <w:bCs/>
        </w:rPr>
        <w:t>4</w:t>
      </w:r>
      <w:r w:rsidR="00D42980">
        <w:rPr>
          <w:b/>
          <w:bCs/>
        </w:rPr>
        <w:t xml:space="preserve"> </w:t>
      </w:r>
      <w:r w:rsidRPr="00AC323A">
        <w:rPr>
          <w:b/>
          <w:bCs/>
        </w:rPr>
        <w:t xml:space="preserve">                                                                                                                                                 Oct 2</w:t>
      </w:r>
      <w:r w:rsidR="00CE2717">
        <w:rPr>
          <w:b/>
          <w:bCs/>
        </w:rPr>
        <w:t>7</w:t>
      </w:r>
    </w:p>
    <w:p w14:paraId="3692E45D" w14:textId="77777777" w:rsidR="004D5611" w:rsidRPr="004D5611" w:rsidRDefault="004D5611" w:rsidP="004D5611">
      <w:pPr>
        <w:pStyle w:val="Heading2"/>
      </w:pPr>
      <w:r w:rsidRPr="004D5611">
        <w:t>What is ETL?</w:t>
      </w:r>
    </w:p>
    <w:p w14:paraId="3C4F9EAC" w14:textId="77777777" w:rsidR="004D5611" w:rsidRPr="00652FB1" w:rsidRDefault="004D5611" w:rsidP="00652FB1">
      <w:pPr>
        <w:pStyle w:val="ListParagraph"/>
        <w:numPr>
          <w:ilvl w:val="0"/>
          <w:numId w:val="14"/>
        </w:numPr>
        <w:rPr>
          <w:sz w:val="22"/>
          <w:szCs w:val="22"/>
        </w:rPr>
      </w:pPr>
      <w:r w:rsidRPr="00652FB1">
        <w:rPr>
          <w:sz w:val="22"/>
          <w:szCs w:val="22"/>
        </w:rPr>
        <w:t>ETL is the process of moving data from multiple sources, cleaning and standardizing it, then loading it into a destination system for analysis.</w:t>
      </w:r>
    </w:p>
    <w:p w14:paraId="558712FC" w14:textId="77777777" w:rsidR="004D5611" w:rsidRPr="00652FB1" w:rsidRDefault="004D5611" w:rsidP="00652FB1">
      <w:pPr>
        <w:pStyle w:val="ListParagraph"/>
        <w:numPr>
          <w:ilvl w:val="0"/>
          <w:numId w:val="14"/>
        </w:numPr>
        <w:rPr>
          <w:sz w:val="22"/>
          <w:szCs w:val="22"/>
        </w:rPr>
      </w:pPr>
      <w:r w:rsidRPr="00652FB1">
        <w:rPr>
          <w:sz w:val="22"/>
          <w:szCs w:val="22"/>
        </w:rPr>
        <w:t>ETL stands for Extract, Transform, Load—the three-step process for moving data from source systems into destinations like data warehouses or analytics platforms:</w:t>
      </w:r>
    </w:p>
    <w:p w14:paraId="39F039F8" w14:textId="77777777" w:rsidR="004D5611" w:rsidRPr="00652FB1" w:rsidRDefault="004D5611" w:rsidP="00652FB1">
      <w:pPr>
        <w:pStyle w:val="ListParagraph"/>
        <w:numPr>
          <w:ilvl w:val="0"/>
          <w:numId w:val="14"/>
        </w:numPr>
        <w:rPr>
          <w:sz w:val="22"/>
          <w:szCs w:val="22"/>
        </w:rPr>
      </w:pPr>
      <w:r w:rsidRPr="00652FB1">
        <w:rPr>
          <w:sz w:val="22"/>
          <w:szCs w:val="22"/>
        </w:rPr>
        <w:t xml:space="preserve">Copying data from source </w:t>
      </w:r>
      <w:proofErr w:type="spellStart"/>
      <w:r w:rsidRPr="00652FB1">
        <w:rPr>
          <w:sz w:val="22"/>
          <w:szCs w:val="22"/>
        </w:rPr>
        <w:t>systems,Cleaning</w:t>
      </w:r>
      <w:proofErr w:type="spellEnd"/>
      <w:r w:rsidRPr="00652FB1">
        <w:rPr>
          <w:sz w:val="22"/>
          <w:szCs w:val="22"/>
        </w:rPr>
        <w:t>, standardizing, and restructuring the data and Moving the processed data into the target system.</w:t>
      </w:r>
    </w:p>
    <w:p w14:paraId="4FECB290" w14:textId="20BF0DD7" w:rsidR="004D5611" w:rsidRPr="00652FB1" w:rsidRDefault="004D5611" w:rsidP="00652FB1">
      <w:pPr>
        <w:pStyle w:val="ListParagraph"/>
        <w:numPr>
          <w:ilvl w:val="0"/>
          <w:numId w:val="14"/>
        </w:numPr>
        <w:rPr>
          <w:sz w:val="22"/>
          <w:szCs w:val="22"/>
        </w:rPr>
      </w:pPr>
      <w:r w:rsidRPr="00652FB1">
        <w:rPr>
          <w:sz w:val="22"/>
          <w:szCs w:val="22"/>
        </w:rPr>
        <w:t>ETL solves common business data challenges like Data silos</w:t>
      </w:r>
      <w:r w:rsidRPr="00652FB1">
        <w:rPr>
          <w:sz w:val="22"/>
          <w:szCs w:val="22"/>
        </w:rPr>
        <w:t xml:space="preserve"> </w:t>
      </w:r>
      <w:r w:rsidRPr="00652FB1">
        <w:rPr>
          <w:sz w:val="22"/>
          <w:szCs w:val="22"/>
        </w:rPr>
        <w:t>(Information trapped in separate systems becomes accessible),</w:t>
      </w:r>
      <w:r w:rsidRPr="00652FB1">
        <w:rPr>
          <w:sz w:val="22"/>
          <w:szCs w:val="22"/>
        </w:rPr>
        <w:t xml:space="preserve"> </w:t>
      </w:r>
      <w:r w:rsidRPr="00652FB1">
        <w:rPr>
          <w:sz w:val="22"/>
          <w:szCs w:val="22"/>
        </w:rPr>
        <w:t>Inconsistent formats, Poor data quality, Performance issues</w:t>
      </w:r>
    </w:p>
    <w:p w14:paraId="632A0AD1" w14:textId="5C82BB35" w:rsidR="004D5611" w:rsidRPr="00652FB1" w:rsidRDefault="004D5611" w:rsidP="00652FB1">
      <w:pPr>
        <w:pStyle w:val="ListParagraph"/>
        <w:numPr>
          <w:ilvl w:val="0"/>
          <w:numId w:val="14"/>
        </w:numPr>
        <w:rPr>
          <w:sz w:val="22"/>
          <w:szCs w:val="22"/>
        </w:rPr>
      </w:pPr>
      <w:r w:rsidRPr="00652FB1">
        <w:rPr>
          <w:sz w:val="22"/>
          <w:szCs w:val="22"/>
        </w:rPr>
        <w:t>Common ETL Use Cases: Data warehousing, Business intelligence, Data migration, Compliance reporting.</w:t>
      </w:r>
    </w:p>
    <w:p w14:paraId="5EEDEF08" w14:textId="77777777" w:rsidR="004D5611" w:rsidRPr="004D5611" w:rsidRDefault="004D5611" w:rsidP="004D5611">
      <w:pPr>
        <w:pStyle w:val="Heading2"/>
      </w:pPr>
      <w:r w:rsidRPr="004D5611">
        <w:t>What is ELT?</w:t>
      </w:r>
    </w:p>
    <w:p w14:paraId="68F7F074" w14:textId="77777777" w:rsidR="004D5611" w:rsidRPr="00652FB1" w:rsidRDefault="004D5611" w:rsidP="00652FB1">
      <w:pPr>
        <w:pStyle w:val="ListParagraph"/>
        <w:numPr>
          <w:ilvl w:val="0"/>
          <w:numId w:val="13"/>
        </w:numPr>
        <w:rPr>
          <w:sz w:val="22"/>
          <w:szCs w:val="22"/>
        </w:rPr>
      </w:pPr>
      <w:r w:rsidRPr="00652FB1">
        <w:rPr>
          <w:sz w:val="22"/>
          <w:szCs w:val="22"/>
        </w:rPr>
        <w:t>A newer approach called ELT (Extract, Load, Transform) changes the order, Load raw data first, then transform as needed, better for big data and cloud platforms with powerful processing capabilities.</w:t>
      </w:r>
    </w:p>
    <w:p w14:paraId="0AD07739" w14:textId="77777777" w:rsidR="004D5611" w:rsidRPr="00652FB1" w:rsidRDefault="004D5611" w:rsidP="00652FB1">
      <w:pPr>
        <w:pStyle w:val="ListParagraph"/>
        <w:numPr>
          <w:ilvl w:val="0"/>
          <w:numId w:val="13"/>
        </w:numPr>
        <w:rPr>
          <w:sz w:val="22"/>
          <w:szCs w:val="22"/>
        </w:rPr>
      </w:pPr>
      <w:r w:rsidRPr="00652FB1">
        <w:rPr>
          <w:sz w:val="22"/>
          <w:szCs w:val="22"/>
        </w:rPr>
        <w:t>ELT is most useful for processing the large data sets required for business intelligence (BI) and big data analytics. Nonrelational and unstructured data is more conducive for an ELT approach because the data is copied "as is" from the source.</w:t>
      </w:r>
    </w:p>
    <w:p w14:paraId="7A7A7A74" w14:textId="77777777" w:rsidR="004D5611" w:rsidRPr="00652FB1" w:rsidRDefault="004D5611" w:rsidP="00652FB1">
      <w:pPr>
        <w:pStyle w:val="ListParagraph"/>
        <w:numPr>
          <w:ilvl w:val="0"/>
          <w:numId w:val="13"/>
        </w:numPr>
        <w:rPr>
          <w:sz w:val="22"/>
          <w:szCs w:val="22"/>
        </w:rPr>
      </w:pPr>
      <w:r w:rsidRPr="00652FB1">
        <w:rPr>
          <w:sz w:val="22"/>
          <w:szCs w:val="22"/>
        </w:rPr>
        <w:t>Data type conversion may need to be performed as part of the load process if the source and target data stores do not support all the same data types. Such problems can also occur when moving data from one relational database management system (DBMS) to another, such as say Oracle to Db2, because the data types supported differ from DBMS to DBMS.</w:t>
      </w:r>
    </w:p>
    <w:p w14:paraId="791EE102" w14:textId="77777777" w:rsidR="00652FB1" w:rsidRDefault="004D5611" w:rsidP="00652FB1">
      <w:pPr>
        <w:pStyle w:val="ListParagraph"/>
        <w:numPr>
          <w:ilvl w:val="0"/>
          <w:numId w:val="13"/>
        </w:numPr>
        <w:rPr>
          <w:sz w:val="22"/>
          <w:szCs w:val="22"/>
        </w:rPr>
      </w:pPr>
      <w:r w:rsidRPr="00652FB1">
        <w:rPr>
          <w:sz w:val="22"/>
          <w:szCs w:val="22"/>
        </w:rPr>
        <w:t>With an ELT approach, a data extraction tool is used to obtain data from a source or sources, and the extracted data is stored in a staging area or database.</w:t>
      </w:r>
    </w:p>
    <w:p w14:paraId="19308D42" w14:textId="3687D673" w:rsidR="004D5611" w:rsidRPr="00652FB1" w:rsidRDefault="004D5611" w:rsidP="00652FB1">
      <w:pPr>
        <w:pStyle w:val="ListParagraph"/>
        <w:numPr>
          <w:ilvl w:val="0"/>
          <w:numId w:val="13"/>
        </w:numPr>
        <w:rPr>
          <w:sz w:val="22"/>
          <w:szCs w:val="22"/>
        </w:rPr>
      </w:pPr>
      <w:r w:rsidRPr="00652FB1">
        <w:rPr>
          <w:sz w:val="22"/>
          <w:szCs w:val="22"/>
        </w:rPr>
        <w:t>Any required business rules and data integrity checks can be run on the data in the staging area before it is loaded into the data warehouse. All data transformations occur in the data warehouse after the data is loaded.</w:t>
      </w:r>
    </w:p>
    <w:p w14:paraId="5A22E5F2" w14:textId="77777777" w:rsidR="004D5611" w:rsidRDefault="004D5611" w:rsidP="004D5611">
      <w:pPr>
        <w:rPr>
          <w:sz w:val="22"/>
          <w:szCs w:val="22"/>
        </w:rPr>
      </w:pPr>
    </w:p>
    <w:p w14:paraId="4C04E8EB" w14:textId="77777777" w:rsidR="004D5611" w:rsidRDefault="004D5611" w:rsidP="004D5611">
      <w:pPr>
        <w:rPr>
          <w:sz w:val="22"/>
          <w:szCs w:val="22"/>
        </w:rPr>
      </w:pPr>
    </w:p>
    <w:p w14:paraId="066110B7" w14:textId="77777777" w:rsidR="004D5611" w:rsidRDefault="004D5611" w:rsidP="004D5611">
      <w:pPr>
        <w:rPr>
          <w:sz w:val="22"/>
          <w:szCs w:val="22"/>
        </w:rPr>
      </w:pPr>
    </w:p>
    <w:p w14:paraId="06BAEED2" w14:textId="77777777" w:rsidR="004D5611" w:rsidRDefault="004D5611" w:rsidP="004D5611">
      <w:pPr>
        <w:rPr>
          <w:sz w:val="22"/>
          <w:szCs w:val="22"/>
        </w:rPr>
      </w:pPr>
    </w:p>
    <w:p w14:paraId="37F79398" w14:textId="2A02C0F4" w:rsidR="004D5611" w:rsidRPr="007C28BC" w:rsidRDefault="004D5611" w:rsidP="007C28BC">
      <w:pPr>
        <w:pStyle w:val="Heading2"/>
      </w:pPr>
      <w:r w:rsidRPr="004D5611">
        <w:lastRenderedPageBreak/>
        <w:t>Key differences between ETL and ELT.</w:t>
      </w:r>
    </w:p>
    <w:tbl>
      <w:tblPr>
        <w:tblW w:w="8815" w:type="dxa"/>
        <w:tblLook w:val="04A0" w:firstRow="1" w:lastRow="0" w:firstColumn="1" w:lastColumn="0" w:noHBand="0" w:noVBand="1"/>
      </w:tblPr>
      <w:tblGrid>
        <w:gridCol w:w="1677"/>
        <w:gridCol w:w="3538"/>
        <w:gridCol w:w="3600"/>
      </w:tblGrid>
      <w:tr w:rsidR="007C28BC" w:rsidRPr="007C28BC" w14:paraId="5A4A9D55" w14:textId="77777777" w:rsidTr="007C28BC">
        <w:trPr>
          <w:trHeight w:val="828"/>
        </w:trPr>
        <w:tc>
          <w:tcPr>
            <w:tcW w:w="1677" w:type="dxa"/>
            <w:tcBorders>
              <w:top w:val="single" w:sz="4" w:space="0" w:color="auto"/>
              <w:left w:val="single" w:sz="4" w:space="0" w:color="auto"/>
              <w:bottom w:val="single" w:sz="4" w:space="0" w:color="auto"/>
              <w:right w:val="single" w:sz="4" w:space="0" w:color="auto"/>
            </w:tcBorders>
            <w:shd w:val="clear" w:color="000000" w:fill="F1F4F7"/>
            <w:vAlign w:val="center"/>
            <w:hideMark/>
          </w:tcPr>
          <w:p w14:paraId="1F15B172"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Feature</w:t>
            </w:r>
          </w:p>
        </w:tc>
        <w:tc>
          <w:tcPr>
            <w:tcW w:w="3538" w:type="dxa"/>
            <w:tcBorders>
              <w:top w:val="single" w:sz="4" w:space="0" w:color="auto"/>
              <w:left w:val="nil"/>
              <w:bottom w:val="single" w:sz="4" w:space="0" w:color="auto"/>
              <w:right w:val="single" w:sz="4" w:space="0" w:color="auto"/>
            </w:tcBorders>
            <w:shd w:val="clear" w:color="000000" w:fill="F1F4F7"/>
            <w:vAlign w:val="center"/>
            <w:hideMark/>
          </w:tcPr>
          <w:p w14:paraId="1E451452"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ETL</w:t>
            </w:r>
          </w:p>
        </w:tc>
        <w:tc>
          <w:tcPr>
            <w:tcW w:w="3600" w:type="dxa"/>
            <w:tcBorders>
              <w:top w:val="single" w:sz="4" w:space="0" w:color="auto"/>
              <w:left w:val="nil"/>
              <w:bottom w:val="single" w:sz="4" w:space="0" w:color="auto"/>
              <w:right w:val="single" w:sz="4" w:space="0" w:color="auto"/>
            </w:tcBorders>
            <w:shd w:val="clear" w:color="000000" w:fill="F1F4F7"/>
            <w:vAlign w:val="center"/>
            <w:hideMark/>
          </w:tcPr>
          <w:p w14:paraId="5B294BB7"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ELT</w:t>
            </w:r>
          </w:p>
        </w:tc>
      </w:tr>
      <w:tr w:rsidR="007C28BC" w:rsidRPr="007C28BC" w14:paraId="60C97E2D" w14:textId="77777777" w:rsidTr="007C28BC">
        <w:trPr>
          <w:trHeight w:val="512"/>
        </w:trPr>
        <w:tc>
          <w:tcPr>
            <w:tcW w:w="1677" w:type="dxa"/>
            <w:tcBorders>
              <w:top w:val="nil"/>
              <w:left w:val="single" w:sz="4" w:space="0" w:color="auto"/>
              <w:bottom w:val="single" w:sz="4" w:space="0" w:color="auto"/>
              <w:right w:val="single" w:sz="4" w:space="0" w:color="auto"/>
            </w:tcBorders>
            <w:shd w:val="clear" w:color="000000" w:fill="FFFFFF"/>
            <w:vAlign w:val="center"/>
            <w:hideMark/>
          </w:tcPr>
          <w:p w14:paraId="7B82B2F9"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Transformation Stage</w:t>
            </w:r>
          </w:p>
        </w:tc>
        <w:tc>
          <w:tcPr>
            <w:tcW w:w="3538" w:type="dxa"/>
            <w:tcBorders>
              <w:top w:val="nil"/>
              <w:left w:val="nil"/>
              <w:bottom w:val="single" w:sz="4" w:space="0" w:color="auto"/>
              <w:right w:val="single" w:sz="4" w:space="0" w:color="auto"/>
            </w:tcBorders>
            <w:shd w:val="clear" w:color="000000" w:fill="FFFFFF"/>
            <w:vAlign w:val="center"/>
            <w:hideMark/>
          </w:tcPr>
          <w:p w14:paraId="6018E647"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Before loading</w:t>
            </w:r>
          </w:p>
        </w:tc>
        <w:tc>
          <w:tcPr>
            <w:tcW w:w="3600" w:type="dxa"/>
            <w:tcBorders>
              <w:top w:val="nil"/>
              <w:left w:val="nil"/>
              <w:bottom w:val="single" w:sz="4" w:space="0" w:color="auto"/>
              <w:right w:val="single" w:sz="4" w:space="0" w:color="auto"/>
            </w:tcBorders>
            <w:shd w:val="clear" w:color="000000" w:fill="FFFFFF"/>
            <w:vAlign w:val="center"/>
            <w:hideMark/>
          </w:tcPr>
          <w:p w14:paraId="36471A52"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After loading</w:t>
            </w:r>
          </w:p>
        </w:tc>
      </w:tr>
      <w:tr w:rsidR="007C28BC" w:rsidRPr="007C28BC" w14:paraId="4213EBA5" w14:textId="77777777" w:rsidTr="007C28BC">
        <w:trPr>
          <w:trHeight w:val="602"/>
        </w:trPr>
        <w:tc>
          <w:tcPr>
            <w:tcW w:w="1677" w:type="dxa"/>
            <w:tcBorders>
              <w:top w:val="nil"/>
              <w:left w:val="single" w:sz="4" w:space="0" w:color="auto"/>
              <w:bottom w:val="single" w:sz="4" w:space="0" w:color="auto"/>
              <w:right w:val="single" w:sz="4" w:space="0" w:color="auto"/>
            </w:tcBorders>
            <w:shd w:val="clear" w:color="000000" w:fill="F1F4F7"/>
            <w:vAlign w:val="center"/>
            <w:hideMark/>
          </w:tcPr>
          <w:p w14:paraId="2CFA5BA4"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Processing Power</w:t>
            </w:r>
          </w:p>
        </w:tc>
        <w:tc>
          <w:tcPr>
            <w:tcW w:w="3538" w:type="dxa"/>
            <w:tcBorders>
              <w:top w:val="nil"/>
              <w:left w:val="nil"/>
              <w:bottom w:val="single" w:sz="4" w:space="0" w:color="auto"/>
              <w:right w:val="single" w:sz="4" w:space="0" w:color="auto"/>
            </w:tcBorders>
            <w:shd w:val="clear" w:color="000000" w:fill="F1F4F7"/>
            <w:vAlign w:val="center"/>
            <w:hideMark/>
          </w:tcPr>
          <w:p w14:paraId="1B9A6D82"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Limited by ETL tool/server</w:t>
            </w:r>
          </w:p>
        </w:tc>
        <w:tc>
          <w:tcPr>
            <w:tcW w:w="3600" w:type="dxa"/>
            <w:tcBorders>
              <w:top w:val="nil"/>
              <w:left w:val="nil"/>
              <w:bottom w:val="single" w:sz="4" w:space="0" w:color="auto"/>
              <w:right w:val="single" w:sz="4" w:space="0" w:color="auto"/>
            </w:tcBorders>
            <w:shd w:val="clear" w:color="000000" w:fill="F1F4F7"/>
            <w:vAlign w:val="center"/>
            <w:hideMark/>
          </w:tcPr>
          <w:p w14:paraId="0E67E048"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Enhanced by cloud data warehouse</w:t>
            </w:r>
          </w:p>
        </w:tc>
      </w:tr>
      <w:tr w:rsidR="007C28BC" w:rsidRPr="007C28BC" w14:paraId="1D75C009" w14:textId="77777777" w:rsidTr="007C28BC">
        <w:trPr>
          <w:trHeight w:val="530"/>
        </w:trPr>
        <w:tc>
          <w:tcPr>
            <w:tcW w:w="1677" w:type="dxa"/>
            <w:tcBorders>
              <w:top w:val="nil"/>
              <w:left w:val="single" w:sz="4" w:space="0" w:color="auto"/>
              <w:bottom w:val="single" w:sz="4" w:space="0" w:color="auto"/>
              <w:right w:val="single" w:sz="4" w:space="0" w:color="auto"/>
            </w:tcBorders>
            <w:shd w:val="clear" w:color="000000" w:fill="FFFFFF"/>
            <w:vAlign w:val="center"/>
            <w:hideMark/>
          </w:tcPr>
          <w:p w14:paraId="1143E958"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Scalability</w:t>
            </w:r>
          </w:p>
        </w:tc>
        <w:tc>
          <w:tcPr>
            <w:tcW w:w="3538" w:type="dxa"/>
            <w:tcBorders>
              <w:top w:val="nil"/>
              <w:left w:val="nil"/>
              <w:bottom w:val="single" w:sz="4" w:space="0" w:color="auto"/>
              <w:right w:val="single" w:sz="4" w:space="0" w:color="auto"/>
            </w:tcBorders>
            <w:shd w:val="clear" w:color="000000" w:fill="FFFFFF"/>
            <w:vAlign w:val="center"/>
            <w:hideMark/>
          </w:tcPr>
          <w:p w14:paraId="755B849F"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Less scalable</w:t>
            </w:r>
          </w:p>
        </w:tc>
        <w:tc>
          <w:tcPr>
            <w:tcW w:w="3600" w:type="dxa"/>
            <w:tcBorders>
              <w:top w:val="nil"/>
              <w:left w:val="nil"/>
              <w:bottom w:val="single" w:sz="4" w:space="0" w:color="auto"/>
              <w:right w:val="single" w:sz="4" w:space="0" w:color="auto"/>
            </w:tcBorders>
            <w:shd w:val="clear" w:color="000000" w:fill="FFFFFF"/>
            <w:vAlign w:val="center"/>
            <w:hideMark/>
          </w:tcPr>
          <w:p w14:paraId="52FBB5AE"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Highly scalable</w:t>
            </w:r>
          </w:p>
        </w:tc>
      </w:tr>
      <w:tr w:rsidR="007C28BC" w:rsidRPr="007C28BC" w14:paraId="3D588ADF" w14:textId="77777777" w:rsidTr="007C28BC">
        <w:trPr>
          <w:trHeight w:val="620"/>
        </w:trPr>
        <w:tc>
          <w:tcPr>
            <w:tcW w:w="1677" w:type="dxa"/>
            <w:tcBorders>
              <w:top w:val="nil"/>
              <w:left w:val="single" w:sz="4" w:space="0" w:color="auto"/>
              <w:bottom w:val="single" w:sz="4" w:space="0" w:color="auto"/>
              <w:right w:val="single" w:sz="4" w:space="0" w:color="auto"/>
            </w:tcBorders>
            <w:shd w:val="clear" w:color="000000" w:fill="F1F4F7"/>
            <w:vAlign w:val="center"/>
            <w:hideMark/>
          </w:tcPr>
          <w:p w14:paraId="4954DB5B"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Flexibility</w:t>
            </w:r>
          </w:p>
        </w:tc>
        <w:tc>
          <w:tcPr>
            <w:tcW w:w="3538" w:type="dxa"/>
            <w:tcBorders>
              <w:top w:val="nil"/>
              <w:left w:val="nil"/>
              <w:bottom w:val="single" w:sz="4" w:space="0" w:color="auto"/>
              <w:right w:val="single" w:sz="4" w:space="0" w:color="auto"/>
            </w:tcBorders>
            <w:shd w:val="clear" w:color="000000" w:fill="F1F4F7"/>
            <w:vAlign w:val="center"/>
            <w:hideMark/>
          </w:tcPr>
          <w:p w14:paraId="577013D7"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Limited to predefined transformations</w:t>
            </w:r>
          </w:p>
        </w:tc>
        <w:tc>
          <w:tcPr>
            <w:tcW w:w="3600" w:type="dxa"/>
            <w:tcBorders>
              <w:top w:val="nil"/>
              <w:left w:val="nil"/>
              <w:bottom w:val="single" w:sz="4" w:space="0" w:color="auto"/>
              <w:right w:val="single" w:sz="4" w:space="0" w:color="auto"/>
            </w:tcBorders>
            <w:shd w:val="clear" w:color="000000" w:fill="F1F4F7"/>
            <w:vAlign w:val="center"/>
            <w:hideMark/>
          </w:tcPr>
          <w:p w14:paraId="01B5FA86"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Allows on-demand transformations</w:t>
            </w:r>
          </w:p>
        </w:tc>
      </w:tr>
      <w:tr w:rsidR="007C28BC" w:rsidRPr="007C28BC" w14:paraId="6AF59E83" w14:textId="77777777" w:rsidTr="007C28BC">
        <w:trPr>
          <w:trHeight w:val="440"/>
        </w:trPr>
        <w:tc>
          <w:tcPr>
            <w:tcW w:w="1677" w:type="dxa"/>
            <w:tcBorders>
              <w:top w:val="nil"/>
              <w:left w:val="single" w:sz="4" w:space="0" w:color="auto"/>
              <w:bottom w:val="single" w:sz="4" w:space="0" w:color="auto"/>
              <w:right w:val="single" w:sz="4" w:space="0" w:color="auto"/>
            </w:tcBorders>
            <w:shd w:val="clear" w:color="000000" w:fill="FFFFFF"/>
            <w:vAlign w:val="center"/>
            <w:hideMark/>
          </w:tcPr>
          <w:p w14:paraId="08D45C97" w14:textId="77777777" w:rsidR="007C28BC" w:rsidRPr="007C28BC" w:rsidRDefault="007C28BC" w:rsidP="007C28BC">
            <w:pPr>
              <w:spacing w:after="0" w:line="240" w:lineRule="auto"/>
              <w:jc w:val="center"/>
              <w:rPr>
                <w:rFonts w:ascii="Segoe UI" w:eastAsia="Times New Roman" w:hAnsi="Segoe UI" w:cs="Segoe UI"/>
                <w:b/>
                <w:bCs/>
                <w:color w:val="0C2656"/>
                <w:kern w:val="0"/>
                <w:sz w:val="20"/>
                <w:szCs w:val="20"/>
                <w14:ligatures w14:val="none"/>
              </w:rPr>
            </w:pPr>
            <w:r w:rsidRPr="007C28BC">
              <w:rPr>
                <w:rFonts w:ascii="Segoe UI" w:eastAsia="Times New Roman" w:hAnsi="Segoe UI" w:cs="Segoe UI"/>
                <w:b/>
                <w:bCs/>
                <w:color w:val="0C2656"/>
                <w:kern w:val="0"/>
                <w:sz w:val="20"/>
                <w:szCs w:val="20"/>
                <w14:ligatures w14:val="none"/>
              </w:rPr>
              <w:t>Cost</w:t>
            </w:r>
          </w:p>
        </w:tc>
        <w:tc>
          <w:tcPr>
            <w:tcW w:w="3538" w:type="dxa"/>
            <w:tcBorders>
              <w:top w:val="nil"/>
              <w:left w:val="nil"/>
              <w:bottom w:val="single" w:sz="4" w:space="0" w:color="auto"/>
              <w:right w:val="single" w:sz="4" w:space="0" w:color="auto"/>
            </w:tcBorders>
            <w:shd w:val="clear" w:color="000000" w:fill="FFFFFF"/>
            <w:vAlign w:val="center"/>
            <w:hideMark/>
          </w:tcPr>
          <w:p w14:paraId="55F0D396"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Higher infrastructure costs</w:t>
            </w:r>
          </w:p>
        </w:tc>
        <w:tc>
          <w:tcPr>
            <w:tcW w:w="3600" w:type="dxa"/>
            <w:tcBorders>
              <w:top w:val="nil"/>
              <w:left w:val="nil"/>
              <w:bottom w:val="single" w:sz="4" w:space="0" w:color="auto"/>
              <w:right w:val="single" w:sz="4" w:space="0" w:color="auto"/>
            </w:tcBorders>
            <w:shd w:val="clear" w:color="000000" w:fill="FFFFFF"/>
            <w:vAlign w:val="center"/>
            <w:hideMark/>
          </w:tcPr>
          <w:p w14:paraId="12F20D51" w14:textId="77777777" w:rsidR="007C28BC" w:rsidRPr="007C28BC" w:rsidRDefault="007C28BC" w:rsidP="007C28BC">
            <w:pPr>
              <w:spacing w:after="0" w:line="240" w:lineRule="auto"/>
              <w:jc w:val="center"/>
              <w:rPr>
                <w:rFonts w:ascii="Segoe UI" w:eastAsia="Times New Roman" w:hAnsi="Segoe UI" w:cs="Segoe UI"/>
                <w:color w:val="4B4B4B"/>
                <w:kern w:val="0"/>
                <w:sz w:val="20"/>
                <w:szCs w:val="20"/>
                <w14:ligatures w14:val="none"/>
              </w:rPr>
            </w:pPr>
            <w:r w:rsidRPr="007C28BC">
              <w:rPr>
                <w:rFonts w:ascii="Segoe UI" w:eastAsia="Times New Roman" w:hAnsi="Segoe UI" w:cs="Segoe UI"/>
                <w:color w:val="4B4B4B"/>
                <w:kern w:val="0"/>
                <w:sz w:val="20"/>
                <w:szCs w:val="20"/>
                <w14:ligatures w14:val="none"/>
              </w:rPr>
              <w:t>Lower costs leveraging cloud</w:t>
            </w:r>
          </w:p>
        </w:tc>
      </w:tr>
    </w:tbl>
    <w:p w14:paraId="0EC278F4" w14:textId="77777777" w:rsidR="007C28BC" w:rsidRDefault="007C28BC" w:rsidP="004D5611">
      <w:pPr>
        <w:rPr>
          <w:sz w:val="22"/>
          <w:szCs w:val="22"/>
        </w:rPr>
      </w:pPr>
    </w:p>
    <w:p w14:paraId="658DA770" w14:textId="74C4EDCE" w:rsidR="00DC5AF1" w:rsidRPr="004D5611" w:rsidRDefault="00DC5AF1" w:rsidP="004D5611">
      <w:pPr>
        <w:rPr>
          <w:sz w:val="22"/>
          <w:szCs w:val="22"/>
        </w:rPr>
      </w:pPr>
      <w:r w:rsidRPr="00DC5AF1">
        <w:rPr>
          <w:sz w:val="22"/>
          <w:szCs w:val="22"/>
        </w:rPr>
        <w:drawing>
          <wp:inline distT="0" distB="0" distL="0" distR="0" wp14:anchorId="468CC2FF" wp14:editId="3ECCDDD8">
            <wp:extent cx="3811517" cy="2468880"/>
            <wp:effectExtent l="133350" t="114300" r="151130" b="160020"/>
            <wp:docPr id="1968001002"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1002" name="Picture 1" descr="A diagram of data processing&#10;&#10;AI-generated content may be incorrect."/>
                    <pic:cNvPicPr/>
                  </pic:nvPicPr>
                  <pic:blipFill>
                    <a:blip r:embed="rId5"/>
                    <a:stretch>
                      <a:fillRect/>
                    </a:stretch>
                  </pic:blipFill>
                  <pic:spPr>
                    <a:xfrm>
                      <a:off x="0" y="0"/>
                      <a:ext cx="3813151" cy="24699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E5FCD2" w14:textId="77777777" w:rsidR="004D5611" w:rsidRPr="004D5611" w:rsidRDefault="004D5611" w:rsidP="00DC5AF1">
      <w:pPr>
        <w:pStyle w:val="Heading2"/>
      </w:pPr>
      <w:r w:rsidRPr="004D5611">
        <w:t>Mention 3 cloud tools that support ELT</w:t>
      </w:r>
    </w:p>
    <w:p w14:paraId="2520E386" w14:textId="168C8B96" w:rsidR="004D5611" w:rsidRDefault="008837B5" w:rsidP="004D5611">
      <w:pPr>
        <w:rPr>
          <w:sz w:val="22"/>
          <w:szCs w:val="22"/>
        </w:rPr>
      </w:pPr>
      <w:r>
        <w:rPr>
          <w:sz w:val="22"/>
          <w:szCs w:val="22"/>
        </w:rPr>
        <w:t>ELT is</w:t>
      </w:r>
      <w:r w:rsidR="00E3074A" w:rsidRPr="00E3074A">
        <w:rPr>
          <w:sz w:val="22"/>
          <w:szCs w:val="22"/>
        </w:rPr>
        <w:t> </w:t>
      </w:r>
      <w:r w:rsidR="00E3074A" w:rsidRPr="00E3074A">
        <w:rPr>
          <w:b/>
          <w:bCs/>
          <w:sz w:val="22"/>
          <w:szCs w:val="22"/>
        </w:rPr>
        <w:t>faster perform</w:t>
      </w:r>
      <w:r w:rsidR="00CE4507">
        <w:rPr>
          <w:b/>
          <w:bCs/>
          <w:sz w:val="22"/>
          <w:szCs w:val="22"/>
        </w:rPr>
        <w:t>ing</w:t>
      </w:r>
      <w:r w:rsidR="00E3074A" w:rsidRPr="00E3074A">
        <w:rPr>
          <w:sz w:val="22"/>
          <w:szCs w:val="22"/>
        </w:rPr>
        <w:t>, </w:t>
      </w:r>
      <w:r w:rsidR="00E3074A" w:rsidRPr="00E3074A">
        <w:rPr>
          <w:b/>
          <w:bCs/>
          <w:sz w:val="22"/>
          <w:szCs w:val="22"/>
        </w:rPr>
        <w:t>scalab</w:t>
      </w:r>
      <w:r w:rsidR="00CE4507">
        <w:rPr>
          <w:b/>
          <w:bCs/>
          <w:sz w:val="22"/>
          <w:szCs w:val="22"/>
        </w:rPr>
        <w:t>le</w:t>
      </w:r>
      <w:r w:rsidR="00E3074A" w:rsidRPr="00E3074A">
        <w:rPr>
          <w:sz w:val="22"/>
          <w:szCs w:val="22"/>
        </w:rPr>
        <w:t>, and </w:t>
      </w:r>
      <w:r w:rsidR="00E3074A" w:rsidRPr="00E3074A">
        <w:rPr>
          <w:b/>
          <w:bCs/>
          <w:sz w:val="22"/>
          <w:szCs w:val="22"/>
        </w:rPr>
        <w:t>better alig</w:t>
      </w:r>
      <w:r w:rsidR="00CE4507">
        <w:rPr>
          <w:b/>
          <w:bCs/>
          <w:sz w:val="22"/>
          <w:szCs w:val="22"/>
        </w:rPr>
        <w:t>n</w:t>
      </w:r>
      <w:r w:rsidR="00E3074A" w:rsidRPr="00E3074A">
        <w:rPr>
          <w:sz w:val="22"/>
          <w:szCs w:val="22"/>
        </w:rPr>
        <w:t> with cloud-native infrastructure</w:t>
      </w:r>
      <w:r w:rsidR="00CE4507">
        <w:rPr>
          <w:sz w:val="22"/>
          <w:szCs w:val="22"/>
        </w:rPr>
        <w:t xml:space="preserve"> than ETL</w:t>
      </w:r>
      <w:r w:rsidR="00E3074A" w:rsidRPr="00E3074A">
        <w:rPr>
          <w:sz w:val="22"/>
          <w:szCs w:val="22"/>
        </w:rPr>
        <w:t>.</w:t>
      </w:r>
    </w:p>
    <w:p w14:paraId="573BA58C" w14:textId="740BD4CC" w:rsidR="00E3074A" w:rsidRDefault="00E3074A" w:rsidP="004D5611">
      <w:pPr>
        <w:rPr>
          <w:sz w:val="22"/>
          <w:szCs w:val="22"/>
        </w:rPr>
      </w:pPr>
      <w:r>
        <w:rPr>
          <w:sz w:val="22"/>
          <w:szCs w:val="22"/>
        </w:rPr>
        <w:t xml:space="preserve">Few </w:t>
      </w:r>
      <w:r w:rsidRPr="00E3074A">
        <w:rPr>
          <w:sz w:val="22"/>
          <w:szCs w:val="22"/>
        </w:rPr>
        <w:t xml:space="preserve">ELT </w:t>
      </w:r>
      <w:r>
        <w:rPr>
          <w:sz w:val="22"/>
          <w:szCs w:val="22"/>
        </w:rPr>
        <w:t>tools</w:t>
      </w:r>
      <w:r w:rsidRPr="00E3074A">
        <w:rPr>
          <w:sz w:val="22"/>
          <w:szCs w:val="22"/>
        </w:rPr>
        <w:t> that modern data teams </w:t>
      </w:r>
      <w:r>
        <w:rPr>
          <w:sz w:val="22"/>
          <w:szCs w:val="22"/>
        </w:rPr>
        <w:t xml:space="preserve">would consider are : Azure </w:t>
      </w:r>
      <w:r w:rsidRPr="00E3074A">
        <w:rPr>
          <w:sz w:val="22"/>
          <w:szCs w:val="22"/>
        </w:rPr>
        <w:t xml:space="preserve">Data Factory, </w:t>
      </w:r>
      <w:proofErr w:type="spellStart"/>
      <w:r w:rsidRPr="00E3074A">
        <w:rPr>
          <w:sz w:val="22"/>
          <w:szCs w:val="22"/>
        </w:rPr>
        <w:t>FiveTran</w:t>
      </w:r>
      <w:proofErr w:type="spellEnd"/>
      <w:r w:rsidRPr="00E3074A">
        <w:rPr>
          <w:sz w:val="22"/>
          <w:szCs w:val="22"/>
        </w:rPr>
        <w:t xml:space="preserve">, </w:t>
      </w:r>
      <w:proofErr w:type="spellStart"/>
      <w:r w:rsidRPr="00E3074A">
        <w:rPr>
          <w:sz w:val="22"/>
          <w:szCs w:val="22"/>
        </w:rPr>
        <w:t>Airbyte</w:t>
      </w:r>
      <w:proofErr w:type="spellEnd"/>
      <w:r w:rsidRPr="00E3074A">
        <w:rPr>
          <w:sz w:val="22"/>
          <w:szCs w:val="22"/>
        </w:rPr>
        <w:t xml:space="preserve">, Stitch, </w:t>
      </w:r>
      <w:proofErr w:type="spellStart"/>
      <w:r w:rsidRPr="00E3074A">
        <w:rPr>
          <w:sz w:val="22"/>
          <w:szCs w:val="22"/>
        </w:rPr>
        <w:t>Matillion</w:t>
      </w:r>
      <w:proofErr w:type="spellEnd"/>
      <w:r w:rsidRPr="00E3074A">
        <w:rPr>
          <w:sz w:val="22"/>
          <w:szCs w:val="22"/>
        </w:rPr>
        <w:t xml:space="preserve">, </w:t>
      </w:r>
      <w:r w:rsidRPr="00E3074A">
        <w:rPr>
          <w:sz w:val="22"/>
          <w:szCs w:val="22"/>
        </w:rPr>
        <w:t>Informatica Cloud Data Integration</w:t>
      </w:r>
      <w:r w:rsidRPr="00E3074A">
        <w:rPr>
          <w:sz w:val="22"/>
          <w:szCs w:val="22"/>
        </w:rPr>
        <w:t xml:space="preserve">, </w:t>
      </w:r>
      <w:r w:rsidR="008837B5" w:rsidRPr="008837B5">
        <w:rPr>
          <w:sz w:val="22"/>
          <w:szCs w:val="22"/>
        </w:rPr>
        <w:t>Oracle Data Integrator</w:t>
      </w:r>
      <w:r w:rsidR="008837B5" w:rsidRPr="008837B5">
        <w:rPr>
          <w:sz w:val="22"/>
          <w:szCs w:val="22"/>
        </w:rPr>
        <w:t xml:space="preserve">, </w:t>
      </w:r>
      <w:r w:rsidR="008837B5" w:rsidRPr="008837B5">
        <w:rPr>
          <w:sz w:val="22"/>
          <w:szCs w:val="22"/>
        </w:rPr>
        <w:t>IBM DataStage</w:t>
      </w:r>
      <w:r w:rsidR="008837B5" w:rsidRPr="008837B5">
        <w:rPr>
          <w:sz w:val="22"/>
          <w:szCs w:val="22"/>
        </w:rPr>
        <w:t xml:space="preserve">, </w:t>
      </w:r>
      <w:proofErr w:type="spellStart"/>
      <w:r w:rsidR="008837B5" w:rsidRPr="008837B5">
        <w:rPr>
          <w:sz w:val="22"/>
          <w:szCs w:val="22"/>
        </w:rPr>
        <w:t>Dataform</w:t>
      </w:r>
      <w:proofErr w:type="spellEnd"/>
      <w:r w:rsidR="008837B5" w:rsidRPr="008837B5">
        <w:rPr>
          <w:sz w:val="22"/>
          <w:szCs w:val="22"/>
        </w:rPr>
        <w:t xml:space="preserve"> (by Google Cloud)</w:t>
      </w:r>
      <w:r w:rsidR="008837B5" w:rsidRPr="008837B5">
        <w:rPr>
          <w:sz w:val="22"/>
          <w:szCs w:val="22"/>
        </w:rPr>
        <w:t>,</w:t>
      </w:r>
      <w:r w:rsidR="008837B5">
        <w:rPr>
          <w:sz w:val="22"/>
          <w:szCs w:val="22"/>
        </w:rPr>
        <w:t xml:space="preserve"> </w:t>
      </w:r>
      <w:r w:rsidRPr="00E3074A">
        <w:rPr>
          <w:sz w:val="22"/>
          <w:szCs w:val="22"/>
        </w:rPr>
        <w:t>AWS Glue</w:t>
      </w:r>
      <w:r>
        <w:rPr>
          <w:sz w:val="22"/>
          <w:szCs w:val="22"/>
        </w:rPr>
        <w:t xml:space="preserve"> etc.,</w:t>
      </w:r>
    </w:p>
    <w:p w14:paraId="5D0EAA5F" w14:textId="5D996101" w:rsidR="00DC5AF1" w:rsidRPr="004D5611" w:rsidRDefault="008837B5" w:rsidP="004D5611">
      <w:pPr>
        <w:rPr>
          <w:sz w:val="22"/>
          <w:szCs w:val="22"/>
        </w:rPr>
      </w:pPr>
      <w:r w:rsidRPr="008837B5">
        <w:rPr>
          <w:sz w:val="22"/>
          <w:szCs w:val="22"/>
        </w:rPr>
        <w:t>Choosing the right ELT tool in 2025 depends on your team’s size, technical maturity, and integration needs. From open-source platforms like </w:t>
      </w:r>
      <w:proofErr w:type="spellStart"/>
      <w:r w:rsidRPr="008837B5">
        <w:rPr>
          <w:b/>
          <w:bCs/>
          <w:sz w:val="22"/>
          <w:szCs w:val="22"/>
        </w:rPr>
        <w:t>Airbyte</w:t>
      </w:r>
      <w:proofErr w:type="spellEnd"/>
      <w:r w:rsidRPr="008837B5">
        <w:rPr>
          <w:sz w:val="22"/>
          <w:szCs w:val="22"/>
        </w:rPr>
        <w:t> and </w:t>
      </w:r>
      <w:proofErr w:type="spellStart"/>
      <w:r w:rsidRPr="008837B5">
        <w:rPr>
          <w:b/>
          <w:bCs/>
          <w:sz w:val="22"/>
          <w:szCs w:val="22"/>
        </w:rPr>
        <w:t>Meltano</w:t>
      </w:r>
      <w:proofErr w:type="spellEnd"/>
      <w:r w:rsidRPr="008837B5">
        <w:rPr>
          <w:sz w:val="22"/>
          <w:szCs w:val="22"/>
        </w:rPr>
        <w:t> to enterprise-ready tools like </w:t>
      </w:r>
      <w:proofErr w:type="spellStart"/>
      <w:r w:rsidRPr="008837B5">
        <w:rPr>
          <w:b/>
          <w:bCs/>
          <w:sz w:val="22"/>
          <w:szCs w:val="22"/>
        </w:rPr>
        <w:t>Fivetran</w:t>
      </w:r>
      <w:proofErr w:type="spellEnd"/>
      <w:r w:rsidRPr="008837B5">
        <w:rPr>
          <w:sz w:val="22"/>
          <w:szCs w:val="22"/>
        </w:rPr>
        <w:t>, </w:t>
      </w:r>
      <w:r w:rsidRPr="008837B5">
        <w:rPr>
          <w:b/>
          <w:bCs/>
          <w:sz w:val="22"/>
          <w:szCs w:val="22"/>
        </w:rPr>
        <w:t>Informatica</w:t>
      </w:r>
      <w:r w:rsidRPr="008837B5">
        <w:rPr>
          <w:sz w:val="22"/>
          <w:szCs w:val="22"/>
        </w:rPr>
        <w:t>, and </w:t>
      </w:r>
      <w:proofErr w:type="spellStart"/>
      <w:r w:rsidRPr="008837B5">
        <w:rPr>
          <w:b/>
          <w:bCs/>
          <w:sz w:val="22"/>
          <w:szCs w:val="22"/>
        </w:rPr>
        <w:t>Matillion</w:t>
      </w:r>
      <w:proofErr w:type="spellEnd"/>
      <w:r w:rsidRPr="008837B5">
        <w:rPr>
          <w:sz w:val="22"/>
          <w:szCs w:val="22"/>
        </w:rPr>
        <w:t>, there’s a solution for every use case. As data becomes more complex and distributed, investing in the right ELT platform can dramatically enhance your analytics capability and overall digital strategy.</w:t>
      </w:r>
    </w:p>
    <w:p w14:paraId="2B9D7E94" w14:textId="79C56058" w:rsidR="004D5611" w:rsidRDefault="004D5611" w:rsidP="00DC5AF1">
      <w:pPr>
        <w:pStyle w:val="Heading2"/>
      </w:pPr>
      <w:r w:rsidRPr="004D5611">
        <w:lastRenderedPageBreak/>
        <w:t>Explain how cloud transformation improves automation and reduces manual effort.</w:t>
      </w:r>
    </w:p>
    <w:p w14:paraId="1519CFB3" w14:textId="77777777" w:rsidR="00652FB1" w:rsidRDefault="00652FB1" w:rsidP="00652FB1">
      <w:pPr>
        <w:rPr>
          <w:sz w:val="22"/>
          <w:szCs w:val="22"/>
        </w:rPr>
      </w:pPr>
      <w:r w:rsidRPr="00652FB1">
        <w:rPr>
          <w:sz w:val="22"/>
          <w:szCs w:val="22"/>
        </w:rPr>
        <w:t>Cloud transformation significantly enhances automation and reduces manual effort by leveraging cloud automation tools and processes. These tools automate manual tasks associated with provisioning, configuring, and managing cloud environments, such as resource allocation, scaling, configuration management, and deployment of applications.</w:t>
      </w:r>
    </w:p>
    <w:p w14:paraId="453F513A" w14:textId="1A41B3E3" w:rsidR="00652FB1" w:rsidRDefault="00652FB1" w:rsidP="00652FB1">
      <w:pPr>
        <w:rPr>
          <w:sz w:val="22"/>
          <w:szCs w:val="22"/>
        </w:rPr>
      </w:pPr>
      <w:r w:rsidRPr="00652FB1">
        <w:rPr>
          <w:sz w:val="22"/>
          <w:szCs w:val="22"/>
        </w:rPr>
        <w:t>By automating these tasks, organizations can achieve faster deployment times, greater consistency across their IT infrastructure, and a reduction in the potential for human error.</w:t>
      </w:r>
    </w:p>
    <w:p w14:paraId="6BD73D14" w14:textId="19FAEFCF" w:rsidR="00BE0308" w:rsidRPr="00BE0308" w:rsidRDefault="00BE0308" w:rsidP="00BE0308">
      <w:pPr>
        <w:rPr>
          <w:sz w:val="22"/>
          <w:szCs w:val="22"/>
        </w:rPr>
      </w:pPr>
      <w:r w:rsidRPr="00BE0308">
        <w:rPr>
          <w:sz w:val="22"/>
          <w:szCs w:val="22"/>
        </w:rPr>
        <w:t xml:space="preserve">By leveraging cloud automation, </w:t>
      </w:r>
      <w:r w:rsidR="00236363" w:rsidRPr="00BE0308">
        <w:rPr>
          <w:sz w:val="22"/>
          <w:szCs w:val="22"/>
        </w:rPr>
        <w:t>organizations</w:t>
      </w:r>
      <w:r w:rsidRPr="00BE0308">
        <w:rPr>
          <w:sz w:val="22"/>
          <w:szCs w:val="22"/>
        </w:rPr>
        <w:t xml:space="preserve"> can </w:t>
      </w:r>
      <w:r w:rsidRPr="00BE0308">
        <w:rPr>
          <w:b/>
          <w:bCs/>
          <w:sz w:val="22"/>
          <w:szCs w:val="22"/>
        </w:rPr>
        <w:t>accelerate their digital transformation efforts, </w:t>
      </w:r>
      <w:r w:rsidRPr="00BE0308">
        <w:rPr>
          <w:sz w:val="22"/>
          <w:szCs w:val="22"/>
        </w:rPr>
        <w:t xml:space="preserve">allowing them to respond swiftly to changing market demands while </w:t>
      </w:r>
      <w:r w:rsidR="00236363" w:rsidRPr="00BE0308">
        <w:rPr>
          <w:sz w:val="22"/>
          <w:szCs w:val="22"/>
        </w:rPr>
        <w:t>optimizing</w:t>
      </w:r>
      <w:r w:rsidRPr="00BE0308">
        <w:rPr>
          <w:sz w:val="22"/>
          <w:szCs w:val="22"/>
        </w:rPr>
        <w:t xml:space="preserve"> operational costs.</w:t>
      </w:r>
    </w:p>
    <w:p w14:paraId="308C1E8B" w14:textId="77777777" w:rsidR="00BE0308" w:rsidRPr="00652FB1" w:rsidRDefault="00BE0308" w:rsidP="00652FB1">
      <w:pPr>
        <w:rPr>
          <w:sz w:val="22"/>
          <w:szCs w:val="22"/>
        </w:rPr>
      </w:pPr>
    </w:p>
    <w:sectPr w:rsidR="00BE0308" w:rsidRPr="00652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2B"/>
    <w:multiLevelType w:val="multilevel"/>
    <w:tmpl w:val="565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13CF6"/>
    <w:multiLevelType w:val="multilevel"/>
    <w:tmpl w:val="C7E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132F"/>
    <w:multiLevelType w:val="multilevel"/>
    <w:tmpl w:val="433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1B19"/>
    <w:multiLevelType w:val="multilevel"/>
    <w:tmpl w:val="8F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C0B1D"/>
    <w:multiLevelType w:val="multilevel"/>
    <w:tmpl w:val="110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62F67"/>
    <w:multiLevelType w:val="multilevel"/>
    <w:tmpl w:val="63B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D5960"/>
    <w:multiLevelType w:val="hybridMultilevel"/>
    <w:tmpl w:val="23F0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61434C"/>
    <w:multiLevelType w:val="multilevel"/>
    <w:tmpl w:val="1F6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76AF9"/>
    <w:multiLevelType w:val="multilevel"/>
    <w:tmpl w:val="21B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E6266"/>
    <w:multiLevelType w:val="multilevel"/>
    <w:tmpl w:val="3B0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031D9"/>
    <w:multiLevelType w:val="multilevel"/>
    <w:tmpl w:val="2F3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E00A3"/>
    <w:multiLevelType w:val="hybridMultilevel"/>
    <w:tmpl w:val="2402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76BD9"/>
    <w:multiLevelType w:val="multilevel"/>
    <w:tmpl w:val="6AC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1439B"/>
    <w:multiLevelType w:val="multilevel"/>
    <w:tmpl w:val="988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94301"/>
    <w:multiLevelType w:val="hybridMultilevel"/>
    <w:tmpl w:val="A520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028486">
    <w:abstractNumId w:val="5"/>
  </w:num>
  <w:num w:numId="2" w16cid:durableId="1714579500">
    <w:abstractNumId w:val="0"/>
  </w:num>
  <w:num w:numId="3" w16cid:durableId="863979754">
    <w:abstractNumId w:val="3"/>
  </w:num>
  <w:num w:numId="4" w16cid:durableId="364987083">
    <w:abstractNumId w:val="12"/>
  </w:num>
  <w:num w:numId="5" w16cid:durableId="1163088833">
    <w:abstractNumId w:val="1"/>
  </w:num>
  <w:num w:numId="6" w16cid:durableId="1804345200">
    <w:abstractNumId w:val="10"/>
  </w:num>
  <w:num w:numId="7" w16cid:durableId="1758594128">
    <w:abstractNumId w:val="8"/>
  </w:num>
  <w:num w:numId="8" w16cid:durableId="1659923978">
    <w:abstractNumId w:val="2"/>
  </w:num>
  <w:num w:numId="9" w16cid:durableId="1166626429">
    <w:abstractNumId w:val="7"/>
  </w:num>
  <w:num w:numId="10" w16cid:durableId="1067724550">
    <w:abstractNumId w:val="13"/>
  </w:num>
  <w:num w:numId="11" w16cid:durableId="723141726">
    <w:abstractNumId w:val="14"/>
  </w:num>
  <w:num w:numId="12" w16cid:durableId="670645281">
    <w:abstractNumId w:val="9"/>
  </w:num>
  <w:num w:numId="13" w16cid:durableId="1379470138">
    <w:abstractNumId w:val="11"/>
  </w:num>
  <w:num w:numId="14" w16cid:durableId="195890274">
    <w:abstractNumId w:val="6"/>
  </w:num>
  <w:num w:numId="15" w16cid:durableId="640966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1C"/>
    <w:rsid w:val="00000D2E"/>
    <w:rsid w:val="00202C4A"/>
    <w:rsid w:val="00236363"/>
    <w:rsid w:val="00271F4B"/>
    <w:rsid w:val="0036277E"/>
    <w:rsid w:val="004C7613"/>
    <w:rsid w:val="004D5611"/>
    <w:rsid w:val="005B5A1D"/>
    <w:rsid w:val="00621B95"/>
    <w:rsid w:val="00652FB1"/>
    <w:rsid w:val="0079678F"/>
    <w:rsid w:val="007C28BC"/>
    <w:rsid w:val="008837B5"/>
    <w:rsid w:val="00886FDE"/>
    <w:rsid w:val="00916018"/>
    <w:rsid w:val="00A50331"/>
    <w:rsid w:val="00AC323A"/>
    <w:rsid w:val="00B82B60"/>
    <w:rsid w:val="00BE0308"/>
    <w:rsid w:val="00C6635F"/>
    <w:rsid w:val="00CE2717"/>
    <w:rsid w:val="00CE311C"/>
    <w:rsid w:val="00CE4507"/>
    <w:rsid w:val="00D42980"/>
    <w:rsid w:val="00DC5AF1"/>
    <w:rsid w:val="00E1242E"/>
    <w:rsid w:val="00E3074A"/>
    <w:rsid w:val="00F06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05E"/>
  <w15:chartTrackingRefBased/>
  <w15:docId w15:val="{6B06EE14-6609-4F8D-BA70-88E211DB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11C"/>
    <w:rPr>
      <w:rFonts w:eastAsiaTheme="majorEastAsia" w:cstheme="majorBidi"/>
      <w:color w:val="272727" w:themeColor="text1" w:themeTint="D8"/>
    </w:rPr>
  </w:style>
  <w:style w:type="paragraph" w:styleId="Title">
    <w:name w:val="Title"/>
    <w:basedOn w:val="Normal"/>
    <w:next w:val="Normal"/>
    <w:link w:val="TitleChar"/>
    <w:uiPriority w:val="10"/>
    <w:qFormat/>
    <w:rsid w:val="00CE3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11C"/>
    <w:pPr>
      <w:spacing w:before="160"/>
      <w:jc w:val="center"/>
    </w:pPr>
    <w:rPr>
      <w:i/>
      <w:iCs/>
      <w:color w:val="404040" w:themeColor="text1" w:themeTint="BF"/>
    </w:rPr>
  </w:style>
  <w:style w:type="character" w:customStyle="1" w:styleId="QuoteChar">
    <w:name w:val="Quote Char"/>
    <w:basedOn w:val="DefaultParagraphFont"/>
    <w:link w:val="Quote"/>
    <w:uiPriority w:val="29"/>
    <w:rsid w:val="00CE311C"/>
    <w:rPr>
      <w:i/>
      <w:iCs/>
      <w:color w:val="404040" w:themeColor="text1" w:themeTint="BF"/>
    </w:rPr>
  </w:style>
  <w:style w:type="paragraph" w:styleId="ListParagraph">
    <w:name w:val="List Paragraph"/>
    <w:basedOn w:val="Normal"/>
    <w:uiPriority w:val="34"/>
    <w:qFormat/>
    <w:rsid w:val="00CE311C"/>
    <w:pPr>
      <w:ind w:left="720"/>
      <w:contextualSpacing/>
    </w:pPr>
  </w:style>
  <w:style w:type="character" w:styleId="IntenseEmphasis">
    <w:name w:val="Intense Emphasis"/>
    <w:basedOn w:val="DefaultParagraphFont"/>
    <w:uiPriority w:val="21"/>
    <w:qFormat/>
    <w:rsid w:val="00CE311C"/>
    <w:rPr>
      <w:i/>
      <w:iCs/>
      <w:color w:val="0F4761" w:themeColor="accent1" w:themeShade="BF"/>
    </w:rPr>
  </w:style>
  <w:style w:type="paragraph" w:styleId="IntenseQuote">
    <w:name w:val="Intense Quote"/>
    <w:basedOn w:val="Normal"/>
    <w:next w:val="Normal"/>
    <w:link w:val="IntenseQuoteChar"/>
    <w:uiPriority w:val="30"/>
    <w:qFormat/>
    <w:rsid w:val="00CE3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11C"/>
    <w:rPr>
      <w:i/>
      <w:iCs/>
      <w:color w:val="0F4761" w:themeColor="accent1" w:themeShade="BF"/>
    </w:rPr>
  </w:style>
  <w:style w:type="character" w:styleId="IntenseReference">
    <w:name w:val="Intense Reference"/>
    <w:basedOn w:val="DefaultParagraphFont"/>
    <w:uiPriority w:val="32"/>
    <w:qFormat/>
    <w:rsid w:val="00CE311C"/>
    <w:rPr>
      <w:b/>
      <w:bCs/>
      <w:smallCaps/>
      <w:color w:val="0F4761" w:themeColor="accent1" w:themeShade="BF"/>
      <w:spacing w:val="5"/>
    </w:rPr>
  </w:style>
  <w:style w:type="character" w:styleId="Hyperlink">
    <w:name w:val="Hyperlink"/>
    <w:basedOn w:val="DefaultParagraphFont"/>
    <w:uiPriority w:val="99"/>
    <w:unhideWhenUsed/>
    <w:rsid w:val="004C7613"/>
    <w:rPr>
      <w:color w:val="467886" w:themeColor="hyperlink"/>
      <w:u w:val="single"/>
    </w:rPr>
  </w:style>
  <w:style w:type="character" w:styleId="UnresolvedMention">
    <w:name w:val="Unresolved Mention"/>
    <w:basedOn w:val="DefaultParagraphFont"/>
    <w:uiPriority w:val="99"/>
    <w:semiHidden/>
    <w:unhideWhenUsed/>
    <w:rsid w:val="004C7613"/>
    <w:rPr>
      <w:color w:val="605E5C"/>
      <w:shd w:val="clear" w:color="auto" w:fill="E1DFDD"/>
    </w:rPr>
  </w:style>
  <w:style w:type="character" w:styleId="FollowedHyperlink">
    <w:name w:val="FollowedHyperlink"/>
    <w:basedOn w:val="DefaultParagraphFont"/>
    <w:uiPriority w:val="99"/>
    <w:semiHidden/>
    <w:unhideWhenUsed/>
    <w:rsid w:val="00652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1585</TotalTime>
  <Pages>3</Pages>
  <Words>658</Words>
  <Characters>3436</Characters>
  <Application>Microsoft Office Word</Application>
  <DocSecurity>0</DocSecurity>
  <Lines>62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14</cp:revision>
  <dcterms:created xsi:type="dcterms:W3CDTF">2025-10-23T13:11:00Z</dcterms:created>
  <dcterms:modified xsi:type="dcterms:W3CDTF">2025-10-28T11:46:00Z</dcterms:modified>
</cp:coreProperties>
</file>