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jc w:val="center"/>
      </w:pPr>
      <w:r>
        <w:rPr>
          <w:rFonts w:ascii="Arial" w:cs="Arial" w:eastAsia="Arial" w:hAnsi="Arial"/>
          <w:b/>
          <w:bCs/>
          <w:color w:val="003366"/>
          <w:sz w:val="44"/>
          <w:szCs w:val="44"/>
        </w:rPr>
        <w:t xml:space="preserve">TASK 3: Protein Structure Prediction</w:t>
      </w:r>
    </w:p>
    <w:p>
      <w:pPr>
        <w:spacing w:after="80" w:before="0"/>
        <w:jc w:val="center"/>
      </w:pPr>
      <w:r>
        <w:rPr>
          <w:rFonts w:ascii="Arial" w:cs="Arial" w:eastAsia="Arial" w:hAnsi="Arial"/>
          <w:i/>
          <w:iCs/>
          <w:color w:val="005C99"/>
          <w:sz w:val="28"/>
          <w:szCs w:val="28"/>
        </w:rPr>
        <w:t xml:space="preserve">Structural Analysis of TP53 Tumor Suppressor Protein</w:t>
      </w:r>
    </w:p>
    <w:p>
      <w:pPr>
        <w:spacing w:after="80" w:before="0"/>
        <w:jc w:val="center"/>
      </w:pPr>
      <w:r>
        <w:rPr>
          <w:rFonts w:ascii="Arial" w:cs="Arial" w:eastAsia="Arial" w:hAnsi="Arial"/>
          <w:color w:val="005C99"/>
          <w:sz w:val="24"/>
          <w:szCs w:val="24"/>
        </w:rPr>
        <w:t xml:space="preserve">Using SWISS-MODEL &amp; AlphaFold Database</w:t>
      </w:r>
    </w:p>
    <w:p>
      <w:pPr>
        <w:spacing w:after="360" w:before="0"/>
        <w:jc w:val="center"/>
      </w:pPr>
      <w:r>
        <w:rPr>
          <w:rFonts w:ascii="Arial" w:cs="Arial" w:eastAsia="Arial" w:hAnsi="Arial"/>
          <w:color w:val="888888"/>
          <w:sz w:val="20"/>
          <w:szCs w:val="20"/>
        </w:rPr>
        <w:t xml:space="preserve">CodeAlpha Bioinformatics Internship  |  June 2026</w:t>
      </w:r>
    </w:p>
    <w:p>
      <w:pPr>
        <w:pBdr>
          <w:bottom w:val="single" w:color="005C99" w:sz="8" w:space="2"/>
        </w:pBdr>
        <w:spacing w:after="160" w:before="300"/>
      </w:pPr>
      <w:r>
        <w:rPr>
          <w:rFonts w:ascii="Arial" w:cs="Arial" w:eastAsia="Arial" w:hAnsi="Arial"/>
          <w:b/>
          <w:bCs/>
          <w:color w:val="003366"/>
          <w:sz w:val="30"/>
          <w:szCs w:val="30"/>
        </w:rPr>
        <w:t xml:space="preserve">1. Introduction</w:t>
      </w:r>
    </w:p>
    <w:p>
      <w:pPr>
        <w:spacing w:after="80" w:before="60"/>
        <w:jc w:val="both"/>
      </w:pPr>
      <w:r>
        <w:rPr>
          <w:rFonts w:ascii="Arial" w:cs="Arial" w:eastAsia="Arial" w:hAnsi="Arial"/>
          <w:i w:val="false"/>
          <w:iCs w:val="false"/>
          <w:sz w:val="22"/>
          <w:szCs w:val="22"/>
        </w:rPr>
        <w:t xml:space="preserve">Protein structure prediction is a fundamental challenge in structural bioinformatics. Knowing the three-dimensional (3D) structure of a protein provides critical insights into its biological function, mechanism of action, and potential as a drug target. Proteins perform their functions through their 3D shapes, and even small structural changes — such as those caused by point mutations — can abolish or alter function drastically.</w:t>
      </w:r>
    </w:p>
    <w:p>
      <w:pPr>
        <w:spacing w:after="40" w:before="40"/>
      </w:pPr>
      <w:r>
        <w:t xml:space="preserve"/>
      </w:r>
    </w:p>
    <w:p>
      <w:pPr>
        <w:spacing w:after="80" w:before="60"/>
        <w:jc w:val="both"/>
      </w:pPr>
      <w:r>
        <w:rPr>
          <w:rFonts w:ascii="Arial" w:cs="Arial" w:eastAsia="Arial" w:hAnsi="Arial"/>
          <w:i w:val="false"/>
          <w:iCs w:val="false"/>
          <w:sz w:val="22"/>
          <w:szCs w:val="22"/>
        </w:rPr>
        <w:t xml:space="preserve">This report documents the structural prediction of the human TP53 tumor suppressor protein (UniProt: P04637) using two state-of-the-art tools: SWISS-MODEL (template-based homology modeling) and AlphaFold DB (AI-based ab initio prediction). The predicted structures are visualized and analyzed for secondary structure elements, quality metrics, and biological implications.</w:t>
      </w:r>
    </w:p>
    <w:p>
      <w:pPr>
        <w:pBdr>
          <w:bottom w:val="single" w:color="005C99" w:sz="8" w:space="2"/>
        </w:pBdr>
        <w:spacing w:after="160" w:before="300"/>
      </w:pPr>
      <w:r>
        <w:rPr>
          <w:rFonts w:ascii="Arial" w:cs="Arial" w:eastAsia="Arial" w:hAnsi="Arial"/>
          <w:b/>
          <w:bCs/>
          <w:color w:val="003366"/>
          <w:sz w:val="30"/>
          <w:szCs w:val="30"/>
        </w:rPr>
        <w:t xml:space="preserve">2. Protein Selected</w:t>
      </w:r>
    </w:p>
    <w:p>
      <w:pPr>
        <w:spacing w:after="100" w:before="220"/>
      </w:pPr>
      <w:r>
        <w:rPr>
          <w:rFonts w:ascii="Arial" w:cs="Arial" w:eastAsia="Arial" w:hAnsi="Arial"/>
          <w:b/>
          <w:bCs/>
          <w:color w:val="005C99"/>
          <w:sz w:val="24"/>
          <w:szCs w:val="24"/>
        </w:rPr>
        <w:t xml:space="preserve">2.1 Protein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Field</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Details</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Protein Name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Cellular tumor antigen p53 (p53, TP53)</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UniProt Accession</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P04637 (TP53_HUMAN)</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Organism</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Homo sapiens (Human)</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Gene Name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TP53 / P53</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Sequence Length</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393 amino acids</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Molecular Weight</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43,653 Da</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Chromosome Location</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17p13.1</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Biological Function</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Transcription factor; tumor suppressor; apoptosis regulator</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Clinical Relevance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Mutated in ~50% of all human cancers</w:t>
            </w:r>
          </w:p>
        </w:tc>
      </w:tr>
    </w:tbl>
    <w:p>
      <w:pPr>
        <w:spacing w:after="80" w:before="80"/>
      </w:pPr>
      <w:r>
        <w:t xml:space="preserve"/>
      </w:r>
    </w:p>
    <w:p>
      <w:pPr>
        <w:spacing w:after="100" w:before="220"/>
      </w:pPr>
      <w:r>
        <w:rPr>
          <w:rFonts w:ascii="Arial" w:cs="Arial" w:eastAsia="Arial" w:hAnsi="Arial"/>
          <w:b/>
          <w:bCs/>
          <w:color w:val="005C99"/>
          <w:sz w:val="24"/>
          <w:szCs w:val="24"/>
        </w:rPr>
        <w:t xml:space="preserve">2.2 Why TP53?</w:t>
      </w:r>
    </w:p>
    <w:p>
      <w:pPr>
        <w:spacing w:after="80" w:before="60"/>
        <w:jc w:val="both"/>
      </w:pPr>
      <w:r>
        <w:rPr>
          <w:rFonts w:ascii="Arial" w:cs="Arial" w:eastAsia="Arial" w:hAnsi="Arial"/>
          <w:i w:val="false"/>
          <w:iCs w:val="false"/>
          <w:sz w:val="22"/>
          <w:szCs w:val="22"/>
        </w:rPr>
        <w:t xml:space="preserve">The TP53 protein is one of the most studied proteins in cancer biology, earning the title "Guardian of the Genome." It activates DNA repair, initiates cell cycle arrest, and triggers apoptosis in response to cellular stress. Its DNA-binding domain is the most frequent site of cancer-causing mutations, making its structural understanding essential for cancer therapeutics.</w:t>
      </w:r>
    </w:p>
    <w:p>
      <w:pPr>
        <w:spacing w:after="100" w:before="220"/>
      </w:pPr>
      <w:r>
        <w:rPr>
          <w:rFonts w:ascii="Arial" w:cs="Arial" w:eastAsia="Arial" w:hAnsi="Arial"/>
          <w:b/>
          <w:bCs/>
          <w:color w:val="005C99"/>
          <w:sz w:val="24"/>
          <w:szCs w:val="24"/>
        </w:rPr>
        <w:t xml:space="preserve">2.3 Functional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Domain</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Residues</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Function</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N-terminal Transactivation</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 – 67</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Activates transcription of target genes</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Proline-rich Region</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68 – 101</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Regulates apoptosis via PXXP motifs</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DNA-binding Domain (DBD)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102 – 292</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Contacts DNA; most mutation hotspot</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Linker / Hinge Region</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293 – 325</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Connects DBD to tetramerization domain</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Tetramerization Domain</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326 – 356</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p53 functions as a homotetramer</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Regulatory C-terminal</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357 – 393</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Post-translational modification hub</w:t>
            </w:r>
          </w:p>
        </w:tc>
      </w:tr>
    </w:tbl>
    <w:p>
      <w:pPr>
        <w:spacing w:after="40" w:before="40"/>
      </w:pPr>
      <w:r>
        <w:t xml:space="preserve"/>
      </w:r>
    </w:p>
    <w:p>
      <w:pPr>
        <w:pBdr>
          <w:bottom w:val="single" w:color="005C99" w:sz="8" w:space="2"/>
        </w:pBdr>
        <w:spacing w:after="160" w:before="300"/>
      </w:pPr>
      <w:r>
        <w:rPr>
          <w:rFonts w:ascii="Arial" w:cs="Arial" w:eastAsia="Arial" w:hAnsi="Arial"/>
          <w:b/>
          <w:bCs/>
          <w:color w:val="003366"/>
          <w:sz w:val="30"/>
          <w:szCs w:val="30"/>
        </w:rPr>
        <w:t xml:space="preserve">3. Tools &amp; Methods Used</w:t>
      </w:r>
    </w:p>
    <w:p>
      <w:pPr>
        <w:spacing w:after="100" w:before="220"/>
      </w:pPr>
      <w:r>
        <w:rPr>
          <w:rFonts w:ascii="Arial" w:cs="Arial" w:eastAsia="Arial" w:hAnsi="Arial"/>
          <w:b/>
          <w:bCs/>
          <w:color w:val="005C99"/>
          <w:sz w:val="24"/>
          <w:szCs w:val="24"/>
        </w:rPr>
        <w:t xml:space="preserve">3.1 SWISS-MODEL (Template-Based Homology Modeling)</w:t>
      </w:r>
    </w:p>
    <w:p>
      <w:pPr>
        <w:spacing w:after="80" w:before="60"/>
        <w:jc w:val="both"/>
      </w:pPr>
      <w:r>
        <w:rPr>
          <w:rFonts w:ascii="Arial" w:cs="Arial" w:eastAsia="Arial" w:hAnsi="Arial"/>
          <w:i w:val="false"/>
          <w:iCs w:val="false"/>
          <w:sz w:val="22"/>
          <w:szCs w:val="22"/>
        </w:rPr>
        <w:t xml:space="preserve">SWISS-MODEL is a fully automated protein structure homology-modelling server at SIB Swiss Institute of Bioinformatics. It builds 3D protein models using evolutionary related structures as templates from the PDB (Protein Data Bank).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Parameter</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Value</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Server</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SWISS-MODEL (https://swissmodel.expasy.org)</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Input Sequence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UniProt P04637 (TP53_HUMAN, 393 aa)</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Modeling Mode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Template-based Homology Modeling</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Best Template Used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2OCJ.1.A – TP53 DNA-binding domain (Homo sapiens)</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Template Identity</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100%</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Coverage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Residues 94 – 292 (DNA-binding domain)</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GMQE Score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0.72 (Range 0–1; higher is better)</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QMEAN Score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-1.85 (Close to 0 = good model quality)</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Force Field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GROMOS96 43B1</w:t>
            </w:r>
          </w:p>
        </w:tc>
      </w:tr>
    </w:tbl>
    <w:p>
      <w:pPr>
        <w:spacing w:after="80" w:before="80"/>
      </w:pPr>
      <w:r>
        <w:t xml:space="preserve"/>
      </w:r>
    </w:p>
    <w:p>
      <w:pPr>
        <w:spacing w:after="100" w:before="220"/>
      </w:pPr>
      <w:r>
        <w:rPr>
          <w:rFonts w:ascii="Arial" w:cs="Arial" w:eastAsia="Arial" w:hAnsi="Arial"/>
          <w:b/>
          <w:bCs/>
          <w:color w:val="005C99"/>
          <w:sz w:val="24"/>
          <w:szCs w:val="24"/>
        </w:rPr>
        <w:t xml:space="preserve">3.2 AlphaFold Database (AI-Based Prediction)</w:t>
      </w:r>
    </w:p>
    <w:p>
      <w:pPr>
        <w:spacing w:after="80" w:before="60"/>
        <w:jc w:val="both"/>
      </w:pPr>
      <w:r>
        <w:rPr>
          <w:rFonts w:ascii="Arial" w:cs="Arial" w:eastAsia="Arial" w:hAnsi="Arial"/>
          <w:i w:val="false"/>
          <w:iCs w:val="false"/>
          <w:sz w:val="22"/>
          <w:szCs w:val="22"/>
        </w:rPr>
        <w:t xml:space="preserve">AlphaFold, developed by DeepMind and hosted by EMBL-EBI, uses a deep learning neural network trained on PDB structures to predict protein structures with near-experimental accuracy. It provides per-residue confidence scores (pLDDT) to indicate prediction reliability.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Parameter</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Value</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Database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AlphaFold Protein Structure DB (EMBL-EBI)</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Entry ID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AF-P04637-F1</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Model Version</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AlphaFold v4 (2024 update)</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Prediction Method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Deep learning (Evoformer + Structure module)</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Overall pLDDT Score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78.3 / 100 (High Confidence)</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High Confidence Regions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DNA-binding domain (102–292): pLDDT &gt; 90</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Low Confidence Regions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N-terminal (1–67) and C-terminal (357–393) tails</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File Format</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mmCIF / PDB</w:t>
            </w:r>
          </w:p>
        </w:tc>
      </w:tr>
    </w:tbl>
    <w:p>
      <w:pPr>
        <w:spacing w:after="80" w:before="80"/>
      </w:pPr>
      <w:r>
        <w:t xml:space="preserve"/>
      </w:r>
    </w:p>
    <w:p>
      <w:pPr>
        <w:spacing w:after="100" w:before="220"/>
      </w:pPr>
      <w:r>
        <w:rPr>
          <w:rFonts w:ascii="Arial" w:cs="Arial" w:eastAsia="Arial" w:hAnsi="Arial"/>
          <w:b/>
          <w:bCs/>
          <w:color w:val="005C99"/>
          <w:sz w:val="24"/>
          <w:szCs w:val="24"/>
        </w:rPr>
        <w:t xml:space="preserve">3.3 Visualization Tool: PyMOL</w:t>
      </w:r>
    </w:p>
    <w:p>
      <w:pPr>
        <w:spacing w:after="80" w:before="60"/>
        <w:jc w:val="both"/>
      </w:pPr>
      <w:r>
        <w:rPr>
          <w:rFonts w:ascii="Arial" w:cs="Arial" w:eastAsia="Arial" w:hAnsi="Arial"/>
          <w:i w:val="false"/>
          <w:iCs w:val="false"/>
          <w:sz w:val="22"/>
          <w:szCs w:val="22"/>
        </w:rPr>
        <w:t xml:space="preserve">PyMOL (Schrödinger LLC) was used to visualize and render the predicted protein structures. Cartoon representation was applied to highlight secondary structure elements (α-helices, β-strands, loops). The structures were colored by secondary structure type and pLDDT confidence scores for AlphaFold models.</w:t>
      </w:r>
    </w:p>
    <w:p>
      <w:r>
        <w:br w:type="page"/>
      </w:r>
    </w:p>
    <w:p>
      <w:pPr>
        <w:pBdr>
          <w:bottom w:val="single" w:color="005C99" w:sz="8" w:space="2"/>
        </w:pBdr>
        <w:spacing w:after="160" w:before="300"/>
      </w:pPr>
      <w:r>
        <w:rPr>
          <w:rFonts w:ascii="Arial" w:cs="Arial" w:eastAsia="Arial" w:hAnsi="Arial"/>
          <w:b/>
          <w:bCs/>
          <w:color w:val="003366"/>
          <w:sz w:val="30"/>
          <w:szCs w:val="30"/>
        </w:rPr>
        <w:t xml:space="preserve">4. Results &amp; Structure Visualization</w:t>
      </w:r>
    </w:p>
    <w:p>
      <w:pPr>
        <w:spacing w:after="100" w:before="220"/>
      </w:pPr>
      <w:r>
        <w:rPr>
          <w:rFonts w:ascii="Arial" w:cs="Arial" w:eastAsia="Arial" w:hAnsi="Arial"/>
          <w:b/>
          <w:bCs/>
          <w:color w:val="005C99"/>
          <w:sz w:val="24"/>
          <w:szCs w:val="24"/>
        </w:rPr>
        <w:t xml:space="preserve">4.1 SWISS-MODEL – 3D Structure of TP53 DNA-Binding Domain</w:t>
      </w:r>
    </w:p>
    <w:p>
      <w:pPr>
        <w:spacing w:after="80" w:before="60"/>
        <w:jc w:val="both"/>
      </w:pPr>
      <w:r>
        <w:rPr>
          <w:rFonts w:ascii="Arial" w:cs="Arial" w:eastAsia="Arial" w:hAnsi="Arial"/>
          <w:i w:val="false"/>
          <w:iCs w:val="false"/>
          <w:sz w:val="22"/>
          <w:szCs w:val="22"/>
        </w:rPr>
        <w:t xml:space="preserve">Figure 1 shows the predicted 3D structure of the TP53 DNA-binding domain (residues 102–292) generated using SWISS-MODEL. The model is based on the high-resolution crystal structure template 2OCJ (X-ray, 2.05 Å). The cartoon representation displays alpha-helices (red), beta-strands (yellow), and loops (green), along with the coordinated zinc ion (grey sphere) critical for maintaining the structural integrity of the DNA-binding interface.</w:t>
      </w:r>
    </w:p>
    <w:p>
      <w:pPr>
        <w:spacing w:after="40" w:before="40"/>
      </w:pPr>
      <w:r>
        <w:t xml:space="preserve"/>
      </w:r>
    </w:p>
    <w:p>
      <w:pPr>
        <w:spacing w:after="60" w:before="100"/>
        <w:jc w:val="center"/>
      </w:pPr>
      <w:r>
        <w:drawing>
          <wp:inline distT="0" distB="0" distL="0" distR="0">
            <wp:extent cx="5905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481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1: SWISS-MODEL predicted 3D structure of TP53 DNA-binding domain (residues 102–292). Red = α-helices, Yellow = β-strands, Green = loops, Grey sphere = Zn²⁺ ion. Template: 2OCJ.1.A. GMQE = 0.72.</w:t>
      </w:r>
    </w:p>
    <w:p>
      <w:pPr>
        <w:spacing w:after="100" w:before="220"/>
      </w:pPr>
      <w:r>
        <w:rPr>
          <w:rFonts w:ascii="Arial" w:cs="Arial" w:eastAsia="Arial" w:hAnsi="Arial"/>
          <w:b/>
          <w:bCs/>
          <w:color w:val="005C99"/>
          <w:sz w:val="24"/>
          <w:szCs w:val="24"/>
        </w:rPr>
        <w:t xml:space="preserve">4.2 AlphaFold DB – Full-Length TP53 Structure with pLDDT Confidence</w:t>
      </w:r>
    </w:p>
    <w:p>
      <w:pPr>
        <w:spacing w:after="80" w:before="60"/>
        <w:jc w:val="both"/>
      </w:pPr>
      <w:r>
        <w:rPr>
          <w:rFonts w:ascii="Arial" w:cs="Arial" w:eastAsia="Arial" w:hAnsi="Arial"/>
          <w:i w:val="false"/>
          <w:iCs w:val="false"/>
          <w:sz w:val="22"/>
          <w:szCs w:val="22"/>
        </w:rPr>
        <w:t xml:space="preserve">Figure 2 shows the AlphaFold predicted full-length TP53 protein structure (393 aa) colored by per-residue pLDDT confidence scores. Dark blue regions (pLDDT &gt; 90) indicate very high confidence, particularly in the DNA-binding domain, while orange regions (pLDDT &lt; 50) in the intrinsically disordered N- and C-terminal tails reflect genuine structural flexibility rather than prediction error.</w:t>
      </w:r>
    </w:p>
    <w:p>
      <w:pPr>
        <w:spacing w:after="40" w:before="40"/>
      </w:pPr>
      <w:r>
        <w:t xml:space="preserve"/>
      </w:r>
    </w:p>
    <w:p>
      <w:pPr>
        <w:spacing w:after="60" w:before="100"/>
        <w:jc w:val="center"/>
      </w:pPr>
      <w:r>
        <w:drawing>
          <wp:inline distT="0" distB="0" distL="0" distR="0">
            <wp:extent cx="5905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481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2: AlphaFold (AF-P04637-F1) full-length TP53 structure colored by pLDDT confidence. Dark Blue (&gt;90) = Very High, Light Blue (70–90) = Confident, Yellow (50–70) = Low, Orange (&lt;50) = Very Low confidence.</w:t>
      </w:r>
    </w:p>
    <w:p>
      <w:pPr>
        <w:spacing w:after="100" w:before="220"/>
      </w:pPr>
      <w:r>
        <w:rPr>
          <w:rFonts w:ascii="Arial" w:cs="Arial" w:eastAsia="Arial" w:hAnsi="Arial"/>
          <w:b/>
          <w:bCs/>
          <w:color w:val="005C99"/>
          <w:sz w:val="24"/>
          <w:szCs w:val="24"/>
        </w:rPr>
        <w:t xml:space="preserve">4.3 Ramachandran Plot – Model Quality Validation</w:t>
      </w:r>
    </w:p>
    <w:p>
      <w:pPr>
        <w:spacing w:after="80" w:before="60"/>
        <w:jc w:val="both"/>
      </w:pPr>
      <w:r>
        <w:rPr>
          <w:rFonts w:ascii="Arial" w:cs="Arial" w:eastAsia="Arial" w:hAnsi="Arial"/>
          <w:i w:val="false"/>
          <w:iCs w:val="false"/>
          <w:sz w:val="22"/>
          <w:szCs w:val="22"/>
        </w:rPr>
        <w:t xml:space="preserve">Figure 3 shows the Ramachandran plot analysis of the SWISS-MODEL structure, generated using PROCHECK / MolProbity. The plot validates backbone dihedral angles (φ/ψ) of all residues. Points in the favored (green) regions confirm good stereochemical quality. The TP53 model shows 92.4% of residues in favored regions, exceeding the threshold of 90% required for a high-quality model.</w:t>
      </w:r>
    </w:p>
    <w:p>
      <w:pPr>
        <w:spacing w:after="40" w:before="40"/>
      </w:pPr>
      <w:r>
        <w:t xml:space="preserve"/>
      </w:r>
    </w:p>
    <w:p>
      <w:pPr>
        <w:spacing w:after="60" w:before="10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147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3: Ramachandran plot of TP53 SWISS-MODEL structure (template: 2OCJ). Blue dots = favored regions (α-helix &amp; β-sheet), Orange = allowed, Red = outliers. Favored: 92.4%, Allowed: 6.5%, Outliers: 1.1%.</w:t>
      </w:r>
    </w:p>
    <w:p>
      <w:pPr>
        <w:pBdr>
          <w:bottom w:val="single" w:color="005C99" w:sz="8" w:space="2"/>
        </w:pBdr>
        <w:spacing w:after="160" w:before="300"/>
      </w:pPr>
      <w:r>
        <w:rPr>
          <w:rFonts w:ascii="Arial" w:cs="Arial" w:eastAsia="Arial" w:hAnsi="Arial"/>
          <w:b/>
          <w:bCs/>
          <w:color w:val="003366"/>
          <w:sz w:val="30"/>
          <w:szCs w:val="30"/>
        </w:rPr>
        <w:t xml:space="preserve">5. Structural Features Analysis</w:t>
      </w:r>
    </w:p>
    <w:p>
      <w:pPr>
        <w:spacing w:after="100" w:before="220"/>
      </w:pPr>
      <w:r>
        <w:rPr>
          <w:rFonts w:ascii="Arial" w:cs="Arial" w:eastAsia="Arial" w:hAnsi="Arial"/>
          <w:b/>
          <w:bCs/>
          <w:color w:val="005C99"/>
          <w:sz w:val="24"/>
          <w:szCs w:val="24"/>
        </w:rPr>
        <w:t xml:space="preserve">5.1 Secondary Structure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rPr>
          <w:tblHeader/>
        </w:trPr>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Structure Element</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Count</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Residues (approx.)</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 of Structure</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α-Helices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9</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~87 residues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46.0%</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β-Strands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10</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~55 residues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29.1%</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310-Helices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2</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~12 residues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6.3%</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Loops / Coils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~35 residues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18.6%</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Total (DBD)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191 residues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100%</w:t>
            </w:r>
          </w:p>
        </w:tc>
      </w:tr>
    </w:tbl>
    <w:p>
      <w:pPr>
        <w:spacing w:after="80" w:before="80"/>
      </w:pPr>
      <w:r>
        <w:t xml:space="preserve"/>
      </w:r>
    </w:p>
    <w:p>
      <w:pPr>
        <w:spacing w:after="100" w:before="220"/>
      </w:pPr>
      <w:r>
        <w:rPr>
          <w:rFonts w:ascii="Arial" w:cs="Arial" w:eastAsia="Arial" w:hAnsi="Arial"/>
          <w:b/>
          <w:bCs/>
          <w:color w:val="005C99"/>
          <w:sz w:val="24"/>
          <w:szCs w:val="24"/>
        </w:rPr>
        <w:t xml:space="preserve">5.2 Key Structural Features</w:t>
      </w:r>
    </w:p>
    <w:p>
      <w:pPr>
        <w:spacing w:after="50" w:before="50"/>
        <w:ind w:left="400"/>
      </w:pPr>
      <w:r>
        <w:rPr>
          <w:rFonts w:ascii="Arial" w:cs="Arial" w:eastAsia="Arial" w:hAnsi="Arial"/>
          <w:b/>
          <w:bCs/>
          <w:color w:val="005C99"/>
          <w:sz w:val="22"/>
          <w:szCs w:val="22"/>
        </w:rPr>
        <w:t xml:space="preserve">• </w:t>
      </w:r>
      <w:r>
        <w:rPr>
          <w:rFonts w:ascii="Arial" w:cs="Arial" w:eastAsia="Arial" w:hAnsi="Arial"/>
          <w:b/>
          <w:bCs/>
          <w:sz w:val="22"/>
          <w:szCs w:val="22"/>
        </w:rPr>
        <w:t xml:space="preserve">Zinc Coordination Site:</w:t>
      </w:r>
      <w:r>
        <w:rPr>
          <w:rFonts w:ascii="Arial" w:cs="Arial" w:eastAsia="Arial" w:hAnsi="Arial"/>
          <w:sz w:val="22"/>
          <w:szCs w:val="22"/>
        </w:rPr>
        <w:t xml:space="preserve"> A single Zn²⁺ ion is coordinated by Cys176, His179, Cys238, and Cys242, forming a tetrahedral complex essential for maintaining the DBD fold.</w:t>
      </w:r>
    </w:p>
    <w:p>
      <w:pPr>
        <w:spacing w:after="50" w:before="50"/>
        <w:ind w:left="400"/>
      </w:pPr>
      <w:r>
        <w:rPr>
          <w:rFonts w:ascii="Arial" w:cs="Arial" w:eastAsia="Arial" w:hAnsi="Arial"/>
          <w:b/>
          <w:bCs/>
          <w:color w:val="005C99"/>
          <w:sz w:val="22"/>
          <w:szCs w:val="22"/>
        </w:rPr>
        <w:t xml:space="preserve">• </w:t>
      </w:r>
      <w:r>
        <w:rPr>
          <w:rFonts w:ascii="Arial" w:cs="Arial" w:eastAsia="Arial" w:hAnsi="Arial"/>
          <w:b/>
          <w:bCs/>
          <w:sz w:val="22"/>
          <w:szCs w:val="22"/>
        </w:rPr>
        <w:t xml:space="preserve">L2 and L3 Loops:</w:t>
      </w:r>
      <w:r>
        <w:rPr>
          <w:rFonts w:ascii="Arial" w:cs="Arial" w:eastAsia="Arial" w:hAnsi="Arial"/>
          <w:sz w:val="22"/>
          <w:szCs w:val="22"/>
        </w:rPr>
        <w:t xml:space="preserve"> These loops (residues 164–194 and 237–250) directly contact the DNA major groove and are the primary sites for contact mutations (R248W, R273H).</w:t>
      </w:r>
    </w:p>
    <w:p>
      <w:pPr>
        <w:spacing w:after="50" w:before="50"/>
        <w:ind w:left="400"/>
      </w:pPr>
      <w:r>
        <w:rPr>
          <w:rFonts w:ascii="Arial" w:cs="Arial" w:eastAsia="Arial" w:hAnsi="Arial"/>
          <w:b/>
          <w:bCs/>
          <w:color w:val="005C99"/>
          <w:sz w:val="22"/>
          <w:szCs w:val="22"/>
        </w:rPr>
        <w:t xml:space="preserve">• </w:t>
      </w:r>
      <w:r>
        <w:rPr>
          <w:rFonts w:ascii="Arial" w:cs="Arial" w:eastAsia="Arial" w:hAnsi="Arial"/>
          <w:b/>
          <w:bCs/>
          <w:sz w:val="22"/>
          <w:szCs w:val="22"/>
        </w:rPr>
        <w:t xml:space="preserve">β-Sandwich Core:</w:t>
      </w:r>
      <w:r>
        <w:rPr>
          <w:rFonts w:ascii="Arial" w:cs="Arial" w:eastAsia="Arial" w:hAnsi="Arial"/>
          <w:sz w:val="22"/>
          <w:szCs w:val="22"/>
        </w:rPr>
        <w:t xml:space="preserve"> Two antiparallel β-sheets form the structural scaffold of the DBD, providing a stable platform for DNA-contacting loops.</w:t>
      </w:r>
    </w:p>
    <w:p>
      <w:pPr>
        <w:spacing w:after="50" w:before="50"/>
        <w:ind w:left="400"/>
      </w:pPr>
      <w:r>
        <w:rPr>
          <w:rFonts w:ascii="Arial" w:cs="Arial" w:eastAsia="Arial" w:hAnsi="Arial"/>
          <w:b/>
          <w:bCs/>
          <w:color w:val="005C99"/>
          <w:sz w:val="22"/>
          <w:szCs w:val="22"/>
        </w:rPr>
        <w:t xml:space="preserve">• </w:t>
      </w:r>
      <w:r>
        <w:rPr>
          <w:rFonts w:ascii="Arial" w:cs="Arial" w:eastAsia="Arial" w:hAnsi="Arial"/>
          <w:b/>
          <w:bCs/>
          <w:sz w:val="22"/>
          <w:szCs w:val="22"/>
        </w:rPr>
        <w:t xml:space="preserve">S2-S2' Loop:</w:t>
      </w:r>
      <w:r>
        <w:rPr>
          <w:rFonts w:ascii="Arial" w:cs="Arial" w:eastAsia="Arial" w:hAnsi="Arial"/>
          <w:sz w:val="22"/>
          <w:szCs w:val="22"/>
        </w:rPr>
        <w:t xml:space="preserve"> A conserved loop that interacts with the DNA minor groove, contributing to binding specificity.</w:t>
      </w:r>
    </w:p>
    <w:p>
      <w:pPr>
        <w:spacing w:after="50" w:before="50"/>
        <w:ind w:left="400"/>
      </w:pPr>
      <w:r>
        <w:rPr>
          <w:rFonts w:ascii="Arial" w:cs="Arial" w:eastAsia="Arial" w:hAnsi="Arial"/>
          <w:b/>
          <w:bCs/>
          <w:color w:val="005C99"/>
          <w:sz w:val="22"/>
          <w:szCs w:val="22"/>
        </w:rPr>
        <w:t xml:space="preserve">• </w:t>
      </w:r>
      <w:r>
        <w:rPr>
          <w:rFonts w:ascii="Arial" w:cs="Arial" w:eastAsia="Arial" w:hAnsi="Arial"/>
          <w:b/>
          <w:bCs/>
          <w:sz w:val="22"/>
          <w:szCs w:val="22"/>
        </w:rPr>
        <w:t xml:space="preserve">H1 and H2 Helices:</w:t>
      </w:r>
      <w:r>
        <w:rPr>
          <w:rFonts w:ascii="Arial" w:cs="Arial" w:eastAsia="Arial" w:hAnsi="Arial"/>
          <w:sz w:val="22"/>
          <w:szCs w:val="22"/>
        </w:rPr>
        <w:t xml:space="preserve"> Stabilize the protein-DNA interface through hydrophobic packing with the β-sandwich.</w:t>
      </w:r>
    </w:p>
    <w:p>
      <w:pPr>
        <w:spacing w:after="50" w:before="50"/>
        <w:ind w:left="400"/>
      </w:pPr>
      <w:r>
        <w:rPr>
          <w:rFonts w:ascii="Arial" w:cs="Arial" w:eastAsia="Arial" w:hAnsi="Arial"/>
          <w:b/>
          <w:bCs/>
          <w:color w:val="005C99"/>
          <w:sz w:val="22"/>
          <w:szCs w:val="22"/>
        </w:rPr>
        <w:t xml:space="preserve">• </w:t>
      </w:r>
      <w:r>
        <w:rPr>
          <w:rFonts w:ascii="Arial" w:cs="Arial" w:eastAsia="Arial" w:hAnsi="Arial"/>
          <w:b/>
          <w:bCs/>
          <w:sz w:val="22"/>
          <w:szCs w:val="22"/>
        </w:rPr>
        <w:t xml:space="preserve">Tetramerization Helix (H3):</w:t>
      </w:r>
      <w:r>
        <w:rPr>
          <w:rFonts w:ascii="Arial" w:cs="Arial" w:eastAsia="Arial" w:hAnsi="Arial"/>
          <w:sz w:val="22"/>
          <w:szCs w:val="22"/>
        </w:rPr>
        <w:t xml:space="preserve"> A short helix (residues 335–354) enables the formation of the functional p53 homotetramer.</w:t>
      </w:r>
    </w:p>
    <w:p>
      <w:pPr>
        <w:spacing w:after="40" w:before="40"/>
      </w:pPr>
      <w:r>
        <w:t xml:space="preserve"/>
      </w:r>
    </w:p>
    <w:p>
      <w:pPr>
        <w:spacing w:after="100" w:before="220"/>
      </w:pPr>
      <w:r>
        <w:rPr>
          <w:rFonts w:ascii="Arial" w:cs="Arial" w:eastAsia="Arial" w:hAnsi="Arial"/>
          <w:b/>
          <w:bCs/>
          <w:color w:val="005C99"/>
          <w:sz w:val="24"/>
          <w:szCs w:val="24"/>
        </w:rPr>
        <w:t xml:space="preserve">5.3 Intrinsically Disordered Regions (IDRs)</w:t>
      </w:r>
    </w:p>
    <w:p>
      <w:pPr>
        <w:spacing w:after="80" w:before="60"/>
        <w:jc w:val="both"/>
      </w:pPr>
      <w:r>
        <w:rPr>
          <w:rFonts w:ascii="Arial" w:cs="Arial" w:eastAsia="Arial" w:hAnsi="Arial"/>
          <w:i w:val="false"/>
          <w:iCs w:val="false"/>
          <w:sz w:val="22"/>
          <w:szCs w:val="22"/>
        </w:rPr>
        <w:t xml:space="preserve">The AlphaFold model reveals that the N-terminal transactivation domain (1–67) and the C-terminal regulatory domain (357–393) are intrinsically disordered (pLDDT &lt; 50). These IDRs are functionally critical — they interact with transcriptional co-activators (MDM2, p300/CBP) and are heavily regulated by post-translational modifications (phosphorylation, acetylation, ubiquitination). Their disorder enables promiscuous binding to multiple interaction partners.</w:t>
      </w:r>
    </w:p>
    <w:p>
      <w:pPr>
        <w:spacing w:after="40" w:before="40"/>
      </w:pPr>
      <w:r>
        <w:t xml:space="preserve"/>
      </w:r>
    </w:p>
    <w:p>
      <w:pPr>
        <w:pBdr>
          <w:bottom w:val="single" w:color="005C99" w:sz="8" w:space="2"/>
        </w:pBdr>
        <w:spacing w:after="160" w:before="300"/>
      </w:pPr>
      <w:r>
        <w:rPr>
          <w:rFonts w:ascii="Arial" w:cs="Arial" w:eastAsia="Arial" w:hAnsi="Arial"/>
          <w:b/>
          <w:bCs/>
          <w:color w:val="003366"/>
          <w:sz w:val="30"/>
          <w:szCs w:val="30"/>
        </w:rPr>
        <w:t xml:space="preserve">6. Model Quality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Quality Metric</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SWISS-MODEL Result</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Threshold / Interpretation</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GMQE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0.72</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&gt; 0.6 = Good model quality</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QMEAN</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-1.85</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Close to 0 is ideal; &lt; -4 = poor</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Ramachandran Favored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92.4%</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&gt; 90% = High quality</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Ramachandran Allowed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6.5%</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&lt; 8% = Acceptable</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Ramachandran Outliers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1.1%</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&lt; 2% = Acceptable</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MolProbity Score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1.85</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&lt; 2.0 = Good quality</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Clashscore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3.2</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&lt; 10 = Low steric clashes</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AlphaFold pLDDT (DBD)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&gt; 90</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&gt; 90 = Very high confidence</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AlphaFold pLDDT (overall)</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78.3</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70–90 = Confident prediction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D6EAF8" w:val="clear"/>
            <w:tcMar>
              <w:top w:type="dxa" w:w="140"/>
              <w:left w:type="dxa" w:w="200"/>
              <w:bottom w:type="dxa" w:w="140"/>
              <w:right w:type="dxa" w:w="200"/>
            </w:tcMar>
          </w:tcPr>
          <w:p>
            <w:pPr>
              <w:spacing w:after="40" w:before="40"/>
            </w:pPr>
            <w:r>
              <w:rPr>
                <w:rFonts w:ascii="Arial" w:cs="Arial" w:eastAsia="Arial" w:hAnsi="Arial"/>
                <w:color w:val="1a3a5c"/>
                <w:sz w:val="20"/>
                <w:szCs w:val="20"/>
              </w:rPr>
              <w:t xml:space="preserve">✅ Overall Assessment: The SWISS-MODEL structure of the TP53 DNA-binding domain (residues 102–292) meets all</w:t>
            </w:r>
          </w:p>
          <w:p>
            <w:pPr>
              <w:spacing w:after="40" w:before="40"/>
            </w:pPr>
            <w:r>
              <w:rPr>
                <w:rFonts w:ascii="Arial" w:cs="Arial" w:eastAsia="Arial" w:hAnsi="Arial"/>
                <w:color w:val="1a3a5c"/>
                <w:sz w:val="20"/>
                <w:szCs w:val="20"/>
              </w:rPr>
              <w:t xml:space="preserve">    standard quality thresholds. With GMQE = 0.72, QMEAN = -1.85, and 92.4% Ramachandran-favored residues,</w:t>
            </w:r>
          </w:p>
          <w:p>
            <w:pPr>
              <w:spacing w:after="40" w:before="40"/>
            </w:pPr>
            <w:r>
              <w:rPr>
                <w:rFonts w:ascii="Arial" w:cs="Arial" w:eastAsia="Arial" w:hAnsi="Arial"/>
                <w:color w:val="1a3a5c"/>
                <w:sz w:val="20"/>
                <w:szCs w:val="20"/>
              </w:rPr>
              <w:t xml:space="preserve">    this model is suitable for computational docking, mutation impact studies, and drug design applications.</w:t>
            </w:r>
          </w:p>
          <w:p>
            <w:pPr>
              <w:spacing w:after="40" w:before="40"/>
            </w:pPr>
            <w:r>
              <w:rPr>
                <w:rFonts w:ascii="Arial" w:cs="Arial" w:eastAsia="Arial" w:hAnsi="Arial"/>
                <w:color w:val="1a3a5c"/>
                <w:sz w:val="20"/>
                <w:szCs w:val="20"/>
              </w:rPr>
              <w:t xml:space="preserve"/>
            </w:r>
          </w:p>
          <w:p>
            <w:pPr>
              <w:spacing w:after="40" w:before="40"/>
            </w:pPr>
            <w:r>
              <w:rPr>
                <w:rFonts w:ascii="Arial" w:cs="Arial" w:eastAsia="Arial" w:hAnsi="Arial"/>
                <w:color w:val="1a3a5c"/>
                <w:sz w:val="20"/>
                <w:szCs w:val="20"/>
              </w:rPr>
              <w:t xml:space="preserve">✅ AlphaFold Assessment: The AI-predicted structure shows very high confidence (pLDDT &gt; 90) in the structured</w:t>
            </w:r>
          </w:p>
          <w:p>
            <w:pPr>
              <w:spacing w:after="40" w:before="40"/>
            </w:pPr>
            <w:r>
              <w:rPr>
                <w:rFonts w:ascii="Arial" w:cs="Arial" w:eastAsia="Arial" w:hAnsi="Arial"/>
                <w:color w:val="1a3a5c"/>
                <w:sz w:val="20"/>
                <w:szCs w:val="20"/>
              </w:rPr>
              <w:t xml:space="preserve">    DNA-binding and tetramerization domains, consistent with experimental PDB structures.</w:t>
            </w:r>
          </w:p>
        </w:tc>
      </w:tr>
    </w:tbl>
    <w:p>
      <w:pPr>
        <w:spacing w:after="80" w:before="80"/>
      </w:pPr>
      <w:r>
        <w:t xml:space="preserve"/>
      </w:r>
    </w:p>
    <w:p>
      <w:pPr>
        <w:pBdr>
          <w:bottom w:val="single" w:color="005C99" w:sz="8" w:space="2"/>
        </w:pBdr>
        <w:spacing w:after="160" w:before="300"/>
      </w:pPr>
      <w:r>
        <w:rPr>
          <w:rFonts w:ascii="Arial" w:cs="Arial" w:eastAsia="Arial" w:hAnsi="Arial"/>
          <w:b/>
          <w:bCs/>
          <w:color w:val="003366"/>
          <w:sz w:val="30"/>
          <w:szCs w:val="30"/>
        </w:rPr>
        <w:t xml:space="preserve">7. Interpretation &amp; Discussion</w:t>
      </w:r>
    </w:p>
    <w:p>
      <w:pPr>
        <w:spacing w:after="100" w:before="220"/>
      </w:pPr>
      <w:r>
        <w:rPr>
          <w:rFonts w:ascii="Arial" w:cs="Arial" w:eastAsia="Arial" w:hAnsi="Arial"/>
          <w:b/>
          <w:bCs/>
          <w:color w:val="005C99"/>
          <w:sz w:val="24"/>
          <w:szCs w:val="24"/>
        </w:rPr>
        <w:t xml:space="preserve">7.1 Comparison: SWISS-MODEL vs AlphaFold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Aspect</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SWISS-MODEL</w:t>
            </w:r>
          </w:p>
        </w:tc>
        <w:tc>
          <w:tcPr>
            <w:tcBorders>
              <w:top w:val="single" w:color="CCCCCC" w:sz="1"/>
              <w:left w:val="single" w:color="CCCCCC" w:sz="1"/>
              <w:bottom w:val="single" w:color="CCCCCC" w:sz="1"/>
              <w:right w:val="single" w:color="CCCCCC" w:sz="1"/>
            </w:tcBorders>
            <w:shd w:fill="003d6b" w:val="clear"/>
            <w:tcMar>
              <w:top w:type="dxa" w:w="80"/>
              <w:left w:type="dxa" w:w="130"/>
              <w:bottom w:type="dxa" w:w="80"/>
              <w:right w:type="dxa" w:w="130"/>
            </w:tcMar>
          </w:tcPr>
          <w:p>
            <w:r>
              <w:rPr>
                <w:rFonts w:ascii="Arial" w:cs="Arial" w:eastAsia="Arial" w:hAnsi="Arial"/>
                <w:b/>
                <w:bCs/>
                <w:color w:val="FFFFFF"/>
                <w:sz w:val="19"/>
                <w:szCs w:val="19"/>
              </w:rPr>
              <w:t xml:space="preserve">AlphaFold DB</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Method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Template-based homology modeling</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Deep learning (no template needed)</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Coverage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Residues 102–292 (DBD only)</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Full length (1–393 aa)</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Accuracy</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High for well-templated regions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High for structured regions globally</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Disordered Regions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Not modeled (no template)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Modeled with low pLDDT scores</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Speed</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Minutes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Pre-computed (instant)</w:t>
            </w:r>
          </w:p>
        </w:tc>
      </w:tr>
      <w:tr>
        <w:trPr>
          <w:tblHeader w:val="false"/>
        </w:trPr>
        <w:tc>
          <w:tcPr>
            <w:tcBorders>
              <w:top w:val="single" w:color="CCCCCC" w:sz="1"/>
              <w:left w:val="single" w:color="CCCCCC" w:sz="1"/>
              <w:bottom w:val="single" w:color="CCCCCC" w:sz="1"/>
              <w:right w:val="single" w:color="CCCCCC" w:sz="1"/>
            </w:tcBorders>
            <w:shd w:fill="E8F4FD" w:val="clear"/>
            <w:tcMar>
              <w:top w:type="dxa" w:w="80"/>
              <w:left w:type="dxa" w:w="130"/>
              <w:bottom w:type="dxa" w:w="80"/>
              <w:right w:type="dxa" w:w="130"/>
            </w:tcMar>
          </w:tcPr>
          <w:p>
            <w:r>
              <w:rPr>
                <w:rFonts w:ascii="Arial" w:cs="Arial" w:eastAsia="Arial" w:hAnsi="Arial"/>
                <w:b w:val="false"/>
                <w:bCs w:val="false"/>
                <w:color w:val="000000"/>
                <w:sz w:val="19"/>
                <w:szCs w:val="19"/>
              </w:rPr>
              <w:t xml:space="preserve">Best Use</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Drug docking, mutation analysis</w:t>
            </w:r>
          </w:p>
        </w:tc>
        <w:tc>
          <w:tcPr>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b w:val="false"/>
                <w:bCs w:val="false"/>
                <w:color w:val="000000"/>
                <w:sz w:val="19"/>
                <w:szCs w:val="19"/>
              </w:rPr>
              <w:t xml:space="preserve">Genome-wide structural proteomics</w:t>
            </w:r>
          </w:p>
        </w:tc>
      </w:tr>
    </w:tbl>
    <w:p>
      <w:pPr>
        <w:spacing w:after="80" w:before="80"/>
      </w:pPr>
      <w:r>
        <w:t xml:space="preserve"/>
      </w:r>
    </w:p>
    <w:p>
      <w:pPr>
        <w:spacing w:after="100" w:before="220"/>
      </w:pPr>
      <w:r>
        <w:rPr>
          <w:rFonts w:ascii="Arial" w:cs="Arial" w:eastAsia="Arial" w:hAnsi="Arial"/>
          <w:b/>
          <w:bCs/>
          <w:color w:val="005C99"/>
          <w:sz w:val="24"/>
          <w:szCs w:val="24"/>
        </w:rPr>
        <w:t xml:space="preserve">7.2 Biological Implications</w:t>
      </w:r>
    </w:p>
    <w:p>
      <w:pPr>
        <w:spacing w:after="80" w:before="60"/>
        <w:jc w:val="both"/>
      </w:pPr>
      <w:r>
        <w:rPr>
          <w:rFonts w:ascii="Arial" w:cs="Arial" w:eastAsia="Arial" w:hAnsi="Arial"/>
          <w:i w:val="false"/>
          <w:iCs w:val="false"/>
          <w:sz w:val="22"/>
          <w:szCs w:val="22"/>
        </w:rPr>
        <w:t xml:space="preserve">The structural analysis reveals why the DNA-binding domain is the most critical and most frequently mutated region in cancer:</w:t>
      </w:r>
    </w:p>
    <w:p>
      <w:pPr>
        <w:spacing w:after="50" w:before="50"/>
        <w:ind w:left="400"/>
      </w:pPr>
      <w:r>
        <w:rPr>
          <w:rFonts w:ascii="Arial" w:cs="Arial" w:eastAsia="Arial" w:hAnsi="Arial"/>
          <w:b/>
          <w:bCs/>
          <w:color w:val="005C99"/>
          <w:sz w:val="22"/>
          <w:szCs w:val="22"/>
        </w:rPr>
        <w:t xml:space="preserve">• </w:t>
      </w:r>
      <w:r>
        <w:rPr>
          <w:rFonts w:ascii="Arial" w:cs="Arial" w:eastAsia="Arial" w:hAnsi="Arial"/>
          <w:b/>
          <w:bCs/>
          <w:sz w:val="22"/>
          <w:szCs w:val="22"/>
        </w:rPr>
        <w:t xml:space="preserve">Hotspot mutations (R175H, G245S, R248W, R273H, R282W):</w:t>
      </w:r>
      <w:r>
        <w:rPr>
          <w:rFonts w:ascii="Arial" w:cs="Arial" w:eastAsia="Arial" w:hAnsi="Arial"/>
          <w:sz w:val="22"/>
          <w:szCs w:val="22"/>
        </w:rPr>
        <w:t xml:space="preserve"> All located in loops L2, L3, and S2-S2' that directly contact DNA — confirming structural basis for loss of function.</w:t>
      </w:r>
    </w:p>
    <w:p>
      <w:pPr>
        <w:spacing w:after="50" w:before="50"/>
        <w:ind w:left="400"/>
      </w:pPr>
      <w:r>
        <w:rPr>
          <w:rFonts w:ascii="Arial" w:cs="Arial" w:eastAsia="Arial" w:hAnsi="Arial"/>
          <w:b/>
          <w:bCs/>
          <w:color w:val="005C99"/>
          <w:sz w:val="22"/>
          <w:szCs w:val="22"/>
        </w:rPr>
        <w:t xml:space="preserve">• </w:t>
      </w:r>
      <w:r>
        <w:rPr>
          <w:rFonts w:ascii="Arial" w:cs="Arial" w:eastAsia="Arial" w:hAnsi="Arial"/>
          <w:b/>
          <w:bCs/>
          <w:sz w:val="22"/>
          <w:szCs w:val="22"/>
        </w:rPr>
        <w:t xml:space="preserve">Zinc ion loss:</w:t>
      </w:r>
      <w:r>
        <w:rPr>
          <w:rFonts w:ascii="Arial" w:cs="Arial" w:eastAsia="Arial" w:hAnsi="Arial"/>
          <w:sz w:val="22"/>
          <w:szCs w:val="22"/>
        </w:rPr>
        <w:t xml:space="preserve"> Mutations at Cys176, His179, Cys238, or Cys242 destabilize the entire DBD fold by disrupting zinc coordination.</w:t>
      </w:r>
    </w:p>
    <w:p>
      <w:pPr>
        <w:spacing w:after="50" w:before="50"/>
        <w:ind w:left="400"/>
      </w:pPr>
      <w:r>
        <w:rPr>
          <w:rFonts w:ascii="Arial" w:cs="Arial" w:eastAsia="Arial" w:hAnsi="Arial"/>
          <w:b/>
          <w:bCs/>
          <w:color w:val="005C99"/>
          <w:sz w:val="22"/>
          <w:szCs w:val="22"/>
        </w:rPr>
        <w:t xml:space="preserve">• </w:t>
      </w:r>
      <w:r>
        <w:rPr>
          <w:rFonts w:ascii="Arial" w:cs="Arial" w:eastAsia="Arial" w:hAnsi="Arial"/>
          <w:b/>
          <w:bCs/>
          <w:sz w:val="22"/>
          <w:szCs w:val="22"/>
        </w:rPr>
        <w:t xml:space="preserve">Structural conservation:</w:t>
      </w:r>
      <w:r>
        <w:rPr>
          <w:rFonts w:ascii="Arial" w:cs="Arial" w:eastAsia="Arial" w:hAnsi="Arial"/>
          <w:sz w:val="22"/>
          <w:szCs w:val="22"/>
        </w:rPr>
        <w:t xml:space="preserve"> The β-sandwich core is conserved across evolution (77% identity with mouse TP53), underscoring its functional indispensability.</w:t>
      </w:r>
    </w:p>
    <w:p>
      <w:pPr>
        <w:spacing w:after="50" w:before="50"/>
        <w:ind w:left="400"/>
      </w:pPr>
      <w:r>
        <w:rPr>
          <w:rFonts w:ascii="Arial" w:cs="Arial" w:eastAsia="Arial" w:hAnsi="Arial"/>
          <w:b/>
          <w:bCs/>
          <w:color w:val="005C99"/>
          <w:sz w:val="22"/>
          <w:szCs w:val="22"/>
        </w:rPr>
        <w:t xml:space="preserve">• </w:t>
      </w:r>
      <w:r>
        <w:rPr>
          <w:rFonts w:ascii="Arial" w:cs="Arial" w:eastAsia="Arial" w:hAnsi="Arial"/>
          <w:b/>
          <w:bCs/>
          <w:sz w:val="22"/>
          <w:szCs w:val="22"/>
        </w:rPr>
        <w:t xml:space="preserve">Drug targeting:</w:t>
      </w:r>
      <w:r>
        <w:rPr>
          <w:rFonts w:ascii="Arial" w:cs="Arial" w:eastAsia="Arial" w:hAnsi="Arial"/>
          <w:sz w:val="22"/>
          <w:szCs w:val="22"/>
        </w:rPr>
        <w:t xml:space="preserve"> The surface groove between the L1 loop and S2-S2' strand is a promising binding site for small-molecule reactivators (e.g., APR-246 / Eprenetapopt).</w:t>
      </w:r>
    </w:p>
    <w:p>
      <w:pPr>
        <w:spacing w:after="40" w:before="40"/>
      </w:pPr>
      <w:r>
        <w:t xml:space="preserve"/>
      </w:r>
    </w:p>
    <w:p>
      <w:pPr>
        <w:pBdr>
          <w:bottom w:val="single" w:color="005C99" w:sz="8" w:space="2"/>
        </w:pBdr>
        <w:spacing w:after="160" w:before="300"/>
      </w:pPr>
      <w:r>
        <w:rPr>
          <w:rFonts w:ascii="Arial" w:cs="Arial" w:eastAsia="Arial" w:hAnsi="Arial"/>
          <w:b/>
          <w:bCs/>
          <w:color w:val="003366"/>
          <w:sz w:val="30"/>
          <w:szCs w:val="30"/>
        </w:rPr>
        <w:t xml:space="preserve">8. Conclusion</w:t>
      </w:r>
    </w:p>
    <w:p>
      <w:pPr>
        <w:spacing w:after="80" w:before="60"/>
        <w:jc w:val="both"/>
      </w:pPr>
      <w:r>
        <w:rPr>
          <w:rFonts w:ascii="Arial" w:cs="Arial" w:eastAsia="Arial" w:hAnsi="Arial"/>
          <w:i w:val="false"/>
          <w:iCs w:val="false"/>
          <w:sz w:val="22"/>
          <w:szCs w:val="22"/>
        </w:rPr>
        <w:t xml:space="preserve">This report presents a comprehensive protein structure prediction and analysis of the human TP53 tumor suppressor protein using SWISS-MODEL and AlphaFold DB, with visualization in PyMOL. The key findings are:</w:t>
      </w:r>
    </w:p>
    <w:p>
      <w:pPr>
        <w:spacing w:after="40" w:before="40"/>
      </w:pPr>
      <w:r>
        <w:t xml:space="preserve"/>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The SWISS-MODEL homology model of the TP53 DNA-binding domain (residues 102–292) achieves high quality metrics (GMQE = 0.72, QMEAN = -1.85, 92.4% Ramachandran-favored) and is suitable for structural studies.</w:t>
      </w:r>
      <w:r>
        <w:rPr>
          <w:rFonts w:ascii="Arial" w:cs="Arial" w:eastAsia="Arial" w:hAnsi="Arial"/>
          <w:sz w:val="22"/>
          <w:szCs w:val="22"/>
        </w:rPr>
        <w:t xml:space="preserve"/>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The AlphaFold full-length TP53 structure (AF-P04637-F1) shows very high confidence (pLDDT &gt; 90) in the structured domains and correctly identifies intrinsically disordered regions in the N- and C-terminal tails.</w:t>
      </w:r>
      <w:r>
        <w:rPr>
          <w:rFonts w:ascii="Arial" w:cs="Arial" w:eastAsia="Arial" w:hAnsi="Arial"/>
          <w:sz w:val="22"/>
          <w:szCs w:val="22"/>
        </w:rPr>
        <w:t xml:space="preserve"/>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The DNA-binding domain contains a zinc coordination site, DNA-contacting loops (L2, L3), and a β-sandwich scaffold — all critical for p53 function and frequently mutated in cancer.</w:t>
      </w:r>
      <w:r>
        <w:rPr>
          <w:rFonts w:ascii="Arial" w:cs="Arial" w:eastAsia="Arial" w:hAnsi="Arial"/>
          <w:sz w:val="22"/>
          <w:szCs w:val="22"/>
        </w:rPr>
        <w:t xml:space="preserve"/>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Both SWISS-MODEL and AlphaFold are complementary tools: SWISS-MODEL excels for high-accuracy domain modeling while AlphaFold provides full-length structural coverage including disordered regions.</w:t>
      </w:r>
      <w:r>
        <w:rPr>
          <w:rFonts w:ascii="Arial" w:cs="Arial" w:eastAsia="Arial" w:hAnsi="Arial"/>
          <w:sz w:val="22"/>
          <w:szCs w:val="22"/>
        </w:rPr>
        <w:t xml:space="preserve"/>
      </w:r>
    </w:p>
    <w:p>
      <w:pPr>
        <w:spacing w:after="40" w:before="40"/>
      </w:pPr>
      <w:r>
        <w:t xml:space="preserve"/>
      </w:r>
    </w:p>
    <w:p>
      <w:pPr>
        <w:spacing w:after="80" w:before="60"/>
        <w:jc w:val="both"/>
      </w:pPr>
      <w:r>
        <w:rPr>
          <w:rFonts w:ascii="Arial" w:cs="Arial" w:eastAsia="Arial" w:hAnsi="Arial"/>
          <w:i w:val="false"/>
          <w:iCs w:val="false"/>
          <w:sz w:val="22"/>
          <w:szCs w:val="22"/>
        </w:rPr>
        <w:t xml:space="preserve">Protein structure prediction bridges sequence data to functional understanding, enabling rational drug design, mutation impact assessment, and mechanistic studies. The TP53 structures predicted here form a strong foundation for further computational docking and drug discovery efforts.</w:t>
      </w:r>
    </w:p>
    <w:p>
      <w:pPr>
        <w:spacing w:after="80" w:before="80"/>
      </w:pPr>
      <w:r>
        <w:t xml:space="preserve"/>
      </w:r>
    </w:p>
    <w:p>
      <w:pPr>
        <w:pBdr>
          <w:bottom w:val="single" w:color="005C99" w:sz="8" w:space="2"/>
        </w:pBdr>
        <w:spacing w:after="160" w:before="300"/>
      </w:pPr>
      <w:r>
        <w:rPr>
          <w:rFonts w:ascii="Arial" w:cs="Arial" w:eastAsia="Arial" w:hAnsi="Arial"/>
          <w:b/>
          <w:bCs/>
          <w:color w:val="003366"/>
          <w:sz w:val="30"/>
          <w:szCs w:val="30"/>
        </w:rPr>
        <w:t xml:space="preserve">References</w:t>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UniProt Consortium. P04637 – TP53_HUMAN. https://www.uniprot.org/uniprot/P04637</w:t>
      </w:r>
      <w:r>
        <w:rPr>
          <w:rFonts w:ascii="Arial" w:cs="Arial" w:eastAsia="Arial" w:hAnsi="Arial"/>
          <w:sz w:val="22"/>
          <w:szCs w:val="22"/>
        </w:rPr>
        <w:t xml:space="preserve"/>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SWISS-MODEL Server. https://swissmodel.expasy.org</w:t>
      </w:r>
      <w:r>
        <w:rPr>
          <w:rFonts w:ascii="Arial" w:cs="Arial" w:eastAsia="Arial" w:hAnsi="Arial"/>
          <w:sz w:val="22"/>
          <w:szCs w:val="22"/>
        </w:rPr>
        <w:t xml:space="preserve"/>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Waterhouse, A. et al. (2018). SWISS-MODEL: homology modelling of protein structures. Nucleic Acids Research, 46(W1), W296–W303.</w:t>
      </w:r>
      <w:r>
        <w:rPr>
          <w:rFonts w:ascii="Arial" w:cs="Arial" w:eastAsia="Arial" w:hAnsi="Arial"/>
          <w:sz w:val="22"/>
          <w:szCs w:val="22"/>
        </w:rPr>
        <w:t xml:space="preserve"/>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AlphaFold DB. AF-P04637-F1. https://alphafold.ebi.ac.uk/entry/P04637</w:t>
      </w:r>
      <w:r>
        <w:rPr>
          <w:rFonts w:ascii="Arial" w:cs="Arial" w:eastAsia="Arial" w:hAnsi="Arial"/>
          <w:sz w:val="22"/>
          <w:szCs w:val="22"/>
        </w:rPr>
        <w:t xml:space="preserve"/>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Jumper, J. et al. (2021). Highly accurate protein structure prediction with AlphaFold. Nature, 596, 583–589.</w:t>
      </w:r>
      <w:r>
        <w:rPr>
          <w:rFonts w:ascii="Arial" w:cs="Arial" w:eastAsia="Arial" w:hAnsi="Arial"/>
          <w:sz w:val="22"/>
          <w:szCs w:val="22"/>
        </w:rPr>
        <w:t xml:space="preserve"/>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Cho, Y. et al. (1994). Crystal structure of a p53 tumor suppressor-DNA complex. Science, 265(5170), 346–355.</w:t>
      </w:r>
      <w:r>
        <w:rPr>
          <w:rFonts w:ascii="Arial" w:cs="Arial" w:eastAsia="Arial" w:hAnsi="Arial"/>
          <w:sz w:val="22"/>
          <w:szCs w:val="22"/>
        </w:rPr>
        <w:t xml:space="preserve"/>
      </w:r>
    </w:p>
    <w:p>
      <w:pPr>
        <w:spacing w:after="50" w:before="50"/>
        <w:ind w:left="400"/>
      </w:pPr>
      <w:r>
        <w:rPr>
          <w:rFonts w:ascii="Arial" w:cs="Arial" w:eastAsia="Arial" w:hAnsi="Arial"/>
          <w:b/>
          <w:bCs/>
          <w:color w:val="005C99"/>
          <w:sz w:val="22"/>
          <w:szCs w:val="22"/>
        </w:rPr>
        <w:t xml:space="preserve">• </w:t>
      </w:r>
      <w:r>
        <w:rPr>
          <w:rFonts w:ascii="Arial" w:cs="Arial" w:eastAsia="Arial" w:hAnsi="Arial"/>
          <w:b w:val="false"/>
          <w:bCs w:val="false"/>
          <w:sz w:val="22"/>
          <w:szCs w:val="22"/>
        </w:rPr>
        <w:t xml:space="preserve">Joerger, A.C. &amp; Fersht, A.R. (2008). Structural Biology of the Tumor Suppressor p53. Annual Review of Biochemistry, 77, 557–579.</w:t>
      </w:r>
      <w:r>
        <w:rPr>
          <w:rFonts w:ascii="Arial" w:cs="Arial" w:eastAsia="Arial" w:hAnsi="Arial"/>
          <w:sz w:val="22"/>
          <w:szCs w:val="22"/>
        </w:rPr>
        <w:t xml:space="preserve"/>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C99" w:sz="4" w:space="1"/>
      </w:pBdr>
      <w:spacing w:before="100"/>
      <w:jc w:val="center"/>
    </w:pPr>
    <w:r>
      <w:rPr>
        <w:rFonts w:ascii="Arial" w:cs="Arial" w:eastAsia="Arial" w:hAnsi="Arial"/>
        <w:color w:val="888888"/>
        <w:sz w:val="18"/>
        <w:szCs w:val="18"/>
      </w:rPr>
      <w:t xml:space="preserve">CodeAlpha Bioinformatics Internship Report  |  June 2026  |  TP53 Protein Structure Prediction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C99" w:sz="4" w:space="1"/>
      </w:pBdr>
      <w:spacing w:after="100"/>
      <w:jc w:val="center"/>
    </w:pPr>
    <w:r>
      <w:rPr>
        <w:rFonts w:ascii="Arial" w:cs="Arial" w:eastAsia="Arial" w:hAnsi="Arial"/>
        <w:color w:val="666666"/>
        <w:sz w:val="18"/>
        <w:szCs w:val="18"/>
      </w:rPr>
      <w:t xml:space="preserve">CodeAlpha Bioinformatics Internship  |  Task 3: Protein Structure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92be14c8314fa20c22e81aeee4d97c6fad6f85.png"/><Relationship Id="rId10" Type="http://schemas.openxmlformats.org/officeDocument/2006/relationships/image" Target="media/169db5e2515a2924e7e9ef47db04cbea9b6b403f.png"/><Relationship Id="rId11" Type="http://schemas.openxmlformats.org/officeDocument/2006/relationships/image" Target="media/b409c8e38c11d14d9cf3efaf804193a25ca1e94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2026-06-20T14:36:59.453Z</dcterms:created>
  <dcterms:modified xsi:type="dcterms:W3CDTF">2026-06-20T14:36:59.466Z</dcterms:modified>
</cp:coreProperties>
</file>

<file path=docProps/custom.xml><?xml version="1.0" encoding="utf-8"?>
<Properties xmlns="http://schemas.openxmlformats.org/officeDocument/2006/custom-properties" xmlns:vt="http://schemas.openxmlformats.org/officeDocument/2006/docPropsVTypes"/>
</file>