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2C23"/>
          <w:sz w:val="44"/>
        </w:rPr>
        <w:t>NxtWave Growth Challenge</w:t>
      </w:r>
    </w:p>
    <w:p>
      <w:pPr>
        <w:spacing w:after="80"/>
      </w:pPr>
      <w:r>
        <w:rPr>
          <w:rFonts w:ascii="Aptos" w:hAnsi="Aptos"/>
          <w:b/>
          <w:color w:val="64746A"/>
          <w:sz w:val="16"/>
        </w:rPr>
        <w:t>ROUND 1 · SIMULATION PLAN · 7 DAYS · TARGET: 500 REGISTRATIONS</w:t>
      </w:r>
    </w:p>
    <w:p>
      <w:pPr>
        <w:spacing w:after="40" w:line="240" w:lineRule="auto"/>
      </w:pPr>
      <w:r>
        <w:rPr>
          <w:rFonts w:ascii="Aptos" w:hAnsi="Aptos"/>
          <w:color w:val="815B1A"/>
          <w:sz w:val="16"/>
        </w:rPr>
        <w:t>No students were contacted, no registrations were acquired and no campaign budget was spent. Reach and conversion figures are projections, not results.</w:t>
      </w:r>
    </w:p>
    <w:p>
      <w:pPr>
        <w:spacing w:before="80" w:after="40"/>
      </w:pPr>
      <w:r>
        <w:rPr>
          <w:rFonts w:ascii="Aptos Display" w:hAnsi="Aptos Display"/>
          <w:b/>
          <w:color w:val="172C23"/>
          <w:sz w:val="30"/>
        </w:rPr>
        <w:t>1. Student and strategy</w:t>
      </w:r>
    </w:p>
    <w:p>
      <w:pPr>
        <w:spacing w:after="40" w:line="240" w:lineRule="auto"/>
      </w:pPr>
      <w:r>
        <w:rPr>
          <w:rFonts w:ascii="Aptos" w:hAnsi="Aptos"/>
          <w:color w:val="172C23"/>
          <w:sz w:val="16"/>
        </w:rPr>
        <w:t>Persona: final-year B.Tech CSE (AI &amp; ML) student at a tier-2/3 engineering college, balancing placements, coursework and projects. Interested in AI, but not confident building and explaining a complete project. Likely discovery: technical clubs, peer groups and permitted WhatsApp/Telegram communities. Tier/channel habits are assumptions to validate.</w:t>
      </w:r>
    </w:p>
    <w:p>
      <w:pPr>
        <w:spacing w:after="40" w:line="240" w:lineRule="auto"/>
      </w:pPr>
      <w:r>
        <w:rPr>
          <w:rFonts w:ascii="Aptos" w:hAnsi="Aptos"/>
          <w:color w:val="172C23"/>
          <w:sz w:val="16"/>
        </w:rPr>
        <w:t>Need: “I’ve studied AI, but can I build something that works?” Value: one small guided chatbot/classifier build with starter code—not a promise of AI mastery or a job. Message: “Build a simple AI project in 60 minutes, with a walkthrough and starter code. Free workshop; check the tools and session details before registering.”</w:t>
      </w:r>
    </w:p>
    <w:p>
      <w:pPr>
        <w:spacing w:after="40" w:line="240" w:lineRule="auto"/>
      </w:pPr>
      <w:r>
        <w:rPr>
          <w:rFonts w:ascii="Aptos" w:hAnsi="Aptos"/>
          <w:color w:val="172C23"/>
          <w:sz w:val="16"/>
        </w:rPr>
        <w:t>Insights: (1) “Free” alone is not enough; state the project and scope. (2) Peer context can make a share relevant. (3) A one-hour promise needs a deliberately small build.</w:t>
      </w:r>
    </w:p>
    <w:p>
      <w:pPr>
        <w:spacing w:before="80" w:after="40"/>
      </w:pPr>
      <w:r>
        <w:rPr>
          <w:rFonts w:ascii="Aptos Display" w:hAnsi="Aptos Display"/>
          <w:b/>
          <w:color w:val="172C23"/>
          <w:sz w:val="30"/>
        </w:rPr>
        <w:t>2. Prioritised channels and transparent funnel</w:t>
      </w:r>
    </w:p>
    <w:tbl>
      <w:tblPr>
        <w:tblW w:type="auto" w:w="0"/>
        <w:tblLayout w:type="fixed"/>
        <w:tblLook w:firstColumn="1" w:firstRow="1" w:lastColumn="0" w:lastRow="0" w:noHBand="0" w:noVBand="1" w:val="04A0"/>
      </w:tblPr>
      <w:tblGrid>
        <w:gridCol w:w="2131"/>
        <w:gridCol w:w="2131"/>
        <w:gridCol w:w="2131"/>
        <w:gridCol w:w="2131"/>
        <w:gridCol w:w="2131"/>
      </w:tblGrid>
      <w:tr>
        <w:tc>
          <w:tcPr>
            <w:tcW w:type="dxa" w:w="3456"/>
            <w:shd w:fill="172C23"/>
            <w:vAlign w:val="center"/>
          </w:tcPr>
          <w:p>
            <w:pPr>
              <w:spacing w:after="0" w:before="0"/>
            </w:pPr>
            <w:r/>
            <w:r>
              <w:rPr>
                <w:rFonts w:ascii="Aptos" w:hAnsi="Aptos"/>
                <w:b/>
                <w:color w:val="FFFFFF"/>
                <w:sz w:val="14"/>
              </w:rPr>
              <w:t>Channel / action</w:t>
            </w:r>
          </w:p>
        </w:tc>
        <w:tc>
          <w:tcPr>
            <w:tcW w:type="dxa" w:w="1094"/>
            <w:shd w:fill="172C23"/>
            <w:vAlign w:val="center"/>
          </w:tcPr>
          <w:p>
            <w:pPr>
              <w:spacing w:after="0" w:before="0"/>
            </w:pPr>
            <w:r/>
            <w:r>
              <w:rPr>
                <w:rFonts w:ascii="Aptos" w:hAnsi="Aptos"/>
                <w:b/>
                <w:color w:val="FFFFFF"/>
                <w:sz w:val="14"/>
              </w:rPr>
              <w:t>Reach</w:t>
            </w:r>
          </w:p>
        </w:tc>
        <w:tc>
          <w:tcPr>
            <w:tcW w:type="dxa" w:w="979"/>
            <w:shd w:fill="172C23"/>
            <w:vAlign w:val="center"/>
          </w:tcPr>
          <w:p>
            <w:pPr>
              <w:spacing w:after="0" w:before="0"/>
            </w:pPr>
            <w:r/>
            <w:r>
              <w:rPr>
                <w:rFonts w:ascii="Aptos" w:hAnsi="Aptos"/>
                <w:b/>
                <w:color w:val="FFFFFF"/>
                <w:sz w:val="14"/>
              </w:rPr>
              <w:t>Visits</w:t>
            </w:r>
          </w:p>
        </w:tc>
        <w:tc>
          <w:tcPr>
            <w:tcW w:type="dxa" w:w="1210"/>
            <w:shd w:fill="172C23"/>
            <w:vAlign w:val="center"/>
          </w:tcPr>
          <w:p>
            <w:pPr>
              <w:spacing w:after="0" w:before="0"/>
            </w:pPr>
            <w:r/>
            <w:r>
              <w:rPr>
                <w:rFonts w:ascii="Aptos" w:hAnsi="Aptos"/>
                <w:b/>
                <w:color w:val="FFFFFF"/>
                <w:sz w:val="14"/>
              </w:rPr>
              <w:t>Regs</w:t>
            </w:r>
          </w:p>
        </w:tc>
        <w:tc>
          <w:tcPr>
            <w:tcW w:type="dxa" w:w="864"/>
            <w:shd w:fill="172C23"/>
            <w:vAlign w:val="center"/>
          </w:tcPr>
          <w:p>
            <w:pPr>
              <w:spacing w:after="0" w:before="0"/>
            </w:pPr>
            <w:r/>
            <w:r>
              <w:rPr>
                <w:rFonts w:ascii="Aptos" w:hAnsi="Aptos"/>
                <w:b/>
                <w:color w:val="FFFFFF"/>
                <w:sz w:val="14"/>
              </w:rPr>
              <w:t>Cost</w:t>
            </w:r>
          </w:p>
        </w:tc>
      </w:tr>
      <w:tr>
        <w:tc>
          <w:tcPr>
            <w:tcW w:type="dxa" w:w="3456"/>
            <w:vAlign w:val="center"/>
          </w:tcPr>
          <w:p>
            <w:pPr>
              <w:spacing w:after="0" w:before="0"/>
            </w:pPr>
            <w:r/>
            <w:r>
              <w:rPr>
                <w:rFonts w:ascii="Aptos" w:hAnsi="Aptos"/>
                <w:b w:val="0"/>
                <w:color w:val="172C23"/>
                <w:sz w:val="13"/>
              </w:rPr>
              <w:t>Technical clubs · approved club post</w:t>
            </w:r>
          </w:p>
        </w:tc>
        <w:tc>
          <w:tcPr>
            <w:tcW w:type="dxa" w:w="1094"/>
            <w:vAlign w:val="center"/>
          </w:tcPr>
          <w:p>
            <w:pPr>
              <w:spacing w:after="0" w:before="0"/>
            </w:pPr>
            <w:r/>
            <w:r>
              <w:rPr>
                <w:rFonts w:ascii="Aptos" w:hAnsi="Aptos"/>
                <w:b w:val="0"/>
                <w:color w:val="172C23"/>
                <w:sz w:val="13"/>
              </w:rPr>
              <w:t>5,000</w:t>
            </w:r>
          </w:p>
        </w:tc>
        <w:tc>
          <w:tcPr>
            <w:tcW w:type="dxa" w:w="979"/>
            <w:vAlign w:val="center"/>
          </w:tcPr>
          <w:p>
            <w:pPr>
              <w:spacing w:after="0" w:before="0"/>
            </w:pPr>
            <w:r/>
            <w:r>
              <w:rPr>
                <w:rFonts w:ascii="Aptos" w:hAnsi="Aptos"/>
                <w:b w:val="0"/>
                <w:color w:val="172C23"/>
                <w:sz w:val="13"/>
              </w:rPr>
              <w:t>600 / 25%</w:t>
            </w:r>
          </w:p>
        </w:tc>
        <w:tc>
          <w:tcPr>
            <w:tcW w:type="dxa" w:w="1210"/>
            <w:vAlign w:val="center"/>
          </w:tcPr>
          <w:p>
            <w:pPr>
              <w:spacing w:after="0" w:before="0"/>
            </w:pPr>
            <w:r/>
            <w:r>
              <w:rPr>
                <w:rFonts w:ascii="Aptos" w:hAnsi="Aptos"/>
                <w:b w:val="0"/>
                <w:color w:val="172C23"/>
                <w:sz w:val="13"/>
              </w:rPr>
              <w:t>150</w:t>
            </w:r>
          </w:p>
        </w:tc>
        <w:tc>
          <w:tcPr>
            <w:tcW w:type="dxa" w:w="864"/>
            <w:vAlign w:val="center"/>
          </w:tcPr>
          <w:p>
            <w:pPr>
              <w:spacing w:after="0" w:before="0"/>
            </w:pPr>
            <w:r/>
            <w:r>
              <w:rPr>
                <w:rFonts w:ascii="Aptos" w:hAnsi="Aptos"/>
                <w:b w:val="0"/>
                <w:color w:val="172C23"/>
                <w:sz w:val="13"/>
              </w:rPr>
              <w:t>₹350</w:t>
            </w:r>
          </w:p>
        </w:tc>
      </w:tr>
      <w:tr>
        <w:tc>
          <w:tcPr>
            <w:tcW w:type="dxa" w:w="3456"/>
            <w:vAlign w:val="center"/>
          </w:tcPr>
          <w:p>
            <w:pPr>
              <w:spacing w:after="0" w:before="0"/>
            </w:pPr>
            <w:r/>
            <w:r>
              <w:rPr>
                <w:rFonts w:ascii="Aptos" w:hAnsi="Aptos"/>
                <w:b w:val="0"/>
                <w:color w:val="172C23"/>
                <w:sz w:val="13"/>
              </w:rPr>
              <w:t>Student ambassadors · voluntary referrals</w:t>
            </w:r>
          </w:p>
        </w:tc>
        <w:tc>
          <w:tcPr>
            <w:tcW w:type="dxa" w:w="1094"/>
            <w:vAlign w:val="center"/>
          </w:tcPr>
          <w:p>
            <w:pPr>
              <w:spacing w:after="0" w:before="0"/>
            </w:pPr>
            <w:r/>
            <w:r>
              <w:rPr>
                <w:rFonts w:ascii="Aptos" w:hAnsi="Aptos"/>
                <w:b w:val="0"/>
                <w:color w:val="172C23"/>
                <w:sz w:val="13"/>
              </w:rPr>
              <w:t>3,500</w:t>
            </w:r>
          </w:p>
        </w:tc>
        <w:tc>
          <w:tcPr>
            <w:tcW w:type="dxa" w:w="979"/>
            <w:vAlign w:val="center"/>
          </w:tcPr>
          <w:p>
            <w:pPr>
              <w:spacing w:after="0" w:before="0"/>
            </w:pPr>
            <w:r/>
            <w:r>
              <w:rPr>
                <w:rFonts w:ascii="Aptos" w:hAnsi="Aptos"/>
                <w:b w:val="0"/>
                <w:color w:val="172C23"/>
                <w:sz w:val="13"/>
              </w:rPr>
              <w:t>525 / 30.1%</w:t>
            </w:r>
          </w:p>
        </w:tc>
        <w:tc>
          <w:tcPr>
            <w:tcW w:type="dxa" w:w="1210"/>
            <w:vAlign w:val="center"/>
          </w:tcPr>
          <w:p>
            <w:pPr>
              <w:spacing w:after="0" w:before="0"/>
            </w:pPr>
            <w:r/>
            <w:r>
              <w:rPr>
                <w:rFonts w:ascii="Aptos" w:hAnsi="Aptos"/>
                <w:b w:val="0"/>
                <w:color w:val="172C23"/>
                <w:sz w:val="13"/>
              </w:rPr>
              <w:t>158</w:t>
            </w:r>
          </w:p>
        </w:tc>
        <w:tc>
          <w:tcPr>
            <w:tcW w:type="dxa" w:w="864"/>
            <w:vAlign w:val="center"/>
          </w:tcPr>
          <w:p>
            <w:pPr>
              <w:spacing w:after="0" w:before="0"/>
            </w:pPr>
            <w:r/>
            <w:r>
              <w:rPr>
                <w:rFonts w:ascii="Aptos" w:hAnsi="Aptos"/>
                <w:b w:val="0"/>
                <w:color w:val="172C23"/>
                <w:sz w:val="13"/>
              </w:rPr>
              <w:t>₹450</w:t>
            </w:r>
          </w:p>
        </w:tc>
      </w:tr>
      <w:tr>
        <w:tc>
          <w:tcPr>
            <w:tcW w:type="dxa" w:w="3456"/>
            <w:vAlign w:val="center"/>
          </w:tcPr>
          <w:p>
            <w:pPr>
              <w:spacing w:after="0" w:before="0"/>
            </w:pPr>
            <w:r/>
            <w:r>
              <w:rPr>
                <w:rFonts w:ascii="Aptos" w:hAnsi="Aptos"/>
                <w:b w:val="0"/>
                <w:color w:val="172C23"/>
                <w:sz w:val="13"/>
              </w:rPr>
              <w:t>Permitted WhatsApp/Telegram · one approved post</w:t>
            </w:r>
          </w:p>
        </w:tc>
        <w:tc>
          <w:tcPr>
            <w:tcW w:type="dxa" w:w="1094"/>
            <w:vAlign w:val="center"/>
          </w:tcPr>
          <w:p>
            <w:pPr>
              <w:spacing w:after="0" w:before="0"/>
            </w:pPr>
            <w:r/>
            <w:r>
              <w:rPr>
                <w:rFonts w:ascii="Aptos" w:hAnsi="Aptos"/>
                <w:b w:val="0"/>
                <w:color w:val="172C23"/>
                <w:sz w:val="13"/>
              </w:rPr>
              <w:t>5,000</w:t>
            </w:r>
          </w:p>
        </w:tc>
        <w:tc>
          <w:tcPr>
            <w:tcW w:type="dxa" w:w="979"/>
            <w:vAlign w:val="center"/>
          </w:tcPr>
          <w:p>
            <w:pPr>
              <w:spacing w:after="0" w:before="0"/>
            </w:pPr>
            <w:r/>
            <w:r>
              <w:rPr>
                <w:rFonts w:ascii="Aptos" w:hAnsi="Aptos"/>
                <w:b w:val="0"/>
                <w:color w:val="172C23"/>
                <w:sz w:val="13"/>
              </w:rPr>
              <w:t>500 / 20%</w:t>
            </w:r>
          </w:p>
        </w:tc>
        <w:tc>
          <w:tcPr>
            <w:tcW w:type="dxa" w:w="1210"/>
            <w:vAlign w:val="center"/>
          </w:tcPr>
          <w:p>
            <w:pPr>
              <w:spacing w:after="0" w:before="0"/>
            </w:pPr>
            <w:r/>
            <w:r>
              <w:rPr>
                <w:rFonts w:ascii="Aptos" w:hAnsi="Aptos"/>
                <w:b w:val="0"/>
                <w:color w:val="172C23"/>
                <w:sz w:val="13"/>
              </w:rPr>
              <w:t>100</w:t>
            </w:r>
          </w:p>
        </w:tc>
        <w:tc>
          <w:tcPr>
            <w:tcW w:type="dxa" w:w="864"/>
            <w:vAlign w:val="center"/>
          </w:tcPr>
          <w:p>
            <w:pPr>
              <w:spacing w:after="0" w:before="0"/>
            </w:pPr>
            <w:r/>
            <w:r>
              <w:rPr>
                <w:rFonts w:ascii="Aptos" w:hAnsi="Aptos"/>
                <w:b w:val="0"/>
                <w:color w:val="172C23"/>
                <w:sz w:val="13"/>
              </w:rPr>
              <w:t>₹300</w:t>
            </w:r>
          </w:p>
        </w:tc>
      </w:tr>
      <w:tr>
        <w:tc>
          <w:tcPr>
            <w:tcW w:type="dxa" w:w="3456"/>
            <w:vAlign w:val="center"/>
          </w:tcPr>
          <w:p>
            <w:pPr>
              <w:spacing w:after="0" w:before="0"/>
            </w:pPr>
            <w:r/>
            <w:r>
              <w:rPr>
                <w:rFonts w:ascii="Aptos" w:hAnsi="Aptos"/>
                <w:b w:val="0"/>
                <w:color w:val="172C23"/>
                <w:sz w:val="13"/>
              </w:rPr>
              <w:t>Placement communities / permission-based email</w:t>
            </w:r>
          </w:p>
        </w:tc>
        <w:tc>
          <w:tcPr>
            <w:tcW w:type="dxa" w:w="1094"/>
            <w:vAlign w:val="center"/>
          </w:tcPr>
          <w:p>
            <w:pPr>
              <w:spacing w:after="0" w:before="0"/>
            </w:pPr>
            <w:r/>
            <w:r>
              <w:rPr>
                <w:rFonts w:ascii="Aptos" w:hAnsi="Aptos"/>
                <w:b w:val="0"/>
                <w:color w:val="172C23"/>
                <w:sz w:val="13"/>
              </w:rPr>
              <w:t>7,500</w:t>
            </w:r>
          </w:p>
        </w:tc>
        <w:tc>
          <w:tcPr>
            <w:tcW w:type="dxa" w:w="979"/>
            <w:vAlign w:val="center"/>
          </w:tcPr>
          <w:p>
            <w:pPr>
              <w:spacing w:after="0" w:before="0"/>
            </w:pPr>
            <w:r/>
            <w:r>
              <w:rPr>
                <w:rFonts w:ascii="Aptos" w:hAnsi="Aptos"/>
                <w:b w:val="0"/>
                <w:color w:val="172C23"/>
                <w:sz w:val="13"/>
              </w:rPr>
              <w:t>600 / 15.3%</w:t>
            </w:r>
          </w:p>
        </w:tc>
        <w:tc>
          <w:tcPr>
            <w:tcW w:type="dxa" w:w="1210"/>
            <w:vAlign w:val="center"/>
          </w:tcPr>
          <w:p>
            <w:pPr>
              <w:spacing w:after="0" w:before="0"/>
            </w:pPr>
            <w:r/>
            <w:r>
              <w:rPr>
                <w:rFonts w:ascii="Aptos" w:hAnsi="Aptos"/>
                <w:b w:val="0"/>
                <w:color w:val="172C23"/>
                <w:sz w:val="13"/>
              </w:rPr>
              <w:t>92</w:t>
            </w:r>
          </w:p>
        </w:tc>
        <w:tc>
          <w:tcPr>
            <w:tcW w:type="dxa" w:w="864"/>
            <w:vAlign w:val="center"/>
          </w:tcPr>
          <w:p>
            <w:pPr>
              <w:spacing w:after="0" w:before="0"/>
            </w:pPr>
            <w:r/>
            <w:r>
              <w:rPr>
                <w:rFonts w:ascii="Aptos" w:hAnsi="Aptos"/>
                <w:b w:val="0"/>
                <w:color w:val="172C23"/>
                <w:sz w:val="13"/>
              </w:rPr>
              <w:t>₹250</w:t>
            </w:r>
          </w:p>
        </w:tc>
      </w:tr>
      <w:tr>
        <w:tc>
          <w:tcPr>
            <w:tcW w:type="dxa" w:w="3456"/>
            <w:shd w:fill="EDF4E5"/>
            <w:vAlign w:val="center"/>
          </w:tcPr>
          <w:p>
            <w:pPr>
              <w:spacing w:after="0" w:before="0"/>
            </w:pPr>
            <w:r/>
            <w:r>
              <w:rPr>
                <w:rFonts w:ascii="Aptos" w:hAnsi="Aptos"/>
                <w:b/>
                <w:color w:val="172C23"/>
                <w:sz w:val="13"/>
              </w:rPr>
              <w:t>TOTAL projected</w:t>
            </w:r>
          </w:p>
        </w:tc>
        <w:tc>
          <w:tcPr>
            <w:tcW w:type="dxa" w:w="1094"/>
            <w:shd w:fill="EDF4E5"/>
            <w:vAlign w:val="center"/>
          </w:tcPr>
          <w:p>
            <w:pPr>
              <w:spacing w:after="0" w:before="0"/>
            </w:pPr>
            <w:r/>
            <w:r>
              <w:rPr>
                <w:rFonts w:ascii="Aptos" w:hAnsi="Aptos"/>
                <w:b/>
                <w:color w:val="172C23"/>
                <w:sz w:val="13"/>
              </w:rPr>
              <w:t>21,000</w:t>
            </w:r>
          </w:p>
        </w:tc>
        <w:tc>
          <w:tcPr>
            <w:tcW w:type="dxa" w:w="979"/>
            <w:shd w:fill="EDF4E5"/>
            <w:vAlign w:val="center"/>
          </w:tcPr>
          <w:p>
            <w:pPr>
              <w:spacing w:after="0" w:before="0"/>
            </w:pPr>
            <w:r/>
            <w:r>
              <w:rPr>
                <w:rFonts w:ascii="Aptos" w:hAnsi="Aptos"/>
                <w:b/>
                <w:color w:val="172C23"/>
                <w:sz w:val="13"/>
              </w:rPr>
              <w:t>2,225 / 22.5%</w:t>
            </w:r>
          </w:p>
        </w:tc>
        <w:tc>
          <w:tcPr>
            <w:tcW w:type="dxa" w:w="1210"/>
            <w:shd w:fill="EDF4E5"/>
            <w:vAlign w:val="center"/>
          </w:tcPr>
          <w:p>
            <w:pPr>
              <w:spacing w:after="0" w:before="0"/>
            </w:pPr>
            <w:r/>
            <w:r>
              <w:rPr>
                <w:rFonts w:ascii="Aptos" w:hAnsi="Aptos"/>
                <w:b/>
                <w:color w:val="172C23"/>
                <w:sz w:val="13"/>
              </w:rPr>
              <w:t>500</w:t>
            </w:r>
          </w:p>
        </w:tc>
        <w:tc>
          <w:tcPr>
            <w:tcW w:type="dxa" w:w="864"/>
            <w:shd w:fill="EDF4E5"/>
            <w:vAlign w:val="center"/>
          </w:tcPr>
          <w:p>
            <w:pPr>
              <w:spacing w:after="0" w:before="0"/>
            </w:pPr>
            <w:r/>
            <w:r>
              <w:rPr>
                <w:rFonts w:ascii="Aptos" w:hAnsi="Aptos"/>
                <w:b/>
                <w:color w:val="172C23"/>
                <w:sz w:val="13"/>
              </w:rPr>
              <w:t>₹1,350</w:t>
            </w:r>
          </w:p>
        </w:tc>
      </w:tr>
    </w:tbl>
    <w:p>
      <w:pPr>
        <w:spacing w:after="40" w:line="240" w:lineRule="auto"/>
      </w:pPr>
      <w:r>
        <w:rPr>
          <w:rFonts w:ascii="Aptos" w:hAnsi="Aptos"/>
          <w:color w:val="172C23"/>
          <w:sz w:val="15"/>
        </w:rPr>
        <w:t>Funnel: 21,000 projected reach → 2,225 visits (10.6%) → 500 registrations (22.5% of visits). Registrations add exactly to 500. Reach may overlap and is not unique verified reach. One valid, trimmed/case-normalised email counts once; first tracked UTM source is the channel; referral code records inviter separately; otherwise source is direct.</w:t>
      </w:r>
    </w:p>
    <w:p>
      <w:pPr>
        <w:spacing w:after="40" w:line="240" w:lineRule="auto"/>
      </w:pPr>
      <w:r>
        <w:rPr>
          <w:rFonts w:ascii="Aptos" w:hAnsi="Aptos"/>
          <w:color w:val="172C23"/>
          <w:sz w:val="15"/>
        </w:rPr>
        <w:t>Measurement: unique UTM link by club, ambassador, approved group and placement/email community. Proposed peer rewards (assumptions): 3 successful referrals → template pack; 10 → recognition certificate.</w:t>
      </w:r>
    </w:p>
    <w:p>
      <w:r>
        <w:br w:type="page"/>
      </w:r>
    </w:p>
    <w:p>
      <w:pPr>
        <w:spacing w:before="80" w:after="40"/>
      </w:pPr>
      <w:r>
        <w:rPr>
          <w:rFonts w:ascii="Aptos Display" w:hAnsi="Aptos Display"/>
          <w:b/>
          <w:color w:val="172C23"/>
          <w:sz w:val="30"/>
        </w:rPr>
        <w:t>3. Seven-day runbook</w:t>
      </w:r>
    </w:p>
    <w:tbl>
      <w:tblPr>
        <w:tblW w:type="auto" w:w="0"/>
        <w:tblLayout w:type="fixed"/>
        <w:tblLook w:firstColumn="1" w:firstRow="1" w:lastColumn="0" w:lastRow="0" w:noHBand="0" w:noVBand="1" w:val="04A0"/>
      </w:tblPr>
      <w:tblGrid>
        <w:gridCol w:w="5328"/>
        <w:gridCol w:w="5328"/>
      </w:tblGrid>
      <w:tr>
        <w:tc>
          <w:tcPr>
            <w:tcW w:type="dxa" w:w="605"/>
            <w:shd w:fill="C3EF79"/>
            <w:vAlign w:val="center"/>
          </w:tcPr>
          <w:p>
            <w:pPr>
              <w:spacing w:after="0" w:before="0"/>
            </w:pPr>
            <w:r/>
            <w:r>
              <w:rPr>
                <w:rFonts w:ascii="Aptos" w:hAnsi="Aptos"/>
                <w:b/>
                <w:color w:val="172C23"/>
                <w:sz w:val="14"/>
              </w:rPr>
              <w:t>D1</w:t>
            </w:r>
          </w:p>
        </w:tc>
        <w:tc>
          <w:tcPr>
            <w:tcW w:type="dxa" w:w="9504"/>
            <w:vAlign w:val="center"/>
          </w:tcPr>
          <w:p>
            <w:pPr>
              <w:spacing w:after="0" w:before="0"/>
            </w:pPr>
            <w:r/>
            <w:r>
              <w:rPr>
                <w:rFonts w:ascii="Aptos" w:hAnsi="Aptos"/>
                <w:b w:val="0"/>
                <w:color w:val="172C23"/>
                <w:sz w:val="14"/>
              </w:rPr>
              <w:t>Finalise message, assumptions, page and source links; test links/form.</w:t>
            </w:r>
          </w:p>
        </w:tc>
      </w:tr>
      <w:tr>
        <w:tc>
          <w:tcPr>
            <w:tcW w:type="dxa" w:w="605"/>
            <w:shd w:fill="C3EF79"/>
            <w:vAlign w:val="center"/>
          </w:tcPr>
          <w:p>
            <w:pPr>
              <w:spacing w:after="0" w:before="0"/>
            </w:pPr>
            <w:r/>
            <w:r>
              <w:rPr>
                <w:rFonts w:ascii="Aptos" w:hAnsi="Aptos"/>
                <w:b/>
                <w:color w:val="172C23"/>
                <w:sz w:val="14"/>
              </w:rPr>
              <w:t>D2</w:t>
            </w:r>
          </w:p>
        </w:tc>
        <w:tc>
          <w:tcPr>
            <w:tcW w:type="dxa" w:w="9504"/>
            <w:vAlign w:val="center"/>
          </w:tcPr>
          <w:p>
            <w:pPr>
              <w:spacing w:after="0" w:before="0"/>
            </w:pPr>
            <w:r/>
            <w:r>
              <w:rPr>
                <w:rFonts w:ascii="Aptos" w:hAnsi="Aptos"/>
                <w:b w:val="0"/>
                <w:color w:val="172C23"/>
                <w:sz w:val="14"/>
              </w:rPr>
              <w:t>Request club/admin permission; invite voluntary student ambassadors.</w:t>
            </w:r>
          </w:p>
        </w:tc>
      </w:tr>
      <w:tr>
        <w:tc>
          <w:tcPr>
            <w:tcW w:type="dxa" w:w="605"/>
            <w:shd w:fill="C3EF79"/>
            <w:vAlign w:val="center"/>
          </w:tcPr>
          <w:p>
            <w:pPr>
              <w:spacing w:after="0" w:before="0"/>
            </w:pPr>
            <w:r/>
            <w:r>
              <w:rPr>
                <w:rFonts w:ascii="Aptos" w:hAnsi="Aptos"/>
                <w:b/>
                <w:color w:val="172C23"/>
                <w:sz w:val="14"/>
              </w:rPr>
              <w:t>D3</w:t>
            </w:r>
          </w:p>
        </w:tc>
        <w:tc>
          <w:tcPr>
            <w:tcW w:type="dxa" w:w="9504"/>
            <w:vAlign w:val="center"/>
          </w:tcPr>
          <w:p>
            <w:pPr>
              <w:spacing w:after="0" w:before="0"/>
            </w:pPr>
            <w:r/>
            <w:r>
              <w:rPr>
                <w:rFonts w:ascii="Aptos" w:hAnsi="Aptos"/>
                <w:b w:val="0"/>
                <w:color w:val="172C23"/>
                <w:sz w:val="14"/>
              </w:rPr>
              <w:t>Start approved technical-club and community sharing; check visits/links.</w:t>
            </w:r>
          </w:p>
        </w:tc>
      </w:tr>
      <w:tr>
        <w:tc>
          <w:tcPr>
            <w:tcW w:type="dxa" w:w="605"/>
            <w:shd w:fill="C3EF79"/>
            <w:vAlign w:val="center"/>
          </w:tcPr>
          <w:p>
            <w:pPr>
              <w:spacing w:after="0" w:before="0"/>
            </w:pPr>
            <w:r/>
            <w:r>
              <w:rPr>
                <w:rFonts w:ascii="Aptos" w:hAnsi="Aptos"/>
                <w:b/>
                <w:color w:val="172C23"/>
                <w:sz w:val="14"/>
              </w:rPr>
              <w:t>D4</w:t>
            </w:r>
          </w:p>
        </w:tc>
        <w:tc>
          <w:tcPr>
            <w:tcW w:type="dxa" w:w="9504"/>
            <w:vAlign w:val="center"/>
          </w:tcPr>
          <w:p>
            <w:pPr>
              <w:spacing w:after="0" w:before="0"/>
            </w:pPr>
            <w:r/>
            <w:r>
              <w:rPr>
                <w:rFonts w:ascii="Aptos" w:hAnsi="Aptos"/>
                <w:b w:val="0"/>
                <w:color w:val="172C23"/>
                <w:sz w:val="14"/>
              </w:rPr>
              <w:t>Start peer referrals; inspect code attribution and reward clarity.</w:t>
            </w:r>
          </w:p>
        </w:tc>
      </w:tr>
      <w:tr>
        <w:tc>
          <w:tcPr>
            <w:tcW w:type="dxa" w:w="605"/>
            <w:shd w:fill="C3EF79"/>
            <w:vAlign w:val="center"/>
          </w:tcPr>
          <w:p>
            <w:pPr>
              <w:spacing w:after="0" w:before="0"/>
            </w:pPr>
            <w:r/>
            <w:r>
              <w:rPr>
                <w:rFonts w:ascii="Aptos" w:hAnsi="Aptos"/>
                <w:b/>
                <w:color w:val="172C23"/>
                <w:sz w:val="14"/>
              </w:rPr>
              <w:t>D5</w:t>
            </w:r>
          </w:p>
        </w:tc>
        <w:tc>
          <w:tcPr>
            <w:tcW w:type="dxa" w:w="9504"/>
            <w:vAlign w:val="center"/>
          </w:tcPr>
          <w:p>
            <w:pPr>
              <w:spacing w:after="0" w:before="0"/>
            </w:pPr>
            <w:r/>
            <w:r>
              <w:rPr>
                <w:rFonts w:ascii="Aptos" w:hAnsi="Aptos"/>
                <w:b w:val="0"/>
                <w:color w:val="172C23"/>
                <w:sz w:val="14"/>
              </w:rPr>
              <w:t>Share in placement communities; email only where permission is appropriate.</w:t>
            </w:r>
          </w:p>
        </w:tc>
      </w:tr>
      <w:tr>
        <w:tc>
          <w:tcPr>
            <w:tcW w:type="dxa" w:w="605"/>
            <w:shd w:fill="C3EF79"/>
            <w:vAlign w:val="center"/>
          </w:tcPr>
          <w:p>
            <w:pPr>
              <w:spacing w:after="0" w:before="0"/>
            </w:pPr>
            <w:r/>
            <w:r>
              <w:rPr>
                <w:rFonts w:ascii="Aptos" w:hAnsi="Aptos"/>
                <w:b/>
                <w:color w:val="172C23"/>
                <w:sz w:val="14"/>
              </w:rPr>
              <w:t>D6</w:t>
            </w:r>
          </w:p>
        </w:tc>
        <w:tc>
          <w:tcPr>
            <w:tcW w:type="dxa" w:w="9504"/>
            <w:vAlign w:val="center"/>
          </w:tcPr>
          <w:p>
            <w:pPr>
              <w:spacing w:after="0" w:before="0"/>
            </w:pPr>
            <w:r/>
            <w:r>
              <w:rPr>
                <w:rFonts w:ascii="Aptos" w:hAnsi="Aptos"/>
                <w:b w:val="0"/>
                <w:color w:val="172C23"/>
                <w:sz w:val="14"/>
              </w:rPr>
              <w:t>Improve unclear copy/form; send one reminder only where permitted.</w:t>
            </w:r>
          </w:p>
        </w:tc>
      </w:tr>
      <w:tr>
        <w:tc>
          <w:tcPr>
            <w:tcW w:type="dxa" w:w="605"/>
            <w:shd w:fill="C3EF79"/>
            <w:vAlign w:val="center"/>
          </w:tcPr>
          <w:p>
            <w:pPr>
              <w:spacing w:after="0" w:before="0"/>
            </w:pPr>
            <w:r/>
            <w:r>
              <w:rPr>
                <w:rFonts w:ascii="Aptos" w:hAnsi="Aptos"/>
                <w:b/>
                <w:color w:val="172C23"/>
                <w:sz w:val="14"/>
              </w:rPr>
              <w:t>D7</w:t>
            </w:r>
          </w:p>
        </w:tc>
        <w:tc>
          <w:tcPr>
            <w:tcW w:type="dxa" w:w="9504"/>
            <w:vAlign w:val="center"/>
          </w:tcPr>
          <w:p>
            <w:pPr>
              <w:spacing w:after="0" w:before="0"/>
            </w:pPr>
            <w:r/>
            <w:r>
              <w:rPr>
                <w:rFonts w:ascii="Aptos" w:hAnsi="Aptos"/>
                <w:b w:val="0"/>
                <w:color w:val="172C23"/>
                <w:sz w:val="14"/>
              </w:rPr>
              <w:t>Final factual reminder where permitted; report actuals separately.</w:t>
            </w:r>
          </w:p>
        </w:tc>
      </w:tr>
    </w:tbl>
    <w:p>
      <w:pPr>
        <w:spacing w:before="80" w:after="40"/>
      </w:pPr>
      <w:r>
        <w:rPr>
          <w:rFonts w:ascii="Aptos Display" w:hAnsi="Aptos Display"/>
          <w:b/>
          <w:color w:val="172C23"/>
          <w:sz w:val="30"/>
        </w:rPr>
        <w:t>4. Budget and response plan</w:t>
      </w:r>
    </w:p>
    <w:tbl>
      <w:tblPr>
        <w:tblW w:type="auto" w:w="0"/>
        <w:tblLayout w:type="fixed"/>
        <w:tblLook w:firstColumn="1" w:firstRow="1" w:lastColumn="0" w:lastRow="0" w:noHBand="0" w:noVBand="1" w:val="04A0"/>
      </w:tblPr>
      <w:tblGrid>
        <w:gridCol w:w="5328"/>
        <w:gridCol w:w="5328"/>
      </w:tblGrid>
      <w:tr>
        <w:tc>
          <w:tcPr>
            <w:tcW w:type="dxa" w:w="7920"/>
            <w:vAlign w:val="center"/>
          </w:tcPr>
          <w:p>
            <w:pPr>
              <w:spacing w:after="0" w:before="0"/>
            </w:pPr>
            <w:r/>
            <w:r>
              <w:rPr>
                <w:rFonts w:ascii="Aptos" w:hAnsi="Aptos"/>
                <w:b w:val="0"/>
                <w:color w:val="172C23"/>
                <w:sz w:val="14"/>
              </w:rPr>
              <w:t>Club posters / QR material</w:t>
            </w:r>
          </w:p>
        </w:tc>
        <w:tc>
          <w:tcPr>
            <w:tcW w:type="dxa" w:w="2160"/>
            <w:vAlign w:val="center"/>
          </w:tcPr>
          <w:p>
            <w:pPr>
              <w:spacing w:after="0" w:before="0"/>
            </w:pPr>
            <w:r/>
            <w:r>
              <w:rPr>
                <w:rFonts w:ascii="Aptos" w:hAnsi="Aptos"/>
                <w:b/>
                <w:color w:val="172C23"/>
                <w:sz w:val="14"/>
              </w:rPr>
              <w:t>₹350</w:t>
            </w:r>
          </w:p>
        </w:tc>
      </w:tr>
      <w:tr>
        <w:tc>
          <w:tcPr>
            <w:tcW w:type="dxa" w:w="7920"/>
            <w:vAlign w:val="center"/>
          </w:tcPr>
          <w:p>
            <w:pPr>
              <w:spacing w:after="0" w:before="0"/>
            </w:pPr>
            <w:r/>
            <w:r>
              <w:rPr>
                <w:rFonts w:ascii="Aptos" w:hAnsi="Aptos"/>
                <w:b w:val="0"/>
                <w:color w:val="172C23"/>
                <w:sz w:val="14"/>
              </w:rPr>
              <w:t>Volunteer coordination / travel</w:t>
            </w:r>
          </w:p>
        </w:tc>
        <w:tc>
          <w:tcPr>
            <w:tcW w:type="dxa" w:w="2160"/>
            <w:vAlign w:val="center"/>
          </w:tcPr>
          <w:p>
            <w:pPr>
              <w:spacing w:after="0" w:before="0"/>
            </w:pPr>
            <w:r/>
            <w:r>
              <w:rPr>
                <w:rFonts w:ascii="Aptos" w:hAnsi="Aptos"/>
                <w:b/>
                <w:color w:val="172C23"/>
                <w:sz w:val="14"/>
              </w:rPr>
              <w:t>₹450</w:t>
            </w:r>
          </w:p>
        </w:tc>
      </w:tr>
      <w:tr>
        <w:tc>
          <w:tcPr>
            <w:tcW w:type="dxa" w:w="7920"/>
            <w:vAlign w:val="center"/>
          </w:tcPr>
          <w:p>
            <w:pPr>
              <w:spacing w:after="0" w:before="0"/>
            </w:pPr>
            <w:r/>
            <w:r>
              <w:rPr>
                <w:rFonts w:ascii="Aptos" w:hAnsi="Aptos"/>
                <w:b w:val="0"/>
                <w:color w:val="172C23"/>
                <w:sz w:val="14"/>
              </w:rPr>
              <w:t>Community coordination / data</w:t>
            </w:r>
          </w:p>
        </w:tc>
        <w:tc>
          <w:tcPr>
            <w:tcW w:type="dxa" w:w="2160"/>
            <w:vAlign w:val="center"/>
          </w:tcPr>
          <w:p>
            <w:pPr>
              <w:spacing w:after="0" w:before="0"/>
            </w:pPr>
            <w:r/>
            <w:r>
              <w:rPr>
                <w:rFonts w:ascii="Aptos" w:hAnsi="Aptos"/>
                <w:b/>
                <w:color w:val="172C23"/>
                <w:sz w:val="14"/>
              </w:rPr>
              <w:t>₹300</w:t>
            </w:r>
          </w:p>
        </w:tc>
      </w:tr>
      <w:tr>
        <w:tc>
          <w:tcPr>
            <w:tcW w:type="dxa" w:w="7920"/>
            <w:vAlign w:val="center"/>
          </w:tcPr>
          <w:p>
            <w:pPr>
              <w:spacing w:after="0" w:before="0"/>
            </w:pPr>
            <w:r/>
            <w:r>
              <w:rPr>
                <w:rFonts w:ascii="Aptos" w:hAnsi="Aptos"/>
                <w:b w:val="0"/>
                <w:color w:val="172C23"/>
                <w:sz w:val="14"/>
              </w:rPr>
              <w:t>Email / material preparation</w:t>
            </w:r>
          </w:p>
        </w:tc>
        <w:tc>
          <w:tcPr>
            <w:tcW w:type="dxa" w:w="2160"/>
            <w:vAlign w:val="center"/>
          </w:tcPr>
          <w:p>
            <w:pPr>
              <w:spacing w:after="0" w:before="0"/>
            </w:pPr>
            <w:r/>
            <w:r>
              <w:rPr>
                <w:rFonts w:ascii="Aptos" w:hAnsi="Aptos"/>
                <w:b/>
                <w:color w:val="172C23"/>
                <w:sz w:val="14"/>
              </w:rPr>
              <w:t>₹250</w:t>
            </w:r>
          </w:p>
        </w:tc>
      </w:tr>
      <w:tr>
        <w:tc>
          <w:tcPr>
            <w:tcW w:type="dxa" w:w="7920"/>
            <w:vAlign w:val="center"/>
          </w:tcPr>
          <w:p>
            <w:pPr>
              <w:spacing w:after="0" w:before="0"/>
            </w:pPr>
            <w:r/>
            <w:r>
              <w:rPr>
                <w:rFonts w:ascii="Aptos" w:hAnsi="Aptos"/>
                <w:b w:val="0"/>
                <w:color w:val="172C23"/>
                <w:sz w:val="14"/>
              </w:rPr>
              <w:t>Free tools</w:t>
            </w:r>
          </w:p>
        </w:tc>
        <w:tc>
          <w:tcPr>
            <w:tcW w:type="dxa" w:w="2160"/>
            <w:vAlign w:val="center"/>
          </w:tcPr>
          <w:p>
            <w:pPr>
              <w:spacing w:after="0" w:before="0"/>
            </w:pPr>
            <w:r/>
            <w:r>
              <w:rPr>
                <w:rFonts w:ascii="Aptos" w:hAnsi="Aptos"/>
                <w:b/>
                <w:color w:val="172C23"/>
                <w:sz w:val="14"/>
              </w:rPr>
              <w:t>₹0</w:t>
            </w:r>
          </w:p>
        </w:tc>
      </w:tr>
      <w:tr>
        <w:tc>
          <w:tcPr>
            <w:tcW w:type="dxa" w:w="7920"/>
            <w:vAlign w:val="center"/>
          </w:tcPr>
          <w:p>
            <w:pPr>
              <w:spacing w:after="0" w:before="0"/>
            </w:pPr>
            <w:r/>
            <w:r>
              <w:rPr>
                <w:rFonts w:ascii="Aptos" w:hAnsi="Aptos"/>
                <w:b/>
                <w:color w:val="172C23"/>
                <w:sz w:val="14"/>
              </w:rPr>
              <w:t>Planned spend / unallocated buffer / cap</w:t>
            </w:r>
          </w:p>
        </w:tc>
        <w:tc>
          <w:tcPr>
            <w:tcW w:type="dxa" w:w="2160"/>
            <w:vAlign w:val="center"/>
          </w:tcPr>
          <w:p>
            <w:pPr>
              <w:spacing w:after="0" w:before="0"/>
            </w:pPr>
            <w:r/>
            <w:r>
              <w:rPr>
                <w:rFonts w:ascii="Aptos" w:hAnsi="Aptos"/>
                <w:b/>
                <w:color w:val="172C23"/>
                <w:sz w:val="14"/>
              </w:rPr>
              <w:t>₹1,350 / ₹650 / ₹2,000</w:t>
            </w:r>
          </w:p>
        </w:tc>
      </w:tr>
    </w:tbl>
    <w:p>
      <w:pPr>
        <w:spacing w:after="40" w:line="240" w:lineRule="auto"/>
      </w:pPr>
      <w:r>
        <w:rPr>
          <w:rFonts w:ascii="Aptos" w:hAnsi="Aptos"/>
          <w:color w:val="64746A"/>
          <w:sz w:val="15"/>
        </w:rPr>
        <w:t>Keep the ₹650 buffer unspent unless there is a clear, permitted need. No money has been spent in this simulation.</w:t>
      </w:r>
    </w:p>
    <w:p>
      <w:pPr>
        <w:spacing w:before="80" w:after="40"/>
      </w:pPr>
      <w:r>
        <w:rPr>
          <w:rFonts w:ascii="Aptos Display" w:hAnsi="Aptos Display"/>
          <w:b/>
          <w:color w:val="172C23"/>
          <w:sz w:val="30"/>
        </w:rPr>
        <w:t>5. Working asset, risks and next steps</w:t>
      </w:r>
    </w:p>
    <w:p>
      <w:pPr>
        <w:spacing w:after="40" w:line="240" w:lineRule="auto"/>
      </w:pPr>
      <w:r>
        <w:rPr>
          <w:rFonts w:ascii="Aptos" w:hAnsi="Aptos"/>
          <w:color w:val="172C23"/>
          <w:sz w:val="16"/>
        </w:rPr>
        <w:t>React + FastAPI + local SQLite prototype: consent-based registration, API validation, case-insensitive duplicate-email blocking, referral code/link attribution, WhatsApp share, public aggregate counts/first-name-or-code leaderboard, and admin-token dashboard with channel/referral/daily metrics, search, CSV and clearly labelled demo data.</w:t>
      </w:r>
    </w:p>
    <w:p>
      <w:pPr>
        <w:spacing w:after="40" w:line="240" w:lineRule="auto"/>
      </w:pPr>
      <w:r>
        <w:rPr>
          <w:rFonts w:ascii="Aptos" w:hAnsi="Aptos"/>
          <w:color w:val="172C23"/>
          <w:sz w:val="16"/>
        </w:rPr>
        <w:t>Not deployed; SQLite and in-memory rate limiting are not durable production infrastructure. Do not collect real student data until persistent storage, admin access, backups, consent/retention and organiser approvals are reviewed. Demo records do not count as real; the 500 goal is not guaranteed.</w:t>
      </w:r>
    </w:p>
    <w:p>
      <w:pPr>
        <w:spacing w:after="40" w:line="240" w:lineRule="auto"/>
      </w:pPr>
      <w:r>
        <w:rPr>
          <w:rFonts w:ascii="Aptos" w:hAnsi="Aptos"/>
          <w:color w:val="172C23"/>
          <w:sz w:val="16"/>
        </w:rPr>
        <w:t>Risks: if a group declines, do not post; shift only to approved channels. If visits are low, check link and copy. If registration conversion is low, clarify the exact build and form. If behind target, reallocate time to the best measured permitted channel—not spam or unsupported claims.</w:t>
      </w:r>
    </w:p>
    <w:p>
      <w:pPr>
        <w:spacing w:after="40" w:line="240" w:lineRule="auto"/>
      </w:pPr>
      <w:r>
        <w:rPr>
          <w:rFonts w:ascii="Aptos" w:hAnsi="Aptos"/>
          <w:color w:val="64746A"/>
          <w:sz w:val="14"/>
        </w:rPr>
        <w:t>Assumptions to confirm: Saturday at 7 PM IST, 60 minutes; Zoom/Meet and a recording link; example chatbot/classifier using an AI tool/API and starter code; proposed referral rewards. Full detailed plan, reflections and 3-minute video script are in the companion files.</w:t>
      </w:r>
    </w:p>
    <w:sectPr w:rsidR="00FC693F" w:rsidRPr="0006063C" w:rsidSect="00034616">
      <w:pgSz w:w="12240" w:h="15840"/>
      <w:pgMar w:top="619"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