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4E79"/>
          <w:sz w:val="20"/>
          <w:szCs w:val="20"/>
        </w:rPr>
        <w:t xml:space="preserve">Zava Retail</w:t>
      </w:r>
    </w:p>
    <w:p>
      <w:pPr>
        <w:spacing w:after="100"/>
      </w:pPr>
      <w:r>
        <w:rPr>
          <w:b/>
          <w:bCs/>
          <w:color w:val="1F4E79"/>
          <w:sz w:val="56"/>
          <w:szCs w:val="56"/>
        </w:rPr>
        <w:t xml:space="preserve">Holiday Return Policy</w:t>
      </w:r>
    </w:p>
    <w:p>
      <w:pPr>
        <w:spacing w:after="160"/>
      </w:pPr>
      <w:r>
        <w:rPr>
          <w:i/>
          <w:iCs/>
          <w:color w:val="595959"/>
        </w:rPr>
        <w:t xml:space="preserve">Effective November 1 – January 31 | Prepared by Priya Nair, Store Operations Manager</w:t>
      </w:r>
    </w:p>
    <w:p>
      <w:pPr>
        <w:pStyle w:val="Heading1"/>
      </w:pPr>
      <w:r>
        <w:t xml:space="preserve">Purpose</w:t>
      </w:r>
    </w:p>
    <w:p>
      <w:pPr>
        <w:spacing w:after="160"/>
      </w:pPr>
      <w:r>
        <w:t xml:space="preserve">This document outlines Zava Retail's holiday return, exchange, and refund policy for the season. It is intended as a reference for store associates and for the Holiday Returns Helper agent to answer frontline questions accurately and consistently across all locations.</w:t>
      </w:r>
    </w:p>
    <w:p>
      <w:pPr>
        <w:pStyle w:val="Heading1"/>
      </w:pPr>
      <w:r>
        <w:t xml:space="preserve">Holiday Return Window</w:t>
      </w:r>
    </w:p>
    <w:p>
      <w:pPr>
        <w:spacing w:after="160"/>
      </w:pPr>
      <w:r>
        <w:t xml:space="preserve">Zava Retail extends its standard return window during the holiday season to give customers more flexibility on gift purchases. The return window depends on the item category and purchase date, as summarized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4E79" w:val="clear"/>
          </w:tcPr>
          <w:p>
            <w:r>
              <w:rPr>
                <w:b/>
                <w:bCs/>
                <w:color w:val="FFFFFF"/>
              </w:rPr>
              <w:t xml:space="preserve">Item Category</w:t>
            </w:r>
          </w:p>
        </w:tc>
        <w:tc>
          <w:tcPr>
            <w:tcW w:type="dxa" w:w="3200"/>
            <w:shd w:fill="1F4E79" w:val="clear"/>
          </w:tcPr>
          <w:p>
            <w:r>
              <w:rPr>
                <w:b/>
                <w:bCs/>
                <w:color w:val="FFFFFF"/>
              </w:rPr>
              <w:t xml:space="preserve">Return Window</w:t>
            </w:r>
          </w:p>
        </w:tc>
        <w:tc>
          <w:tcPr>
            <w:tcW w:type="dxa" w:w="3200"/>
            <w:shd w:fill="1F4E79" w:val="clear"/>
          </w:tcPr>
          <w:p>
            <w:r>
              <w:rPr>
                <w:b/>
                <w:bCs/>
                <w:color w:val="FFFFFF"/>
              </w:rPr>
              <w:t xml:space="preserve">Notes</w:t>
            </w:r>
          </w:p>
        </w:tc>
      </w:tr>
      <w:tr>
        <w:tc>
          <w:tcPr>
            <w:tcW w:type="dxa" w:w="3200"/>
          </w:tcPr>
          <w:p>
            <w:r>
              <w:rPr>
                <w:b w:val="false"/>
                <w:bCs w:val="false"/>
              </w:rPr>
              <w:t xml:space="preserve">Standard merchandise (apparel, home goods, accessories)</w:t>
            </w:r>
          </w:p>
        </w:tc>
        <w:tc>
          <w:tcPr>
            <w:tcW w:type="dxa" w:w="3200"/>
          </w:tcPr>
          <w:p>
            <w:r>
              <w:rPr>
                <w:b w:val="false"/>
                <w:bCs w:val="false"/>
              </w:rPr>
              <w:t xml:space="preserve">60 days from purchase</w:t>
            </w:r>
          </w:p>
        </w:tc>
        <w:tc>
          <w:tcPr>
            <w:tcW w:type="dxa" w:w="3200"/>
          </w:tcPr>
          <w:p>
            <w:r>
              <w:rPr>
                <w:b w:val="false"/>
                <w:bCs w:val="false"/>
              </w:rPr>
              <w:t xml:space="preserve">Extended holiday window applies to purchases made Nov 1 – Dec 24</w:t>
            </w:r>
          </w:p>
        </w:tc>
      </w:tr>
      <w:tr>
        <w:tc>
          <w:tcPr>
            <w:tcW w:type="dxa" w:w="3200"/>
          </w:tcPr>
          <w:p>
            <w:r>
              <w:rPr>
                <w:b w:val="false"/>
                <w:bCs w:val="false"/>
              </w:rPr>
              <w:t xml:space="preserve">Electronics</w:t>
            </w:r>
          </w:p>
        </w:tc>
        <w:tc>
          <w:tcPr>
            <w:tcW w:type="dxa" w:w="3200"/>
          </w:tcPr>
          <w:p>
            <w:r>
              <w:rPr>
                <w:b w:val="false"/>
                <w:bCs w:val="false"/>
              </w:rPr>
              <w:t xml:space="preserve">30 days from purchase</w:t>
            </w:r>
          </w:p>
        </w:tc>
        <w:tc>
          <w:tcPr>
            <w:tcW w:type="dxa" w:w="3200"/>
          </w:tcPr>
          <w:p>
            <w:r>
              <w:rPr>
                <w:b w:val="false"/>
                <w:bCs w:val="false"/>
              </w:rPr>
              <w:t xml:space="preserve">Must include all original accessories and packaging</w:t>
            </w:r>
          </w:p>
        </w:tc>
      </w:tr>
      <w:tr>
        <w:tc>
          <w:tcPr>
            <w:tcW w:type="dxa" w:w="3200"/>
          </w:tcPr>
          <w:p>
            <w:r>
              <w:rPr>
                <w:b w:val="false"/>
                <w:bCs w:val="false"/>
              </w:rPr>
              <w:t xml:space="preserve">Gift purchases (gift receipt)</w:t>
            </w:r>
          </w:p>
        </w:tc>
        <w:tc>
          <w:tcPr>
            <w:tcW w:type="dxa" w:w="3200"/>
          </w:tcPr>
          <w:p>
            <w:r>
              <w:rPr>
                <w:b w:val="false"/>
                <w:bCs w:val="false"/>
              </w:rPr>
              <w:t xml:space="preserve">Until January 31</w:t>
            </w:r>
          </w:p>
        </w:tc>
        <w:tc>
          <w:tcPr>
            <w:tcW w:type="dxa" w:w="3200"/>
          </w:tcPr>
          <w:p>
            <w:r>
              <w:rPr>
                <w:b w:val="false"/>
                <w:bCs w:val="false"/>
              </w:rPr>
              <w:t xml:space="preserve">Applies to items purchased Nov 1 – Dec 24 with a gift receipt</w:t>
            </w:r>
          </w:p>
        </w:tc>
      </w:tr>
      <w:tr>
        <w:tc>
          <w:tcPr>
            <w:tcW w:type="dxa" w:w="3200"/>
          </w:tcPr>
          <w:p>
            <w:r>
              <w:rPr>
                <w:b w:val="false"/>
                <w:bCs w:val="false"/>
              </w:rPr>
              <w:t xml:space="preserve">Final sale / clearance items</w:t>
            </w:r>
          </w:p>
        </w:tc>
        <w:tc>
          <w:tcPr>
            <w:tcW w:type="dxa" w:w="3200"/>
          </w:tcPr>
          <w:p>
            <w:r>
              <w:rPr>
                <w:b w:val="false"/>
                <w:bCs w:val="false"/>
              </w:rPr>
              <w:t xml:space="preserve">Not eligible</w:t>
            </w:r>
          </w:p>
        </w:tc>
        <w:tc>
          <w:tcPr>
            <w:tcW w:type="dxa" w:w="3200"/>
          </w:tcPr>
          <w:p>
            <w:r>
              <w:rPr>
                <w:b w:val="false"/>
                <w:bCs w:val="false"/>
              </w:rPr>
              <w:t xml:space="preserve">Marked as Final Sale at time of purchase</w:t>
            </w:r>
          </w:p>
        </w:tc>
      </w:tr>
    </w:tbl>
    <w:p>
      <w:pPr>
        <w:spacing w:after="200"/>
      </w:pPr>
    </w:p>
    <w:p>
      <w:pPr>
        <w:spacing w:after="160"/>
      </w:pPr>
      <w:r>
        <w:t xml:space="preserve">All returns require proof of purchase — either the original receipt, packing slip, or a gift receipt. Items must be unused, unworn, and in original condition with tags attached where applicable.</w:t>
      </w:r>
    </w:p>
    <w:p>
      <w:pPr>
        <w:pStyle w:val="Heading1"/>
      </w:pPr>
      <w:r>
        <w:t xml:space="preserve">Exchange Policy</w:t>
      </w:r>
    </w:p>
    <w:p>
      <w:pPr>
        <w:spacing w:after="160"/>
      </w:pPr>
      <w:r>
        <w:t xml:space="preserve">Customers may exchange an item instead of requesting a refund. Exchanges are permitted for a different size, color, or style of the same or lesser value within the applicable return window listed above.</w:t>
      </w:r>
    </w:p>
    <w:p>
      <w:pPr>
        <w:pStyle w:val="ListParagraph"/>
        <w:numPr>
          <w:ilvl w:val="0"/>
          <w:numId w:val="1"/>
        </w:numPr>
        <w:spacing w:after="80"/>
      </w:pPr>
      <w:r>
        <w:t xml:space="preserve">If the exchange item is of greater value, the customer pays the difference at the time of exchange.</w:t>
      </w:r>
    </w:p>
    <w:p>
      <w:pPr>
        <w:pStyle w:val="ListParagraph"/>
        <w:numPr>
          <w:ilvl w:val="0"/>
          <w:numId w:val="1"/>
        </w:numPr>
        <w:spacing w:after="80"/>
      </w:pPr>
      <w:r>
        <w:t xml:space="preserve">If the exchange item is of lesser value, the difference is refunded using the original payment method or as store credit if no payment method is on file.</w:t>
      </w:r>
    </w:p>
    <w:p>
      <w:pPr>
        <w:pStyle w:val="ListParagraph"/>
        <w:numPr>
          <w:ilvl w:val="0"/>
          <w:numId w:val="1"/>
        </w:numPr>
        <w:spacing w:after="80"/>
      </w:pPr>
      <w:r>
        <w:t xml:space="preserve">Exchanges follow the same proof-of-purchase and item-condition requirements as refunds.</w:t>
      </w:r>
    </w:p>
    <w:p>
      <w:pPr>
        <w:pStyle w:val="ListParagraph"/>
        <w:numPr>
          <w:ilvl w:val="0"/>
          <w:numId w:val="1"/>
        </w:numPr>
        <w:spacing w:after="80"/>
      </w:pPr>
      <w:r>
        <w:t xml:space="preserve">Final sale and clearance items are not eligible for exchange.</w:t>
      </w:r>
    </w:p>
    <w:p>
      <w:pPr>
        <w:pStyle w:val="Heading1"/>
      </w:pPr>
      <w:r>
        <w:t xml:space="preserve">Refund Methods</w:t>
      </w:r>
    </w:p>
    <w:p>
      <w:pPr>
        <w:spacing w:after="160"/>
      </w:pPr>
      <w:r>
        <w:t xml:space="preserve">Refunds are issued based on the original payment method used at purchase, as summarized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F4E79" w:val="clear"/>
          </w:tcPr>
          <w:p>
            <w:r>
              <w:rPr>
                <w:b/>
                <w:bCs/>
                <w:color w:val="FFFFFF"/>
              </w:rPr>
              <w:t xml:space="preserve">Original Payment Method</w:t>
            </w:r>
          </w:p>
        </w:tc>
        <w:tc>
          <w:tcPr>
            <w:tcW w:type="dxa" w:w="6400"/>
            <w:shd w:fill="1F4E79" w:val="clear"/>
          </w:tcPr>
          <w:p>
            <w:r>
              <w:rPr>
                <w:b/>
                <w:bCs/>
                <w:color w:val="FFFFFF"/>
              </w:rPr>
              <w:t xml:space="preserve">Refund Method</w:t>
            </w:r>
          </w:p>
        </w:tc>
      </w:tr>
      <w:tr>
        <w:tc>
          <w:tcPr>
            <w:tcW w:type="dxa" w:w="3200"/>
          </w:tcPr>
          <w:p>
            <w:r>
              <w:rPr>
                <w:b w:val="false"/>
                <w:bCs w:val="false"/>
              </w:rPr>
              <w:t xml:space="preserve">Credit or debit card</w:t>
            </w:r>
          </w:p>
        </w:tc>
        <w:tc>
          <w:tcPr>
            <w:tcW w:type="dxa" w:w="6400"/>
          </w:tcPr>
          <w:p>
            <w:r>
              <w:rPr>
                <w:b w:val="false"/>
                <w:bCs w:val="false"/>
              </w:rPr>
              <w:t xml:space="preserve">Refunded to the original card. Allow 3–5 business days to appear on the statement.</w:t>
            </w:r>
          </w:p>
        </w:tc>
      </w:tr>
      <w:tr>
        <w:tc>
          <w:tcPr>
            <w:tcW w:type="dxa" w:w="3200"/>
          </w:tcPr>
          <w:p>
            <w:r>
              <w:rPr>
                <w:b w:val="false"/>
                <w:bCs w:val="false"/>
              </w:rPr>
              <w:t xml:space="preserve">Cash</w:t>
            </w:r>
          </w:p>
        </w:tc>
        <w:tc>
          <w:tcPr>
            <w:tcW w:type="dxa" w:w="6400"/>
          </w:tcPr>
          <w:p>
            <w:r>
              <w:rPr>
                <w:b w:val="false"/>
                <w:bCs w:val="false"/>
              </w:rPr>
              <w:t xml:space="preserve">Refunded as cash at any store register.</w:t>
            </w:r>
          </w:p>
        </w:tc>
      </w:tr>
      <w:tr>
        <w:tc>
          <w:tcPr>
            <w:tcW w:type="dxa" w:w="3200"/>
          </w:tcPr>
          <w:p>
            <w:r>
              <w:rPr>
                <w:b w:val="false"/>
                <w:bCs w:val="false"/>
              </w:rPr>
              <w:t xml:space="preserve">Gift card</w:t>
            </w:r>
          </w:p>
        </w:tc>
        <w:tc>
          <w:tcPr>
            <w:tcW w:type="dxa" w:w="6400"/>
          </w:tcPr>
          <w:p>
            <w:r>
              <w:rPr>
                <w:b w:val="false"/>
                <w:bCs w:val="false"/>
              </w:rPr>
              <w:t xml:space="preserve">Refunded to a new or existing Zava Retail gift card.</w:t>
            </w:r>
          </w:p>
        </w:tc>
      </w:tr>
      <w:tr>
        <w:tc>
          <w:tcPr>
            <w:tcW w:type="dxa" w:w="3200"/>
          </w:tcPr>
          <w:p>
            <w:r>
              <w:rPr>
                <w:b w:val="false"/>
                <w:bCs w:val="false"/>
              </w:rPr>
              <w:t xml:space="preserve">Gift receipt (no original payment on file)</w:t>
            </w:r>
          </w:p>
        </w:tc>
        <w:tc>
          <w:tcPr>
            <w:tcW w:type="dxa" w:w="6400"/>
          </w:tcPr>
          <w:p>
            <w:r>
              <w:rPr>
                <w:b w:val="false"/>
                <w:bCs w:val="false"/>
              </w:rPr>
              <w:t xml:space="preserve">Store credit issued via gift card; no cash refund available.</w:t>
            </w:r>
          </w:p>
        </w:tc>
      </w:tr>
      <w:tr>
        <w:tc>
          <w:tcPr>
            <w:tcW w:type="dxa" w:w="3200"/>
          </w:tcPr>
          <w:p>
            <w:r>
              <w:rPr>
                <w:b w:val="false"/>
                <w:bCs w:val="false"/>
              </w:rPr>
              <w:t xml:space="preserve">Online order returned in-store</w:t>
            </w:r>
          </w:p>
        </w:tc>
        <w:tc>
          <w:tcPr>
            <w:tcW w:type="dxa" w:w="6400"/>
          </w:tcPr>
          <w:p>
            <w:r>
              <w:rPr>
                <w:b w:val="false"/>
                <w:bCs w:val="false"/>
              </w:rPr>
              <w:t xml:space="preserve">Refunded to the original online payment method within 5–7 business days.</w:t>
            </w:r>
          </w:p>
        </w:tc>
      </w:tr>
    </w:tbl>
    <w:p>
      <w:pPr>
        <w:pStyle w:val="Heading1"/>
      </w:pPr>
      <w:r>
        <w:t xml:space="preserve">Special Situations</w:t>
      </w:r>
    </w:p>
    <w:p>
      <w:pPr>
        <w:pStyle w:val="Heading2"/>
      </w:pPr>
      <w:r>
        <w:t xml:space="preserve">Damaged or Defective Items</w:t>
      </w:r>
    </w:p>
    <w:p>
      <w:pPr>
        <w:spacing w:after="160"/>
      </w:pPr>
      <w:r>
        <w:t xml:space="preserve">Items that are damaged or defective on arrival may be returned or exchanged at any time within 90 days of purchase, regardless of the standard holiday window, with no restocking fee.</w:t>
      </w:r>
    </w:p>
    <w:p>
      <w:pPr>
        <w:pStyle w:val="Heading2"/>
      </w:pPr>
      <w:r>
        <w:t xml:space="preserve">Missing Receipt</w:t>
      </w:r>
    </w:p>
    <w:p>
      <w:pPr>
        <w:spacing w:after="160"/>
      </w:pPr>
      <w:r>
        <w:t xml:space="preserve">If a customer cannot provide a receipt, associates may look up the purchase using the card used at checkout. If no purchase record can be located, the item may be eligible for store credit at the current selling price, at the store manager's discretion.</w:t>
      </w:r>
    </w:p>
    <w:p>
      <w:pPr>
        <w:pStyle w:val="Heading2"/>
      </w:pPr>
      <w:r>
        <w:t xml:space="preserve">Late Returns</w:t>
      </w:r>
    </w:p>
    <w:p>
      <w:pPr>
        <w:spacing w:after="160"/>
      </w:pPr>
      <w:r>
        <w:t xml:space="preserve">Items returned after the applicable window has closed are not eligible for refund or exchange under this policy. Associates should direct customers to contact Zava Retail Customer Care for case-by-case review.</w:t>
      </w:r>
    </w:p>
    <w:p>
      <w:pPr>
        <w:pStyle w:val="Heading1"/>
      </w:pPr>
      <w:r>
        <w:t xml:space="preserve">Contact for Escalations</w:t>
      </w:r>
    </w:p>
    <w:p>
      <w:pPr>
        <w:spacing w:after="160"/>
      </w:pPr>
      <w:r>
        <w:t xml:space="preserve">Questions not covered by this policy, or situations requiring an exception, should be escalated to the Store Operations Manager (Priya Nair) or Zava Retail Customer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769c67f4c7cfc01a545acd4c51b27e02">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7a45fe52ca0bcc6c380d0b69933802b0"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Event" ma:index="24"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urseExecutionStartDate" ma:index="26"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7"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8"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29" nillable="true" ma:displayName="Country/region of Execution: Country/Region" ma:internalName="CountryOrRegion" ma:readOnly="true">
      <xsd:simpleType>
        <xsd:restriction base="dms:Text"/>
      </xsd:simpleType>
    </xsd:element>
    <xsd:element name="f6418541-2d6e-4e1a-99dd-033c96f75490State" ma:index="30" nillable="true" ma:displayName="Country/region of Execution: State" ma:internalName="State" ma:readOnly="true">
      <xsd:simpleType>
        <xsd:restriction base="dms:Text"/>
      </xsd:simpleType>
    </xsd:element>
    <xsd:element name="f6418541-2d6e-4e1a-99dd-033c96f75490City" ma:index="31" nillable="true" ma:displayName="Country/region of Execution: City" ma:internalName="City" ma:readOnly="true">
      <xsd:simpleType>
        <xsd:restriction base="dms:Text"/>
      </xsd:simpleType>
    </xsd:element>
    <xsd:element name="f6418541-2d6e-4e1a-99dd-033c96f75490PostalCode" ma:index="32" nillable="true" ma:displayName="Country/region of Execution: Postal Code" ma:internalName="PostalCode" ma:readOnly="true">
      <xsd:simpleType>
        <xsd:restriction base="dms:Text"/>
      </xsd:simpleType>
    </xsd:element>
    <xsd:element name="f6418541-2d6e-4e1a-99dd-033c96f75490Street" ma:index="33" nillable="true" ma:displayName="Country/region of Execution: Street" ma:internalName="Street" ma:readOnly="true">
      <xsd:simpleType>
        <xsd:restriction base="dms:Text"/>
      </xsd:simpleType>
    </xsd:element>
    <xsd:element name="f6418541-2d6e-4e1a-99dd-033c96f75490GeoLoc" ma:index="34" nillable="true" ma:displayName="Country/region of Execution: Coordinates" ma:internalName="GeoLoc" ma:readOnly="true">
      <xsd:simpleType>
        <xsd:restriction base="dms:Unknown"/>
      </xsd:simpleType>
    </xsd:element>
    <xsd:element name="f6418541-2d6e-4e1a-99dd-033c96f75490DispName" ma:index="35" nillable="true" ma:displayName="Country/region of Execution: Name" ma:internalName="DispName" ma:readOnly="true">
      <xsd:simpleType>
        <xsd:restriction base="dms:Text"/>
      </xsd:simpleType>
    </xsd:element>
    <xsd:element name="ContentReferenceLinkOnOD" ma:index="36"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TranslatedLang" ma:index="38" nillable="true" ma:displayName="Translated Language" ma:internalName="TranslatedLang">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_Flow_SignoffStatus" ma:index="40" nillable="true" ma:displayName="Sign-off status" ma:internalName="_x0024_Resources_x003a_core_x002c_Signoff_Status">
      <xsd:simpleType>
        <xsd:restriction base="dms:Text"/>
      </xsd:simpleType>
    </xsd:element>
    <xsd:element name="NextActionRequestedfrom" ma:index="41"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Country_x002f_regionofExecution xmlns="8ef809a0-ee5c-4f7c-93f4-54335103f45d" xsi:nil="true"/>
  </documentManagement>
</p:properties>
</file>

<file path=customXml/itemProps1.xml><?xml version="1.0" encoding="utf-8"?>
<ds:datastoreItem xmlns:ds="http://schemas.openxmlformats.org/officeDocument/2006/customXml" ds:itemID="{E5157DA6-15C4-4AE0-BC23-87BBBB937A2D}"/>
</file>

<file path=customXml/itemProps2.xml><?xml version="1.0" encoding="utf-8"?>
<ds:datastoreItem xmlns:ds="http://schemas.openxmlformats.org/officeDocument/2006/customXml" ds:itemID="{A5A8802C-5878-4C17-9ED5-954477DAFE2F}"/>
</file>

<file path=customXml/itemProps3.xml><?xml version="1.0" encoding="utf-8"?>
<ds:datastoreItem xmlns:ds="http://schemas.openxmlformats.org/officeDocument/2006/customXml" ds:itemID="{CFE8B4BA-30AF-4D0B-89AF-269EEA707EE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2026-08-31T06:23:43Z</dcterms:created>
  <dcterms:modified xsi:type="dcterms:W3CDTF">2026-08-31T06:23:43Z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ies>
</file>