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Retail Supply Chain Transition Playbook</w:t>
      </w:r>
    </w:p>
    <w:p>
      <w:r>
        <w:t>Zava Retail | Workforce Upskilling Agent Knowledge Source</w:t>
      </w:r>
    </w:p>
    <w:p>
      <w:pPr>
        <w:pStyle w:val="Heading2"/>
      </w:pPr>
      <w:r>
        <w:t>Purpose</w:t>
      </w:r>
    </w:p>
    <w:p>
      <w:r>
        <w:t>This playbook supports continuity of supply chain knowledge during role changes, departures, and digital transformation.</w:t>
      </w:r>
    </w:p>
    <w:p>
      <w:pPr>
        <w:pStyle w:val="Heading2"/>
      </w:pPr>
      <w:r>
        <w:t>Critical Knowledge</w:t>
      </w:r>
    </w:p>
    <w:p>
      <w:r>
        <w:t>Document supplier contacts, contract context, lead times, ordering patterns, risks, escalation paths, sole-source dependencies, and recurring exceptions.</w:t>
      </w:r>
    </w:p>
    <w:p>
      <w:pPr>
        <w:pStyle w:val="Heading2"/>
      </w:pPr>
      <w:r>
        <w:t>Knowledge Transfer</w:t>
      </w:r>
    </w:p>
    <w:p>
      <w:r>
        <w:t>For critical relationships, use a structured handover including documentation, shadowing, reverse-shadowing, and a final readiness review with the receiving employee.</w:t>
      </w:r>
    </w:p>
    <w:p>
      <w:pPr>
        <w:pStyle w:val="Heading2"/>
      </w:pPr>
      <w:r>
        <w:t>Sole-Source Risk</w:t>
      </w:r>
    </w:p>
    <w:p>
      <w:r>
        <w:t>Supplier relationships with no qualified alternative should receive priority treatment. Document business impact, contingency options, renewal dates, and escalation contacts.</w:t>
      </w:r>
    </w:p>
    <w:p>
      <w:pPr>
        <w:pStyle w:val="Heading2"/>
      </w:pPr>
      <w:r>
        <w:t>Transition Timeline</w:t>
      </w:r>
    </w:p>
    <w:p>
      <w:r>
        <w:t>Begin knowledge capture immediately. Complete core documentation early, then use the remaining transition period for supervised execution and validation.</w:t>
      </w:r>
    </w:p>
    <w:p>
      <w:pPr>
        <w:pStyle w:val="Heading2"/>
      </w:pPr>
      <w:r>
        <w:t>Success Measures</w:t>
      </w:r>
    </w:p>
    <w:p>
      <w:r>
        <w:t>Success includes complete documentation, validated ownership, reduced dependency on the departing employee, and a tested response process for major supplier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