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ZAVA RETAIL</w:t>
      </w:r>
    </w:p>
    <w:p>
      <w:pPr>
        <w:pBdr>
          <w:bottom w:val="single" w:color="E8734A" w:sz="12" w:space="4"/>
        </w:pBdr>
        <w:spacing w:after="300"/>
      </w:pPr>
      <w:r>
        <w:rPr>
          <w:b/>
          <w:bCs/>
          <w:color w:val="1F4E79"/>
          <w:sz w:val="40"/>
          <w:szCs w:val="40"/>
        </w:rPr>
        <w:t xml:space="preserve">Brand Guidelines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Version 3.1 — Marketing &amp; Brand Team — For internal and agency use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Brand Overview</w:t>
      </w:r>
    </w:p>
    <w:p>
      <w:pPr>
        <w:spacing w:after="120"/>
      </w:pPr>
      <w:r>
        <w:rPr>
          <w:sz w:val="22"/>
          <w:szCs w:val="22"/>
        </w:rPr>
        <w:t xml:space="preserve">Zava Retail is an omnichannel apparel and lifestyle retailer operating 12 physical stores alongside a growing online storefront. We serve value-conscious shoppers who still want to feel good about what they wear — Zava sits at the intersection of everyday affordability and modern style.</w:t>
      </w:r>
    </w:p>
    <w:p>
      <w:pPr>
        <w:spacing w:after="120"/>
      </w:pPr>
      <w:r>
        <w:rPr>
          <w:sz w:val="22"/>
          <w:szCs w:val="22"/>
        </w:rPr>
        <w:t xml:space="preserve">Our brand promise: great style shouldn't be complicated or out of reach. Every touchpoint — in-store, email, social, or SMS — should feel like it comes from the same confident, friendly retailer.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Brand Voice &amp; Tone</w:t>
      </w:r>
    </w:p>
    <w:p>
      <w:pPr>
        <w:spacing w:after="120"/>
      </w:pPr>
      <w:r>
        <w:rPr>
          <w:sz w:val="22"/>
          <w:szCs w:val="22"/>
        </w:rPr>
        <w:t xml:space="preserve">Zava's voice is consistent across channels; tone flexes with context (clearance vs. loyalty vs. executive reporting).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Voice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Confident — we know our product and our customer; we don't hedge or over-qualify.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Customer-first — copy centers what the shopper gets, not what Zava is doing.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Optimistic — upbeat without being over-the-top or gimmicky.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Inclusive — imagery and language should reflect a broad range of body types, ages, and backgrounds; avoid language that implies a single 'ideal' shopper.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Tone by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Mass-market clearance/sale: energetic, urgency-driven, plain language ("Up to 50% off" not "Exceptional savings await").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Loyalty / premium: warmer, more exclusive, less exclamation-heavy — "early access" language over "blowout"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Executive / leadership materials: neutral, precise, metrics-forward — voice pillars still apply but urgency and exclamation points are dropped.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Words we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Refresh, everyday style, made easy, your look, smart value, exclusive access (loyalty only).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Words we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Cheap, discount junk, last chance ever, guaranteed, best in the world, and any superlative we can't substantiate.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name or disparage competitors by name in any customer-facing or executive material.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Visual Identity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600"/>
      </w:tblGrid>
      <w:tr>
        <w:tc>
          <w:tcPr>
            <w:tcW w:type="dxa" w:w="1600"/>
            <w:shd w:fill="1B3A5C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2"/>
                <w:szCs w:val="22"/>
              </w:rPr>
              <w:t xml:space="preserve">Zava Navy (primary)</w:t>
            </w:r>
          </w:p>
        </w:tc>
        <w:tc>
          <w:tcPr>
            <w:tcW w:type="dxa" w:w="1800"/>
          </w:tcPr>
          <w:p>
            <w:r>
              <w:rPr>
                <w:sz w:val="22"/>
                <w:szCs w:val="22"/>
              </w:rPr>
              <w:t xml:space="preserve">#1B3A5C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Logo, headers, primary CTAs</w:t>
            </w:r>
          </w:p>
        </w:tc>
      </w:tr>
      <w:tr>
        <w:tc>
          <w:tcPr>
            <w:tcW w:type="dxa" w:w="1600"/>
            <w:shd w:fill="E8734A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2"/>
                <w:szCs w:val="22"/>
              </w:rPr>
              <w:t xml:space="preserve">Zava Coral (accent)</w:t>
            </w:r>
          </w:p>
        </w:tc>
        <w:tc>
          <w:tcPr>
            <w:tcW w:type="dxa" w:w="1800"/>
          </w:tcPr>
          <w:p>
            <w:r>
              <w:rPr>
                <w:sz w:val="22"/>
                <w:szCs w:val="22"/>
              </w:rPr>
              <w:t xml:space="preserve">#E8734A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Sale callouts, secondary CTAs, highlights</w:t>
            </w:r>
          </w:p>
        </w:tc>
      </w:tr>
      <w:tr>
        <w:tc>
          <w:tcPr>
            <w:tcW w:type="dxa" w:w="1600"/>
            <w:shd w:fill="F4B93D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2"/>
                <w:szCs w:val="22"/>
              </w:rPr>
              <w:t xml:space="preserve">Sunwash Yellow</w:t>
            </w:r>
          </w:p>
        </w:tc>
        <w:tc>
          <w:tcPr>
            <w:tcW w:type="dxa" w:w="1800"/>
          </w:tcPr>
          <w:p>
            <w:r>
              <w:rPr>
                <w:sz w:val="22"/>
                <w:szCs w:val="22"/>
              </w:rPr>
              <w:t xml:space="preserve">#F4B93D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Seasonal/summer campaigns only</w:t>
            </w:r>
          </w:p>
        </w:tc>
      </w:tr>
      <w:tr>
        <w:tc>
          <w:tcPr>
            <w:tcW w:type="dxa" w:w="1600"/>
            <w:shd w:fill="F2E9DD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2"/>
                <w:szCs w:val="22"/>
              </w:rPr>
              <w:t xml:space="preserve">Soft Sand</w:t>
            </w:r>
          </w:p>
        </w:tc>
        <w:tc>
          <w:tcPr>
            <w:tcW w:type="dxa" w:w="1800"/>
          </w:tcPr>
          <w:p>
            <w:r>
              <w:rPr>
                <w:sz w:val="22"/>
                <w:szCs w:val="22"/>
              </w:rPr>
              <w:t xml:space="preserve">#F2E9DD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Backgrounds, loyalty/premium materials</w:t>
            </w:r>
          </w:p>
        </w:tc>
      </w:tr>
      <w:tr>
        <w:tc>
          <w:tcPr>
            <w:tcW w:type="dxa" w:w="1600"/>
            <w:shd w:fill="2B2B2B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b/>
                <w:bCs/>
                <w:sz w:val="22"/>
                <w:szCs w:val="22"/>
              </w:rPr>
              <w:t xml:space="preserve">Charcoal</w:t>
            </w:r>
          </w:p>
        </w:tc>
        <w:tc>
          <w:tcPr>
            <w:tcW w:type="dxa" w:w="1800"/>
          </w:tcPr>
          <w:p>
            <w:r>
              <w:rPr>
                <w:sz w:val="22"/>
                <w:szCs w:val="22"/>
              </w:rPr>
              <w:t xml:space="preserve">#2B2B2B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Body copy, in-store signage text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Headlines: Zava uses a bold, rounded sans-serif (house font: Articulat CF; system fallback: Segoe UI Bold).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Body copy: Segoe UI Regular / Helvetica Neue for digital; minimum 11pt for print signage.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Logo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Full-color logo on light backgrounds only; reversed (white) logo on Navy or Coral backgrounds.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clear space equal to the height of the "Z" on all sides.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stretch, rotate, or recolor the logo outside approved brand colors.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Messaging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Value without compromise — savings framed around style and quality retained, not just price cuts.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Style for every store, every region — campaigns should feel locally relevant, not one-size-fits-all.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Loyalty is a relationship — loyalty communications should read as a benefit of membership, not a repackaged sale.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Compliance &amp; Claims Guardrails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state or imply specific discount percentages, prices, or dates unless provided by the campaign brief; mark any unconfirmed figure as [PLACEHOLDER].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fabricate legal disclaimers (e.g., "while supplies last" terms, exclusions) — these must come from Legal.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Sustainability or ethical-sourcing claims require Legal/Compliance sign-off before use in any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executive-facing materials must flag assumptions and unconfirmed data explicitly rather than presenting them as fact.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Channel Notes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Channel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Brand notes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Navy header, coral CTA button, one hero image max above the fold.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Plain text tone, no emoji-heavy copy, always include opt-out language.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Social (IG/FB/LinkedIn)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LinkedIn skews executive/professional tone; IG/FB more visual and casual.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In-store signage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 contrast, large type, minimal copy — signage is read in 3 seconds or less.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2026-08-31T04:42:05.576Z</dcterms:created>
  <dcterms:modified xsi:type="dcterms:W3CDTF">2026-08-31T04:42:05.586Z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