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65A82" w:sz="24" w:space="0"/>
        </w:pBdr>
        <w:spacing w:after="480" w:before="0"/>
      </w:pPr>
    </w:p>
    <w:p>
      <w:pPr>
        <w:spacing w:after="120" w:before="960"/>
        <w:jc w:val="left"/>
      </w:pPr>
      <w:r>
        <w:rPr>
          <w:rFonts w:ascii="Calibri" w:cs="Calibri" w:eastAsia="Calibri" w:hAnsi="Calibri"/>
          <w:b/>
          <w:bCs/>
          <w:color w:val="065A82"/>
          <w:sz w:val="96"/>
          <w:szCs w:val="96"/>
        </w:rPr>
        <w:t xml:space="preserve">SGEIA</w:t>
      </w:r>
    </w:p>
    <w:p>
      <w:pPr>
        <w:spacing w:after="60" w:before="0"/>
        <w:jc w:val="left"/>
      </w:pPr>
      <w:r>
        <w:rPr>
          <w:rFonts w:ascii="Calibri" w:cs="Calibri" w:eastAsia="Calibri" w:hAnsi="Calibri"/>
          <w:b w:val="false"/>
          <w:bCs w:val="false"/>
          <w:color w:val="1C7293"/>
          <w:sz w:val="36"/>
          <w:szCs w:val="36"/>
        </w:rPr>
        <w:t xml:space="preserve">Smart Grid Energy Intelligence Assistant</w:t>
      </w:r>
    </w:p>
    <w:p>
      <w:pPr>
        <w:spacing w:after="480" w:before="120"/>
        <w:jc w:val="left"/>
      </w:pPr>
      <w:r>
        <w:rPr>
          <w:rFonts w:ascii="Calibri" w:cs="Calibri" w:eastAsia="Calibri" w:hAnsi="Calibri"/>
          <w:i/>
          <w:iCs/>
          <w:color w:val="4A6080"/>
          <w:sz w:val="28"/>
          <w:szCs w:val="28"/>
        </w:rPr>
        <w:t xml:space="preserve">Project Story</w:t>
      </w:r>
    </w:p>
    <w:p>
      <w:pPr>
        <w:pBdr>
          <w:bottom w:val="single" w:color="1C7293" w:sz="6" w:space="4"/>
        </w:pBdr>
        <w:spacing w:after="120" w:before="120"/>
      </w:pPr>
    </w:p>
    <w:p>
      <w:pPr>
        <w:spacing w:after="60" w:before="240"/>
      </w:pPr>
      <w:r>
        <w:rPr>
          <w:rFonts w:ascii="Calibri" w:cs="Calibri" w:eastAsia="Calibri" w:hAnsi="Calibri"/>
          <w:b/>
          <w:bCs/>
          <w:color w:val="1A2A4A"/>
          <w:sz w:val="28"/>
          <w:szCs w:val="28"/>
        </w:rPr>
        <w:t xml:space="preserve">Tejeswari S K</w:t>
      </w:r>
    </w:p>
    <w:p>
      <w:pPr>
        <w:spacing w:after="60" w:before="0"/>
      </w:pPr>
      <w:r>
        <w:rPr>
          <w:rFonts w:ascii="Calibri" w:cs="Calibri" w:eastAsia="Calibri" w:hAnsi="Calibri"/>
          <w:color w:val="4A6080"/>
          <w:sz w:val="24"/>
          <w:szCs w:val="24"/>
        </w:rPr>
        <w:t xml:space="preserve">Prodapt Advanced Full-Stack Data Engineering (AFDE)</w:t>
      </w:r>
    </w:p>
    <w:p>
      <w:pPr>
        <w:spacing w:after="60" w:before="0"/>
      </w:pPr>
      <w:r>
        <w:rPr>
          <w:rFonts w:ascii="Calibri" w:cs="Calibri" w:eastAsia="Calibri" w:hAnsi="Calibri"/>
          <w:color w:val="4A6080"/>
          <w:sz w:val="24"/>
          <w:szCs w:val="24"/>
        </w:rPr>
        <w:t xml:space="preserve">Capstone Project  |  May 2026</w:t>
      </w:r>
    </w:p>
    <w:p>
      <w:pPr>
        <w:spacing w:after="60" w:before="0"/>
      </w:pPr>
      <w:r>
        <w:rPr>
          <w:rFonts w:ascii="Calibri" w:cs="Calibri" w:eastAsia="Calibri" w:hAnsi="Calibri"/>
          <w:color w:val="1C7293"/>
          <w:sz w:val="24"/>
          <w:szCs w:val="24"/>
        </w:rPr>
        <w:t xml:space="preserve">tejeswari.sk@prodapt.com</w:t>
      </w:r>
    </w:p>
    <w:p>
      <w:r>
        <w:br w:type="page"/>
      </w:r>
    </w:p>
    <w:p>
      <w:pPr>
        <w:pStyle w:val="Heading1"/>
        <w:spacing w:after="120" w:before="360"/>
      </w:pPr>
      <w:r>
        <w:rPr>
          <w:rFonts w:ascii="Calibri" w:cs="Calibri" w:eastAsia="Calibri" w:hAnsi="Calibri"/>
          <w:b/>
          <w:bCs/>
          <w:color w:val="065A82"/>
          <w:sz w:val="32"/>
          <w:szCs w:val="32"/>
        </w:rPr>
        <w:t xml:space="preserve">1. What is SGEIA and Why Was It Built</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SGEIA stands for Smart Grid Energy Intelligence Assistant. It is a web dashboard combined with an AI chat system designed for power grid operators. Instead of forcing operators to learn complex data science tools, SGEIA lets them ask questions in plain English — for example, "What is happening in Zone A?" or "Why is the grid unstable right now?" — and get a clear, AI-generated answer in under 3 seconds.</w:t>
      </w:r>
    </w:p>
    <w:p>
      <w:pPr>
        <w:spacing w:after="40" w:before="40"/>
      </w:pPr>
    </w:p>
    <w:p>
      <w:pPr>
        <w:spacing w:after="140" w:before="80" w:line="320" w:lineRule="auto"/>
      </w:pPr>
      <w:r>
        <w:rPr>
          <w:rFonts w:ascii="Calibri" w:cs="Calibri" w:eastAsia="Calibri" w:hAnsi="Calibri"/>
          <w:color w:val="1A2A4A"/>
          <w:sz w:val="24"/>
          <w:szCs w:val="24"/>
        </w:rPr>
        <w:t xml:space="preserve">The system was built because modern power grids generate enormous amounts of data from sensors, meters, and monitoring systems, but very few tools exist that help non-expert operators make sense of that data quickly and safely. The gap between the data that exists and the insight that operators actually need was the core problem SGEIA was designed to close.</w:t>
      </w:r>
    </w:p>
    <w:p>
      <w:r>
        <w:br w:type="page"/>
      </w:r>
    </w:p>
    <w:p>
      <w:pPr>
        <w:pStyle w:val="Heading1"/>
        <w:spacing w:after="120" w:before="360"/>
      </w:pPr>
      <w:r>
        <w:rPr>
          <w:rFonts w:ascii="Calibri" w:cs="Calibri" w:eastAsia="Calibri" w:hAnsi="Calibri"/>
          <w:b/>
          <w:bCs/>
          <w:color w:val="065A82"/>
          <w:sz w:val="32"/>
          <w:szCs w:val="32"/>
        </w:rPr>
        <w:t xml:space="preserve">2. The Problem It Solves</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Grid operators face three critical challenges every shift.</w:t>
      </w:r>
    </w:p>
    <w:p>
      <w:pPr>
        <w:spacing w:after="40" w:before="40"/>
      </w:pPr>
    </w:p>
    <w:p>
      <w:pPr>
        <w:pStyle w:val="ListParagraph"/>
        <w:numPr>
          <w:ilvl w:val="0"/>
          <w:numId w:val="2"/>
        </w:numPr>
        <w:spacing w:after="60" w:before="60"/>
      </w:pPr>
      <w:r>
        <w:rPr>
          <w:rFonts w:ascii="Calibri" w:cs="Calibri" w:eastAsia="Calibri" w:hAnsi="Calibri"/>
          <w:b/>
          <w:bCs/>
          <w:color w:val="065A82"/>
          <w:sz w:val="24"/>
          <w:szCs w:val="24"/>
        </w:rPr>
        <w:t xml:space="preserve">Alert Overload.  </w:t>
      </w:r>
      <w:r>
        <w:rPr>
          <w:rFonts w:ascii="Calibri" w:cs="Calibri" w:eastAsia="Calibri" w:hAnsi="Calibri"/>
          <w:color w:val="1A2A4A"/>
          <w:sz w:val="24"/>
          <w:szCs w:val="24"/>
        </w:rPr>
        <w:t xml:space="preserve">Alert overload: a typical grid control room receives hundreds of system alerts per hour. Most are false alarms, but missing the real one can cause a blackout.</w:t>
      </w:r>
    </w:p>
    <w:p>
      <w:pPr>
        <w:pStyle w:val="ListParagraph"/>
        <w:numPr>
          <w:ilvl w:val="0"/>
          <w:numId w:val="2"/>
        </w:numPr>
        <w:spacing w:after="60" w:before="60"/>
      </w:pPr>
      <w:r>
        <w:rPr>
          <w:rFonts w:ascii="Calibri" w:cs="Calibri" w:eastAsia="Calibri" w:hAnsi="Calibri"/>
          <w:b/>
          <w:bCs/>
          <w:color w:val="065A82"/>
          <w:sz w:val="24"/>
          <w:szCs w:val="24"/>
        </w:rPr>
        <w:t xml:space="preserve">Slow Diagnosis.  </w:t>
      </w:r>
      <w:r>
        <w:rPr>
          <w:rFonts w:ascii="Calibri" w:cs="Calibri" w:eastAsia="Calibri" w:hAnsi="Calibri"/>
          <w:color w:val="1A2A4A"/>
          <w:sz w:val="24"/>
          <w:szCs w:val="24"/>
        </w:rPr>
        <w:t xml:space="preserve">Slow diagnosis: finding the root cause of a grid instability incident typically means jumping across five or six different tools, log files, and dashboards — a process that can take two to four hours.</w:t>
      </w:r>
    </w:p>
    <w:p>
      <w:pPr>
        <w:pStyle w:val="ListParagraph"/>
        <w:numPr>
          <w:ilvl w:val="0"/>
          <w:numId w:val="2"/>
        </w:numPr>
        <w:spacing w:after="60" w:before="60"/>
      </w:pPr>
      <w:r>
        <w:rPr>
          <w:rFonts w:ascii="Calibri" w:cs="Calibri" w:eastAsia="Calibri" w:hAnsi="Calibri"/>
          <w:b/>
          <w:bCs/>
          <w:color w:val="065A82"/>
          <w:sz w:val="24"/>
          <w:szCs w:val="24"/>
        </w:rPr>
        <w:t xml:space="preserve">The Expertise Gap.  </w:t>
      </w:r>
      <w:r>
        <w:rPr>
          <w:rFonts w:ascii="Calibri" w:cs="Calibri" w:eastAsia="Calibri" w:hAnsi="Calibri"/>
          <w:color w:val="1A2A4A"/>
          <w:sz w:val="24"/>
          <w:szCs w:val="24"/>
        </w:rPr>
        <w:t xml:space="preserve">The expertise gap: interpreting raw grid physics data (node reaction times, power flow values) requires years of specialized training. Junior operators are often left guessing.</w:t>
      </w:r>
    </w:p>
    <w:p>
      <w:pPr>
        <w:spacing w:after="40" w:before="40"/>
      </w:pPr>
    </w:p>
    <w:p>
      <w:pPr>
        <w:spacing w:after="140" w:before="80" w:line="320" w:lineRule="auto"/>
      </w:pPr>
      <w:r>
        <w:rPr>
          <w:rFonts w:ascii="Calibri" w:cs="Calibri" w:eastAsia="Calibri" w:hAnsi="Calibri"/>
          <w:color w:val="1A2A4A"/>
          <w:sz w:val="24"/>
          <w:szCs w:val="24"/>
        </w:rPr>
        <w:t xml:space="preserve">SGEIA was built specifically to solve all three: it cuts through alert noise, provides instant AI-assisted diagnosis, and makes expert-level interpretation available to any operator regardless of experience level.</w:t>
      </w:r>
    </w:p>
    <w:p>
      <w:r>
        <w:br w:type="page"/>
      </w:r>
    </w:p>
    <w:p>
      <w:pPr>
        <w:pStyle w:val="Heading1"/>
        <w:spacing w:after="120" w:before="360"/>
      </w:pPr>
      <w:r>
        <w:rPr>
          <w:rFonts w:ascii="Calibri" w:cs="Calibri" w:eastAsia="Calibri" w:hAnsi="Calibri"/>
          <w:b/>
          <w:bCs/>
          <w:color w:val="065A82"/>
          <w:sz w:val="32"/>
          <w:szCs w:val="32"/>
        </w:rPr>
        <w:t xml:space="preserve">3. Why Two Datasets — The Supply and Demand Problem</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To understand what is happening on a power grid, you need to look at both sides of the equation: supply (how generators and grid nodes behave) and demand (what homes and businesses are actually consuming). SGEIA uses two datasets for this reason.</w:t>
      </w:r>
    </w:p>
    <w:p>
      <w:pPr>
        <w:spacing w:after="40" w:before="40"/>
      </w:pPr>
    </w:p>
    <w:p>
      <w:pPr>
        <w:pStyle w:val="Heading2"/>
        <w:spacing w:after="80" w:before="240"/>
      </w:pPr>
      <w:r>
        <w:rPr>
          <w:rFonts w:ascii="Calibri" w:cs="Calibri" w:eastAsia="Calibri" w:hAnsi="Calibri"/>
          <w:b/>
          <w:bCs/>
          <w:color w:val="1C7293"/>
          <w:sz w:val="26"/>
          <w:szCs w:val="26"/>
        </w:rPr>
        <w:t xml:space="preserve">Dataset 1 — Smart Grid Stability Dataset (UCI)</w:t>
      </w:r>
    </w:p>
    <w:p>
      <w:pPr>
        <w:spacing w:after="140" w:before="80" w:line="320" w:lineRule="auto"/>
      </w:pPr>
      <w:r>
        <w:rPr>
          <w:rFonts w:ascii="Calibri" w:cs="Calibri" w:eastAsia="Calibri" w:hAnsi="Calibri"/>
          <w:color w:val="1A2A4A"/>
          <w:sz w:val="24"/>
          <w:szCs w:val="24"/>
        </w:rPr>
        <w:t xml:space="preserve">This dataset contains 60,000 rows of simulated grid behavior under different load and generation conditions. Each row captures how four interconnected nodes respond to changes in power supply and demand:</w:t>
      </w:r>
    </w:p>
    <w:p>
      <w:pPr>
        <w:pStyle w:val="ListParagraph"/>
        <w:numPr>
          <w:ilvl w:val="0"/>
          <w:numId w:val="2"/>
        </w:numPr>
        <w:spacing w:after="60" w:before="60"/>
      </w:pPr>
      <w:r>
        <w:rPr>
          <w:rFonts w:ascii="Calibri" w:cs="Calibri" w:eastAsia="Calibri" w:hAnsi="Calibri"/>
          <w:color w:val="1A2A4A"/>
          <w:sz w:val="24"/>
          <w:szCs w:val="24"/>
        </w:rPr>
        <w:t xml:space="preserve">tau values — how fast each node reacts to load changes</w:t>
      </w:r>
    </w:p>
    <w:p>
      <w:pPr>
        <w:pStyle w:val="ListParagraph"/>
        <w:numPr>
          <w:ilvl w:val="0"/>
          <w:numId w:val="2"/>
        </w:numPr>
        <w:spacing w:after="60" w:before="60"/>
      </w:pPr>
      <w:r>
        <w:rPr>
          <w:rFonts w:ascii="Calibri" w:cs="Calibri" w:eastAsia="Calibri" w:hAnsi="Calibri"/>
          <w:color w:val="1A2A4A"/>
          <w:sz w:val="24"/>
          <w:szCs w:val="24"/>
        </w:rPr>
        <w:t xml:space="preserve">p values — how much power each node produces or consumes</w:t>
      </w:r>
    </w:p>
    <w:p>
      <w:pPr>
        <w:pStyle w:val="ListParagraph"/>
        <w:numPr>
          <w:ilvl w:val="0"/>
          <w:numId w:val="2"/>
        </w:numPr>
        <w:spacing w:after="60" w:before="60"/>
      </w:pPr>
      <w:r>
        <w:rPr>
          <w:rFonts w:ascii="Calibri" w:cs="Calibri" w:eastAsia="Calibri" w:hAnsi="Calibri"/>
          <w:color w:val="1A2A4A"/>
          <w:sz w:val="24"/>
          <w:szCs w:val="24"/>
        </w:rPr>
        <w:t xml:space="preserve">g values — how sensitive each node is to price signals</w:t>
      </w:r>
    </w:p>
    <w:p>
      <w:pPr>
        <w:spacing w:after="140" w:before="80" w:line="320" w:lineRule="auto"/>
      </w:pPr>
      <w:r>
        <w:rPr>
          <w:rFonts w:ascii="Calibri" w:cs="Calibri" w:eastAsia="Calibri" w:hAnsi="Calibri"/>
          <w:color w:val="1A2A4A"/>
          <w:sz w:val="24"/>
          <w:szCs w:val="24"/>
        </w:rPr>
        <w:t xml:space="preserve">The dataset labels each configuration as either stable or unstable, making it ideal for training a machine learning model that can predict grid stability from live readings. This is the supply side of the picture.</w:t>
      </w:r>
    </w:p>
    <w:p>
      <w:pPr>
        <w:spacing w:after="40" w:before="40"/>
      </w:pPr>
    </w:p>
    <w:p>
      <w:pPr>
        <w:pStyle w:val="Heading2"/>
        <w:spacing w:after="80" w:before="240"/>
      </w:pPr>
      <w:r>
        <w:rPr>
          <w:rFonts w:ascii="Calibri" w:cs="Calibri" w:eastAsia="Calibri" w:hAnsi="Calibri"/>
          <w:b/>
          <w:bCs/>
          <w:color w:val="1C7293"/>
          <w:sz w:val="26"/>
          <w:szCs w:val="26"/>
        </w:rPr>
        <w:t xml:space="preserve">Dataset 2 — Household Power Consumption Dataset</w:t>
      </w:r>
    </w:p>
    <w:p>
      <w:pPr>
        <w:spacing w:after="140" w:before="80" w:line="320" w:lineRule="auto"/>
      </w:pPr>
      <w:r>
        <w:rPr>
          <w:rFonts w:ascii="Calibri" w:cs="Calibri" w:eastAsia="Calibri" w:hAnsi="Calibri"/>
          <w:color w:val="1A2A4A"/>
          <w:sz w:val="24"/>
          <w:szCs w:val="24"/>
        </w:rPr>
        <w:t xml:space="preserve">This dataset contains over 2 million rows of real, minute-by-minute electricity readings from actual homes. It captures voltage, current, overall power consumption, reactive power, and sub-metering data from specific appliances including kitchen, laundry, and HVAC systems. This represents the demand side of the grid — what smart meters actually record.</w:t>
      </w:r>
    </w:p>
    <w:p>
      <w:pPr>
        <w:spacing w:after="40" w:before="40"/>
      </w:pPr>
    </w:p>
    <w:p>
      <w:pPr>
        <w:spacing w:after="140" w:before="80" w:line="320" w:lineRule="auto"/>
      </w:pPr>
      <w:r>
        <w:rPr>
          <w:rFonts w:ascii="Calibri" w:cs="Calibri" w:eastAsia="Calibri" w:hAnsi="Calibri"/>
          <w:color w:val="1A2A4A"/>
          <w:sz w:val="24"/>
          <w:szCs w:val="24"/>
        </w:rPr>
        <w:t xml:space="preserve">Using both datasets together allows SGEIA to say not just "the grid is unstable" but "the grid is unstable AND Zone B is showing abnormally high household demand at the same time." That kind of combined insight is what real grid management requires.</w:t>
      </w:r>
    </w:p>
    <w:p>
      <w:r>
        <w:br w:type="page"/>
      </w:r>
    </w:p>
    <w:p>
      <w:pPr>
        <w:pStyle w:val="Heading1"/>
        <w:spacing w:after="120" w:before="360"/>
      </w:pPr>
      <w:r>
        <w:rPr>
          <w:rFonts w:ascii="Calibri" w:cs="Calibri" w:eastAsia="Calibri" w:hAnsi="Calibri"/>
          <w:b/>
          <w:bCs/>
          <w:color w:val="065A82"/>
          <w:sz w:val="32"/>
          <w:szCs w:val="32"/>
        </w:rPr>
        <w:t xml:space="preserve">4. What New Columns Were Added and Why</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Both original datasets were designed for academic research, not real-world grid operations. They captured physics accurately but were missing the operational context that practitioners need.</w:t>
      </w:r>
    </w:p>
    <w:p>
      <w:pPr>
        <w:spacing w:after="40" w:before="40"/>
      </w:pPr>
    </w:p>
    <w:p>
      <w:pPr>
        <w:pStyle w:val="Heading2"/>
        <w:spacing w:after="80" w:before="240"/>
      </w:pPr>
      <w:r>
        <w:rPr>
          <w:rFonts w:ascii="Calibri" w:cs="Calibri" w:eastAsia="Calibri" w:hAnsi="Calibri"/>
          <w:b/>
          <w:bCs/>
          <w:color w:val="1C7293"/>
          <w:sz w:val="26"/>
          <w:szCs w:val="26"/>
        </w:rPr>
        <w:t xml:space="preserve">Columns Added to the Stability Dataset</w:t>
      </w:r>
    </w:p>
    <w:p>
      <w:pPr>
        <w:pStyle w:val="ListParagraph"/>
        <w:numPr>
          <w:ilvl w:val="0"/>
          <w:numId w:val="2"/>
        </w:numPr>
        <w:spacing w:after="60" w:before="60"/>
      </w:pPr>
      <w:r>
        <w:rPr>
          <w:rFonts w:ascii="Calibri" w:cs="Calibri" w:eastAsia="Calibri" w:hAnsi="Calibri"/>
          <w:color w:val="1A2A4A"/>
          <w:sz w:val="24"/>
          <w:szCs w:val="24"/>
        </w:rPr>
        <w:t xml:space="preserve">timestamp — so events can be placed in time and trends can be tracked</w:t>
      </w:r>
    </w:p>
    <w:p>
      <w:pPr>
        <w:pStyle w:val="ListParagraph"/>
        <w:numPr>
          <w:ilvl w:val="0"/>
          <w:numId w:val="2"/>
        </w:numPr>
        <w:spacing w:after="60" w:before="60"/>
      </w:pPr>
      <w:r>
        <w:rPr>
          <w:rFonts w:ascii="Calibri" w:cs="Calibri" w:eastAsia="Calibri" w:hAnsi="Calibri"/>
          <w:color w:val="1A2A4A"/>
          <w:sz w:val="24"/>
          <w:szCs w:val="24"/>
        </w:rPr>
        <w:t xml:space="preserve">region (Zone A, B, C, or D) — so readings can be linked to specific parts of the grid</w:t>
      </w:r>
    </w:p>
    <w:p>
      <w:pPr>
        <w:pStyle w:val="ListParagraph"/>
        <w:numPr>
          <w:ilvl w:val="0"/>
          <w:numId w:val="2"/>
        </w:numPr>
        <w:spacing w:after="60" w:before="60"/>
      </w:pPr>
      <w:r>
        <w:rPr>
          <w:rFonts w:ascii="Calibri" w:cs="Calibri" w:eastAsia="Calibri" w:hAnsi="Calibri"/>
          <w:color w:val="1A2A4A"/>
          <w:sz w:val="24"/>
          <w:szCs w:val="24"/>
        </w:rPr>
        <w:t xml:space="preserve">equipment_type — to identify which transformer or substation was involved</w:t>
      </w:r>
    </w:p>
    <w:p>
      <w:pPr>
        <w:pStyle w:val="ListParagraph"/>
        <w:numPr>
          <w:ilvl w:val="0"/>
          <w:numId w:val="2"/>
        </w:numPr>
        <w:spacing w:after="60" w:before="60"/>
      </w:pPr>
      <w:r>
        <w:rPr>
          <w:rFonts w:ascii="Calibri" w:cs="Calibri" w:eastAsia="Calibri" w:hAnsi="Calibri"/>
          <w:color w:val="1A2A4A"/>
          <w:sz w:val="24"/>
          <w:szCs w:val="24"/>
        </w:rPr>
        <w:t xml:space="preserve">transformer_status — whether the transformer was online, degraded, or offline</w:t>
      </w:r>
    </w:p>
    <w:p>
      <w:pPr>
        <w:pStyle w:val="ListParagraph"/>
        <w:numPr>
          <w:ilvl w:val="0"/>
          <w:numId w:val="2"/>
        </w:numPr>
        <w:spacing w:after="60" w:before="60"/>
      </w:pPr>
      <w:r>
        <w:rPr>
          <w:rFonts w:ascii="Calibri" w:cs="Calibri" w:eastAsia="Calibri" w:hAnsi="Calibri"/>
          <w:color w:val="1A2A4A"/>
          <w:sz w:val="24"/>
          <w:szCs w:val="24"/>
        </w:rPr>
        <w:t xml:space="preserve">grid_frequency — the live power frequency at the time of the reading</w:t>
      </w:r>
    </w:p>
    <w:p>
      <w:pPr>
        <w:pStyle w:val="ListParagraph"/>
        <w:numPr>
          <w:ilvl w:val="0"/>
          <w:numId w:val="2"/>
        </w:numPr>
        <w:spacing w:after="60" w:before="60"/>
      </w:pPr>
      <w:r>
        <w:rPr>
          <w:rFonts w:ascii="Calibri" w:cs="Calibri" w:eastAsia="Calibri" w:hAnsi="Calibri"/>
          <w:color w:val="1A2A4A"/>
          <w:sz w:val="24"/>
          <w:szCs w:val="24"/>
        </w:rPr>
        <w:t xml:space="preserve">outage_event — a flag for whether an actual outage occurred</w:t>
      </w:r>
    </w:p>
    <w:p>
      <w:pPr>
        <w:spacing w:after="40" w:before="40"/>
      </w:pPr>
    </w:p>
    <w:p>
      <w:pPr>
        <w:pStyle w:val="Heading2"/>
        <w:spacing w:after="80" w:before="240"/>
      </w:pPr>
      <w:r>
        <w:rPr>
          <w:rFonts w:ascii="Calibri" w:cs="Calibri" w:eastAsia="Calibri" w:hAnsi="Calibri"/>
          <w:b/>
          <w:bCs/>
          <w:color w:val="1C7293"/>
          <w:sz w:val="26"/>
          <w:szCs w:val="26"/>
        </w:rPr>
        <w:t xml:space="preserve">Columns Added to the Household Dataset</w:t>
      </w:r>
    </w:p>
    <w:p>
      <w:pPr>
        <w:pStyle w:val="ListParagraph"/>
        <w:numPr>
          <w:ilvl w:val="0"/>
          <w:numId w:val="2"/>
        </w:numPr>
        <w:spacing w:after="60" w:before="60"/>
      </w:pPr>
      <w:r>
        <w:rPr>
          <w:rFonts w:ascii="Calibri" w:cs="Calibri" w:eastAsia="Calibri" w:hAnsi="Calibri"/>
          <w:color w:val="1A2A4A"/>
          <w:sz w:val="24"/>
          <w:szCs w:val="24"/>
        </w:rPr>
        <w:t xml:space="preserve">timestamp, region, equipment_type, transformer_status, outage_event — same as above</w:t>
      </w:r>
    </w:p>
    <w:p>
      <w:pPr>
        <w:pStyle w:val="ListParagraph"/>
        <w:numPr>
          <w:ilvl w:val="0"/>
          <w:numId w:val="2"/>
        </w:numPr>
        <w:spacing w:after="60" w:before="60"/>
      </w:pPr>
      <w:r>
        <w:rPr>
          <w:rFonts w:ascii="Calibri" w:cs="Calibri" w:eastAsia="Calibri" w:hAnsi="Calibri"/>
          <w:color w:val="1A2A4A"/>
          <w:sz w:val="24"/>
          <w:szCs w:val="24"/>
        </w:rPr>
        <w:t xml:space="preserve">demand_load — an aggregate demand label showing overall load level for the zone</w:t>
      </w:r>
    </w:p>
    <w:p>
      <w:pPr>
        <w:pStyle w:val="ListParagraph"/>
        <w:numPr>
          <w:ilvl w:val="0"/>
          <w:numId w:val="2"/>
        </w:numPr>
        <w:spacing w:after="60" w:before="60"/>
      </w:pPr>
      <w:r>
        <w:rPr>
          <w:rFonts w:ascii="Calibri" w:cs="Calibri" w:eastAsia="Calibri" w:hAnsi="Calibri"/>
          <w:color w:val="1A2A4A"/>
          <w:sz w:val="24"/>
          <w:szCs w:val="24"/>
        </w:rPr>
        <w:t xml:space="preserve">grid_frequency — to correlate household consumption spikes with grid frequency deviations</w:t>
      </w:r>
    </w:p>
    <w:p>
      <w:pPr>
        <w:spacing w:after="40" w:before="40"/>
      </w:pPr>
    </w:p>
    <w:p>
      <w:pPr>
        <w:spacing w:after="140" w:before="80" w:line="320" w:lineRule="auto"/>
      </w:pPr>
      <w:r>
        <w:rPr>
          <w:rFonts w:ascii="Calibri" w:cs="Calibri" w:eastAsia="Calibri" w:hAnsi="Calibri"/>
          <w:color w:val="1A2A4A"/>
          <w:sz w:val="24"/>
          <w:szCs w:val="24"/>
        </w:rPr>
        <w:t xml:space="preserve">These additions transform two research datasets into records that look like real operational logs. They allow SGEIA's retrieval system to answer zone-specific queries (for example, "What happened in Zone A between 2am and 4am?"), enable joining of supply and demand data by zone and time, and make it possible to filter incidents by equipment type or outage status.</w:t>
      </w:r>
    </w:p>
    <w:p>
      <w:r>
        <w:br w:type="page"/>
      </w:r>
    </w:p>
    <w:p>
      <w:pPr>
        <w:pStyle w:val="Heading1"/>
        <w:spacing w:after="120" w:before="360"/>
      </w:pPr>
      <w:r>
        <w:rPr>
          <w:rFonts w:ascii="Calibri" w:cs="Calibri" w:eastAsia="Calibri" w:hAnsi="Calibri"/>
          <w:b/>
          <w:bCs/>
          <w:color w:val="065A82"/>
          <w:sz w:val="32"/>
          <w:szCs w:val="32"/>
        </w:rPr>
        <w:t xml:space="preserve">5. How It Works — Step by Step</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When an operator types a question, the following sequence happens automatically:</w:t>
      </w:r>
    </w:p>
    <w:p>
      <w:pPr>
        <w:spacing w:after="40" w:before="40"/>
      </w:pP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Input Screening: </w:t>
      </w:r>
      <w:r>
        <w:rPr>
          <w:rFonts w:ascii="Calibri" w:cs="Calibri" w:eastAsia="Calibri" w:hAnsi="Calibri"/>
          <w:color w:val="1A2A4A"/>
          <w:sz w:val="24"/>
          <w:szCs w:val="24"/>
        </w:rPr>
        <w:t xml:space="preserve">The question passes through four safety checks. First, the system verifies it is a valid, properly formatted text string. Second, it scans for harmful or abusive content. Third, it checks whether the question is actually about power grids or energy — off-topic questions are rejected. Fourth, it masks any personal identifiers (phone numbers, GPS coordinates, employee IDs) using a tool called Presidio combined with custom pattern-matching rules.</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Cache Check: </w:t>
      </w:r>
      <w:r>
        <w:rPr>
          <w:rFonts w:ascii="Calibri" w:cs="Calibri" w:eastAsia="Calibri" w:hAnsi="Calibri"/>
          <w:color w:val="1A2A4A"/>
          <w:sz w:val="24"/>
          <w:szCs w:val="24"/>
        </w:rPr>
        <w:t xml:space="preserve">The system checks whether this question (or one very similar) has been asked before. If so, the stored answer is returned instantly without any AI processing.</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Orchestration: </w:t>
      </w:r>
      <w:r>
        <w:rPr>
          <w:rFonts w:ascii="Calibri" w:cs="Calibri" w:eastAsia="Calibri" w:hAnsi="Calibri"/>
          <w:color w:val="1A2A4A"/>
          <w:sz w:val="24"/>
          <w:szCs w:val="24"/>
        </w:rPr>
        <w:t xml:space="preserve">A routing agent built with LangGraph reads the question and decides which combination of specialist agents is needed to answer it correctly.</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Retrieval: </w:t>
      </w:r>
      <w:r>
        <w:rPr>
          <w:rFonts w:ascii="Calibri" w:cs="Calibri" w:eastAsia="Calibri" w:hAnsi="Calibri"/>
          <w:color w:val="1A2A4A"/>
          <w:sz w:val="24"/>
          <w:szCs w:val="24"/>
        </w:rPr>
        <w:t xml:space="preserve">The RAG (Retrieval-Augmented Generation) agent searches a database of indexed incident records using two methods simultaneously: BM25 for exact keyword matching, and ChromaDB for meaning-based (semantic) matching. Both sets of results are combined.</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Machine Learning: </w:t>
      </w:r>
      <w:r>
        <w:rPr>
          <w:rFonts w:ascii="Calibri" w:cs="Calibri" w:eastAsia="Calibri" w:hAnsi="Calibri"/>
          <w:color w:val="1A2A4A"/>
          <w:sz w:val="24"/>
          <w:szCs w:val="24"/>
        </w:rPr>
        <w:t xml:space="preserve">Depending on the question, the stability agent runs an XGBoost model on current grid readings to predict stability and identify contributing features. The anomaly agent runs an Isolation Forest model on recent meter readings to flag statistically unusual consumption patterns.</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Answer Generation: </w:t>
      </w:r>
      <w:r>
        <w:rPr>
          <w:rFonts w:ascii="Calibri" w:cs="Calibri" w:eastAsia="Calibri" w:hAnsi="Calibri"/>
          <w:color w:val="1A2A4A"/>
          <w:sz w:val="24"/>
          <w:szCs w:val="24"/>
        </w:rPr>
        <w:t xml:space="preserve">All retrieved data and model outputs are passed to a large language model (Groq's llama-3.1-8b-instant). The LLM writes a clear, plain-English answer grounded in the actual retrieved data — it does not guess.</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Quality Check: </w:t>
      </w:r>
      <w:r>
        <w:rPr>
          <w:rFonts w:ascii="Calibri" w:cs="Calibri" w:eastAsia="Calibri" w:hAnsi="Calibri"/>
          <w:color w:val="1A2A4A"/>
          <w:sz w:val="24"/>
          <w:szCs w:val="24"/>
        </w:rPr>
        <w:t xml:space="preserve">DeepEval automatically inspects the answer. It verifies the answer is faithful to the retrieved data, and a second AI model scores it from 1 to 5. Only answers scoring 3 or higher are returned to the operator.</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Output Screening: </w:t>
      </w:r>
      <w:r>
        <w:rPr>
          <w:rFonts w:ascii="Calibri" w:cs="Calibri" w:eastAsia="Calibri" w:hAnsi="Calibri"/>
          <w:color w:val="1A2A4A"/>
          <w:sz w:val="24"/>
          <w:szCs w:val="24"/>
        </w:rPr>
        <w:t xml:space="preserve">The answer is checked one final time for any harmful content or private data before being displayed.</w:t>
      </w:r>
    </w:p>
    <w:p>
      <w:pPr>
        <w:pStyle w:val="ListParagraph"/>
        <w:numPr>
          <w:ilvl w:val="0"/>
          <w:numId w:val="3"/>
        </w:numPr>
        <w:spacing w:after="80" w:before="80" w:line="300" w:lineRule="auto"/>
      </w:pPr>
      <w:r>
        <w:rPr>
          <w:rFonts w:ascii="Calibri" w:cs="Calibri" w:eastAsia="Calibri" w:hAnsi="Calibri"/>
          <w:b/>
          <w:bCs/>
          <w:color w:val="065A82"/>
          <w:sz w:val="24"/>
          <w:szCs w:val="24"/>
        </w:rPr>
        <w:t xml:space="preserve">Caching: </w:t>
      </w:r>
      <w:r>
        <w:rPr>
          <w:rFonts w:ascii="Calibri" w:cs="Calibri" w:eastAsia="Calibri" w:hAnsi="Calibri"/>
          <w:color w:val="1A2A4A"/>
          <w:sz w:val="24"/>
          <w:szCs w:val="24"/>
        </w:rPr>
        <w:t xml:space="preserve">The validated answer is stored so future identical questions can be answered instantly from cache.</w:t>
      </w:r>
    </w:p>
    <w:p>
      <w:r>
        <w:br w:type="page"/>
      </w:r>
    </w:p>
    <w:p>
      <w:pPr>
        <w:pStyle w:val="Heading1"/>
        <w:spacing w:after="120" w:before="360"/>
      </w:pPr>
      <w:r>
        <w:rPr>
          <w:rFonts w:ascii="Calibri" w:cs="Calibri" w:eastAsia="Calibri" w:hAnsi="Calibri"/>
          <w:b/>
          <w:bCs/>
          <w:color w:val="065A82"/>
          <w:sz w:val="32"/>
          <w:szCs w:val="32"/>
        </w:rPr>
        <w:t xml:space="preserve">6. Techniques Used and Why These Specific Ones</w:t>
      </w:r>
    </w:p>
    <w:p>
      <w:pPr>
        <w:pBdr>
          <w:bottom w:val="single" w:color="1C7293" w:sz="6" w:space="4"/>
        </w:pBdr>
        <w:spacing w:after="120" w:before="120"/>
      </w:pPr>
    </w:p>
    <w:p>
      <w:pPr>
        <w:pStyle w:val="Heading2"/>
        <w:spacing w:after="80" w:before="240"/>
      </w:pPr>
      <w:r>
        <w:rPr>
          <w:rFonts w:ascii="Calibri" w:cs="Calibri" w:eastAsia="Calibri" w:hAnsi="Calibri"/>
          <w:b/>
          <w:bCs/>
          <w:color w:val="1C7293"/>
          <w:sz w:val="26"/>
          <w:szCs w:val="26"/>
        </w:rPr>
        <w:t xml:space="preserve">XGBoost — Stability Classification</w:t>
      </w:r>
    </w:p>
    <w:p>
      <w:pPr>
        <w:spacing w:after="140" w:before="80" w:line="320" w:lineRule="auto"/>
      </w:pPr>
      <w:r>
        <w:rPr>
          <w:rFonts w:ascii="Calibri" w:cs="Calibri" w:eastAsia="Calibri" w:hAnsi="Calibri"/>
          <w:color w:val="1A2A4A"/>
          <w:sz w:val="24"/>
          <w:szCs w:val="24"/>
        </w:rPr>
        <w:t xml:space="preserve">XGBoost was chosen rather than:</w:t>
      </w:r>
    </w:p>
    <w:p>
      <w:pPr>
        <w:pStyle w:val="ListParagraph"/>
        <w:numPr>
          <w:ilvl w:val="0"/>
          <w:numId w:val="2"/>
        </w:numPr>
        <w:spacing w:after="60" w:before="60"/>
      </w:pPr>
      <w:r>
        <w:rPr>
          <w:rFonts w:ascii="Calibri" w:cs="Calibri" w:eastAsia="Calibri" w:hAnsi="Calibri"/>
          <w:color w:val="1A2A4A"/>
          <w:sz w:val="24"/>
          <w:szCs w:val="24"/>
        </w:rPr>
        <w:t xml:space="preserve">Logistic Regression — too simple to capture the non-linear relationships between tau, p, and g values</w:t>
      </w:r>
    </w:p>
    <w:p>
      <w:pPr>
        <w:pStyle w:val="ListParagraph"/>
        <w:numPr>
          <w:ilvl w:val="0"/>
          <w:numId w:val="2"/>
        </w:numPr>
        <w:spacing w:after="60" w:before="60"/>
      </w:pPr>
      <w:r>
        <w:rPr>
          <w:rFonts w:ascii="Calibri" w:cs="Calibri" w:eastAsia="Calibri" w:hAnsi="Calibri"/>
          <w:color w:val="1A2A4A"/>
          <w:sz w:val="24"/>
          <w:szCs w:val="24"/>
        </w:rPr>
        <w:t xml:space="preserve">Neural Networks — requires much larger training data and produces a black-box output operators cannot interpret</w:t>
      </w:r>
    </w:p>
    <w:p>
      <w:pPr>
        <w:pStyle w:val="ListParagraph"/>
        <w:numPr>
          <w:ilvl w:val="0"/>
          <w:numId w:val="2"/>
        </w:numPr>
        <w:spacing w:after="60" w:before="60"/>
      </w:pPr>
      <w:r>
        <w:rPr>
          <w:rFonts w:ascii="Calibri" w:cs="Calibri" w:eastAsia="Calibri" w:hAnsi="Calibri"/>
          <w:color w:val="1A2A4A"/>
          <w:sz w:val="24"/>
          <w:szCs w:val="24"/>
        </w:rPr>
        <w:t xml:space="preserve">Random Forests — slower, no probability scores, less effective with imbalanced class distributions</w:t>
      </w:r>
    </w:p>
    <w:p>
      <w:pPr>
        <w:spacing w:after="140" w:before="80" w:line="320" w:lineRule="auto"/>
      </w:pPr>
      <w:r>
        <w:rPr>
          <w:rFonts w:ascii="Calibri" w:cs="Calibri" w:eastAsia="Calibri" w:hAnsi="Calibri"/>
          <w:color w:val="1A2A4A"/>
          <w:sz w:val="24"/>
          <w:szCs w:val="24"/>
        </w:rPr>
        <w:t xml:space="preserve">XGBoost handles the 63.8% unstable / 36.2% stable class imbalance natively, runs fast, and produces SHAP (SHapley Additive exPlanations) values that tell operators exactly which feature caused a prediction. Explainability is essential in high-stakes grid operations.</w:t>
      </w:r>
    </w:p>
    <w:p>
      <w:pPr>
        <w:spacing w:after="40" w:before="40"/>
      </w:pPr>
    </w:p>
    <w:p>
      <w:pPr>
        <w:pStyle w:val="Heading2"/>
        <w:spacing w:after="80" w:before="240"/>
      </w:pPr>
      <w:r>
        <w:rPr>
          <w:rFonts w:ascii="Calibri" w:cs="Calibri" w:eastAsia="Calibri" w:hAnsi="Calibri"/>
          <w:b/>
          <w:bCs/>
          <w:color w:val="1C7293"/>
          <w:sz w:val="26"/>
          <w:szCs w:val="26"/>
        </w:rPr>
        <w:t xml:space="preserve">Isolation Forest — Anomaly Detection</w:t>
      </w:r>
    </w:p>
    <w:p>
      <w:pPr>
        <w:spacing w:after="140" w:before="80" w:line="320" w:lineRule="auto"/>
      </w:pPr>
      <w:r>
        <w:rPr>
          <w:rFonts w:ascii="Calibri" w:cs="Calibri" w:eastAsia="Calibri" w:hAnsi="Calibri"/>
          <w:color w:val="1A2A4A"/>
          <w:sz w:val="24"/>
          <w:szCs w:val="24"/>
        </w:rPr>
        <w:t xml:space="preserve">Isolation Forest was chosen for the household dataset because the data has no pre-labelled anomalies — the problem is entirely unsupervised. Isolation Forest finds outliers by randomly partitioning data and measuring how quickly each row gets isolated: anomalies are isolated faster. It scales to millions of rows, runs efficiently on CPU, and gives each row a numeric anomaly score rather than just a cluster label.</w:t>
      </w:r>
    </w:p>
    <w:p>
      <w:pPr>
        <w:spacing w:after="40" w:before="40"/>
      </w:pPr>
    </w:p>
    <w:p>
      <w:pPr>
        <w:pStyle w:val="Heading2"/>
        <w:spacing w:after="80" w:before="240"/>
      </w:pPr>
      <w:r>
        <w:rPr>
          <w:rFonts w:ascii="Calibri" w:cs="Calibri" w:eastAsia="Calibri" w:hAnsi="Calibri"/>
          <w:b/>
          <w:bCs/>
          <w:color w:val="1C7293"/>
          <w:sz w:val="26"/>
          <w:szCs w:val="26"/>
        </w:rPr>
        <w:t xml:space="preserve">Hybrid RAG — BM25 + ChromaDB</w:t>
      </w:r>
    </w:p>
    <w:p>
      <w:pPr>
        <w:spacing w:after="140" w:before="80" w:line="320" w:lineRule="auto"/>
      </w:pPr>
      <w:r>
        <w:rPr>
          <w:rFonts w:ascii="Calibri" w:cs="Calibri" w:eastAsia="Calibri" w:hAnsi="Calibri"/>
          <w:color w:val="1A2A4A"/>
          <w:sz w:val="24"/>
          <w:szCs w:val="24"/>
        </w:rPr>
        <w:t xml:space="preserve">Neither search method alone is sufficient. BM25 excels at exact keyword matches (zone names, incident IDs, equipment names) but fails when the user phrases a question differently. ChromaDB's semantic search finds conceptually related incidents even when exact words differ, but can miss precise ID-based lookups. Using both together gives consistently better results than either method alone.</w:t>
      </w:r>
    </w:p>
    <w:p>
      <w:pPr>
        <w:spacing w:after="40" w:before="40"/>
      </w:pPr>
    </w:p>
    <w:p>
      <w:pPr>
        <w:pStyle w:val="Heading2"/>
        <w:spacing w:after="80" w:before="240"/>
      </w:pPr>
      <w:r>
        <w:rPr>
          <w:rFonts w:ascii="Calibri" w:cs="Calibri" w:eastAsia="Calibri" w:hAnsi="Calibri"/>
          <w:b/>
          <w:bCs/>
          <w:color w:val="1C7293"/>
          <w:sz w:val="26"/>
          <w:szCs w:val="26"/>
        </w:rPr>
        <w:t xml:space="preserve">LangGraph — Multi-Agent Orchestration</w:t>
      </w:r>
    </w:p>
    <w:p>
      <w:pPr>
        <w:spacing w:after="140" w:before="80" w:line="320" w:lineRule="auto"/>
      </w:pPr>
      <w:r>
        <w:rPr>
          <w:rFonts w:ascii="Calibri" w:cs="Calibri" w:eastAsia="Calibri" w:hAnsi="Calibri"/>
          <w:color w:val="1A2A4A"/>
          <w:sz w:val="24"/>
          <w:szCs w:val="24"/>
        </w:rPr>
        <w:t xml:space="preserve">LangGraph provides explicit, inspectable state management and conditional routing. Engineers can see exactly which agents were called, in what order, and why. LangChain's ReAct-style agents were considered but rejected because their reasoning steps are harder to inspect and routing is less predictable.</w:t>
      </w:r>
    </w:p>
    <w:p>
      <w:pPr>
        <w:spacing w:after="40" w:before="40"/>
      </w:pPr>
    </w:p>
    <w:p>
      <w:pPr>
        <w:pStyle w:val="Heading2"/>
        <w:spacing w:after="80" w:before="240"/>
      </w:pPr>
      <w:r>
        <w:rPr>
          <w:rFonts w:ascii="Calibri" w:cs="Calibri" w:eastAsia="Calibri" w:hAnsi="Calibri"/>
          <w:b/>
          <w:bCs/>
          <w:color w:val="1C7293"/>
          <w:sz w:val="26"/>
          <w:szCs w:val="26"/>
        </w:rPr>
        <w:t xml:space="preserve">Groq (llama-3.1-8b-instant) — Language Model</w:t>
      </w:r>
    </w:p>
    <w:p>
      <w:pPr>
        <w:spacing w:after="140" w:before="80" w:line="320" w:lineRule="auto"/>
      </w:pPr>
      <w:r>
        <w:rPr>
          <w:rFonts w:ascii="Calibri" w:cs="Calibri" w:eastAsia="Calibri" w:hAnsi="Calibri"/>
          <w:color w:val="1A2A4A"/>
          <w:sz w:val="24"/>
          <w:szCs w:val="24"/>
        </w:rPr>
        <w:t xml:space="preserve">The corporate network proxy blocks OpenAI's API. Groq is fast (approximately 2 seconds per response), has a free tier, and llama-3.1-8b-instant is confirmed to work on the available network. The Prodapt gateway is used as the primary route with Groq as a reliable fallback.</w:t>
      </w:r>
    </w:p>
    <w:p>
      <w:pPr>
        <w:spacing w:after="40" w:before="40"/>
      </w:pPr>
    </w:p>
    <w:p>
      <w:pPr>
        <w:pStyle w:val="Heading2"/>
        <w:spacing w:after="80" w:before="240"/>
      </w:pPr>
      <w:r>
        <w:rPr>
          <w:rFonts w:ascii="Calibri" w:cs="Calibri" w:eastAsia="Calibri" w:hAnsi="Calibri"/>
          <w:b/>
          <w:bCs/>
          <w:color w:val="1C7293"/>
          <w:sz w:val="26"/>
          <w:szCs w:val="26"/>
        </w:rPr>
        <w:t xml:space="preserve">all-MiniLM-L6-v2 — Embeddings</w:t>
      </w:r>
    </w:p>
    <w:p>
      <w:pPr>
        <w:spacing w:after="140" w:before="80" w:line="320" w:lineRule="auto"/>
      </w:pPr>
      <w:r>
        <w:rPr>
          <w:rFonts w:ascii="Calibri" w:cs="Calibri" w:eastAsia="Calibri" w:hAnsi="Calibri"/>
          <w:color w:val="1A2A4A"/>
          <w:sz w:val="24"/>
          <w:szCs w:val="24"/>
        </w:rPr>
        <w:t xml:space="preserve">This model is lightweight (384 dimensions), runs entirely on CPU without a GPU, and produces good-quality semantic embeddings for technical text. OpenAI embeddings were the original plan but were blocked by the corporate proxy, making a local alternative necessary.</w:t>
      </w:r>
    </w:p>
    <w:p>
      <w:r>
        <w:br w:type="page"/>
      </w:r>
    </w:p>
    <w:p>
      <w:pPr>
        <w:pStyle w:val="Heading1"/>
        <w:spacing w:after="120" w:before="360"/>
      </w:pPr>
      <w:r>
        <w:rPr>
          <w:rFonts w:ascii="Calibri" w:cs="Calibri" w:eastAsia="Calibri" w:hAnsi="Calibri"/>
          <w:b/>
          <w:bCs/>
          <w:color w:val="065A82"/>
          <w:sz w:val="32"/>
          <w:szCs w:val="32"/>
        </w:rPr>
        <w:t xml:space="preserve">7. Guardrails and Safety — Why Safety Matters in Grid Operations</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Power grids are critical national infrastructure. A mistake in grid operations — whether from bad data, a hallucinated AI answer, or a compromised query — can cause blackouts affecting thousands of people. SGEIA takes this seriously at every layer of the system.</w:t>
      </w:r>
    </w:p>
    <w:p>
      <w:pPr>
        <w:spacing w:after="40" w:before="40"/>
      </w:pPr>
    </w:p>
    <w:p>
      <w:pPr>
        <w:pStyle w:val="Heading2"/>
        <w:spacing w:after="80" w:before="240"/>
      </w:pPr>
      <w:r>
        <w:rPr>
          <w:rFonts w:ascii="Calibri" w:cs="Calibri" w:eastAsia="Calibri" w:hAnsi="Calibri"/>
          <w:b/>
          <w:bCs/>
          <w:color w:val="1C7293"/>
          <w:sz w:val="26"/>
          <w:szCs w:val="26"/>
        </w:rPr>
        <w:t xml:space="preserve">Input Guardrails</w:t>
      </w:r>
    </w:p>
    <w:p>
      <w:pPr>
        <w:spacing w:after="140" w:before="80" w:line="320" w:lineRule="auto"/>
      </w:pPr>
      <w:r>
        <w:rPr>
          <w:rFonts w:ascii="Calibri" w:cs="Calibri" w:eastAsia="Calibri" w:hAnsi="Calibri"/>
          <w:color w:val="1A2A4A"/>
          <w:sz w:val="24"/>
          <w:szCs w:val="24"/>
        </w:rPr>
        <w:t xml:space="preserve">The four-layer input pipeline ensures that no malformed, abusive, or off-topic query ever reaches the language model, and no personal identifier is ever cached or logged in plain text. The layers are: format validation, harmful content detection, domain relevance check, and PII masking using Microsoft Presidio combined with custom regex patterns.</w:t>
      </w:r>
    </w:p>
    <w:p>
      <w:pPr>
        <w:spacing w:after="40" w:before="40"/>
      </w:pPr>
    </w:p>
    <w:p>
      <w:pPr>
        <w:pStyle w:val="Heading2"/>
        <w:spacing w:after="80" w:before="240"/>
      </w:pPr>
      <w:r>
        <w:rPr>
          <w:rFonts w:ascii="Calibri" w:cs="Calibri" w:eastAsia="Calibri" w:hAnsi="Calibri"/>
          <w:b/>
          <w:bCs/>
          <w:color w:val="1C7293"/>
          <w:sz w:val="26"/>
          <w:szCs w:val="26"/>
        </w:rPr>
        <w:t xml:space="preserve">Output Guardrails</w:t>
      </w:r>
    </w:p>
    <w:p>
      <w:pPr>
        <w:spacing w:after="140" w:before="80" w:line="320" w:lineRule="auto"/>
      </w:pPr>
      <w:r>
        <w:rPr>
          <w:rFonts w:ascii="Calibri" w:cs="Calibri" w:eastAsia="Calibri" w:hAnsi="Calibri"/>
          <w:color w:val="1A2A4A"/>
          <w:sz w:val="24"/>
          <w:szCs w:val="24"/>
        </w:rPr>
        <w:t xml:space="preserve">Even if the LLM somehow produced a harmful recommendation or leaked a masked identifier, the output screening layer catches it before the answer is displayed to the operator. No response bypasses this check.</w:t>
      </w:r>
    </w:p>
    <w:p>
      <w:pPr>
        <w:spacing w:after="40" w:before="40"/>
      </w:pPr>
    </w:p>
    <w:p>
      <w:pPr>
        <w:pStyle w:val="Heading2"/>
        <w:spacing w:after="80" w:before="240"/>
      </w:pPr>
      <w:r>
        <w:rPr>
          <w:rFonts w:ascii="Calibri" w:cs="Calibri" w:eastAsia="Calibri" w:hAnsi="Calibri"/>
          <w:b/>
          <w:bCs/>
          <w:color w:val="1C7293"/>
          <w:sz w:val="26"/>
          <w:szCs w:val="26"/>
        </w:rPr>
        <w:t xml:space="preserve">DeepEval Quality Control</w:t>
      </w:r>
    </w:p>
    <w:p>
      <w:pPr>
        <w:spacing w:after="140" w:before="80" w:line="320" w:lineRule="auto"/>
      </w:pPr>
      <w:r>
        <w:rPr>
          <w:rFonts w:ascii="Calibri" w:cs="Calibri" w:eastAsia="Calibri" w:hAnsi="Calibri"/>
          <w:color w:val="1A2A4A"/>
          <w:sz w:val="24"/>
          <w:szCs w:val="24"/>
        </w:rPr>
        <w:t xml:space="preserve">The faithfulness check verifies that the LLM answer is actually grounded in the retrieved incident data, not invented. The LLM-as-Judge scoring ensures that only high-quality answers are shown. Operators in high-stakes environments cannot afford to act on a guess dressed up as a confident AI answer.</w:t>
      </w:r>
    </w:p>
    <w:p>
      <w:pPr>
        <w:spacing w:after="40" w:before="40"/>
      </w:pPr>
    </w:p>
    <w:p>
      <w:pPr>
        <w:pStyle w:val="Heading2"/>
        <w:spacing w:after="80" w:before="240"/>
      </w:pPr>
      <w:r>
        <w:rPr>
          <w:rFonts w:ascii="Calibri" w:cs="Calibri" w:eastAsia="Calibri" w:hAnsi="Calibri"/>
          <w:b/>
          <w:bCs/>
          <w:color w:val="1C7293"/>
          <w:sz w:val="26"/>
          <w:szCs w:val="26"/>
        </w:rPr>
        <w:t xml:space="preserve">Caching as a Safety Mechanism</w:t>
      </w:r>
    </w:p>
    <w:p>
      <w:pPr>
        <w:spacing w:after="140" w:before="80" w:line="320" w:lineRule="auto"/>
      </w:pPr>
      <w:r>
        <w:rPr>
          <w:rFonts w:ascii="Calibri" w:cs="Calibri" w:eastAsia="Calibri" w:hAnsi="Calibri"/>
          <w:color w:val="1A2A4A"/>
          <w:sz w:val="24"/>
          <w:szCs w:val="24"/>
        </w:rPr>
        <w:t xml:space="preserve">The caching layer prevents the system from making unnecessary LLM calls, which reduces both cost and the surface area for errors. A cached answer has already been validated and is safe to return.</w:t>
      </w:r>
    </w:p>
    <w:p>
      <w:r>
        <w:br w:type="page"/>
      </w:r>
    </w:p>
    <w:p>
      <w:pPr>
        <w:pStyle w:val="Heading1"/>
        <w:spacing w:after="120" w:before="360"/>
      </w:pPr>
      <w:r>
        <w:rPr>
          <w:rFonts w:ascii="Calibri" w:cs="Calibri" w:eastAsia="Calibri" w:hAnsi="Calibri"/>
          <w:b/>
          <w:bCs/>
          <w:color w:val="065A82"/>
          <w:sz w:val="32"/>
          <w:szCs w:val="32"/>
        </w:rPr>
        <w:t xml:space="preserve">8. Impact and What's Next</w:t>
      </w:r>
    </w:p>
    <w:p>
      <w:pPr>
        <w:pBdr>
          <w:bottom w:val="single" w:color="1C7293" w:sz="6" w:space="4"/>
        </w:pBdr>
        <w:spacing w:after="120" w:before="120"/>
      </w:pPr>
    </w:p>
    <w:p>
      <w:pPr>
        <w:spacing w:after="140" w:before="80" w:line="320" w:lineRule="auto"/>
      </w:pPr>
      <w:r>
        <w:rPr>
          <w:rFonts w:ascii="Calibri" w:cs="Calibri" w:eastAsia="Calibri" w:hAnsi="Calibri"/>
          <w:color w:val="1A2A4A"/>
          <w:sz w:val="24"/>
          <w:szCs w:val="24"/>
        </w:rPr>
        <w:t xml:space="preserve">SGEIA demonstrates that AI-powered grid intelligence is not just a research concept — it is buildable today with open-source tools, real operational datasets, and a carefully designed multi-layer safety pipeline.</w:t>
      </w:r>
    </w:p>
    <w:p>
      <w:pPr>
        <w:spacing w:after="40" w:before="40"/>
      </w:pPr>
    </w:p>
    <w:p>
      <w:pPr>
        <w:pStyle w:val="Heading2"/>
        <w:spacing w:after="80" w:before="240"/>
      </w:pPr>
      <w:r>
        <w:rPr>
          <w:rFonts w:ascii="Calibri" w:cs="Calibri" w:eastAsia="Calibri" w:hAnsi="Calibri"/>
          <w:b/>
          <w:bCs/>
          <w:color w:val="1C7293"/>
          <w:sz w:val="26"/>
          <w:szCs w:val="26"/>
        </w:rPr>
        <w:t xml:space="preserve">Immediate Impact</w:t>
      </w:r>
    </w:p>
    <w:p>
      <w:pPr>
        <w:spacing w:after="140" w:before="80" w:line="320" w:lineRule="auto"/>
      </w:pPr>
      <w:r>
        <w:rPr>
          <w:rFonts w:ascii="Calibri" w:cs="Calibri" w:eastAsia="Calibri" w:hAnsi="Calibri"/>
          <w:color w:val="1A2A4A"/>
          <w:sz w:val="24"/>
          <w:szCs w:val="24"/>
        </w:rPr>
        <w:t xml:space="preserve">What previously required two to four hours of manual investigation across multiple tools can now be initiated with a single plain-English question and completed in under 3 seconds. This makes expert-level grid analysis available to operators of all experience levels, not just senior engineers with years of domain training.</w:t>
      </w:r>
    </w:p>
    <w:p>
      <w:pPr>
        <w:spacing w:after="40" w:before="40"/>
      </w:pPr>
    </w:p>
    <w:p>
      <w:pPr>
        <w:pStyle w:val="Heading2"/>
        <w:spacing w:after="80" w:before="240"/>
      </w:pPr>
      <w:r>
        <w:rPr>
          <w:rFonts w:ascii="Calibri" w:cs="Calibri" w:eastAsia="Calibri" w:hAnsi="Calibri"/>
          <w:b/>
          <w:bCs/>
          <w:color w:val="1C7293"/>
          <w:sz w:val="26"/>
          <w:szCs w:val="26"/>
        </w:rPr>
        <w:t xml:space="preserve">Future Roadmap</w:t>
      </w:r>
    </w:p>
    <w:p>
      <w:pPr>
        <w:spacing w:after="100" w:before="80" w:line="320" w:lineRule="auto"/>
      </w:pPr>
      <w:r>
        <w:rPr>
          <w:rFonts w:ascii="Calibri" w:cs="Calibri" w:eastAsia="Calibri" w:hAnsi="Calibri"/>
          <w:b/>
          <w:bCs/>
          <w:color w:val="065A82"/>
          <w:sz w:val="24"/>
          <w:szCs w:val="24"/>
        </w:rPr>
        <w:t xml:space="preserve">Phase 2 — Live SCADA Integration: </w:t>
      </w:r>
      <w:r>
        <w:rPr>
          <w:rFonts w:ascii="Calibri" w:cs="Calibri" w:eastAsia="Calibri" w:hAnsi="Calibri"/>
          <w:color w:val="1A2A4A"/>
          <w:sz w:val="24"/>
          <w:szCs w:val="24"/>
        </w:rPr>
        <w:t xml:space="preserve">Connect SGEIA to real-time SCADA (Supervisory Control and Data Acquisition) systems, replacing historical data with live sensor feeds. This enables sub-second anomaly detection on streaming data and automatic incident creation when thresholds are breached.</w:t>
      </w:r>
    </w:p>
    <w:p>
      <w:pPr>
        <w:spacing w:after="40" w:before="40"/>
      </w:pPr>
    </w:p>
    <w:p>
      <w:pPr>
        <w:spacing w:after="100" w:before="80" w:line="320" w:lineRule="auto"/>
      </w:pPr>
      <w:r>
        <w:rPr>
          <w:rFonts w:ascii="Calibri" w:cs="Calibri" w:eastAsia="Calibri" w:hAnsi="Calibri"/>
          <w:b/>
          <w:bCs/>
          <w:color w:val="065A82"/>
          <w:sz w:val="24"/>
          <w:szCs w:val="24"/>
        </w:rPr>
        <w:t xml:space="preserve">Phase 3 — Predictive Alerting: </w:t>
      </w:r>
      <w:r>
        <w:rPr>
          <w:rFonts w:ascii="Calibri" w:cs="Calibri" w:eastAsia="Calibri" w:hAnsi="Calibri"/>
          <w:color w:val="1A2A4A"/>
          <w:sz w:val="24"/>
          <w:szCs w:val="24"/>
        </w:rPr>
        <w:t xml:space="preserve">XGBoost forecasting instability 15 to 30 minutes before it occurs, so operators can act proactively rather than reactively. Priority ranking identifies which zones need attention first.</w:t>
      </w:r>
    </w:p>
    <w:p>
      <w:pPr>
        <w:spacing w:after="40" w:before="40"/>
      </w:pPr>
    </w:p>
    <w:p>
      <w:pPr>
        <w:spacing w:after="100" w:before="80" w:line="320" w:lineRule="auto"/>
      </w:pPr>
      <w:r>
        <w:rPr>
          <w:rFonts w:ascii="Calibri" w:cs="Calibri" w:eastAsia="Calibri" w:hAnsi="Calibri"/>
          <w:b/>
          <w:bCs/>
          <w:color w:val="065A82"/>
          <w:sz w:val="24"/>
          <w:szCs w:val="24"/>
        </w:rPr>
        <w:t xml:space="preserve">Phase 4 — Mobile and Field Application: </w:t>
      </w:r>
      <w:r>
        <w:rPr>
          <w:rFonts w:ascii="Calibri" w:cs="Calibri" w:eastAsia="Calibri" w:hAnsi="Calibri"/>
          <w:color w:val="1A2A4A"/>
          <w:sz w:val="24"/>
          <w:szCs w:val="24"/>
        </w:rPr>
        <w:t xml:space="preserve">Extending SGEIA to a mobile app so field engineers at substations can ask questions hands-free using voice input, even in low-connectivity environments.</w:t>
      </w:r>
    </w:p>
    <w:p>
      <w:pPr>
        <w:spacing w:after="40" w:before="40"/>
      </w:pPr>
    </w:p>
    <w:p>
      <w:pPr>
        <w:pBdr>
          <w:bottom w:val="single" w:color="1C7293" w:sz="6" w:space="4"/>
        </w:pBdr>
        <w:spacing w:after="120" w:before="120"/>
      </w:pPr>
    </w:p>
    <w:p>
      <w:pPr>
        <w:spacing w:after="240" w:before="240"/>
        <w:jc w:val="center"/>
      </w:pPr>
      <w:r>
        <w:rPr>
          <w:rFonts w:ascii="Calibri" w:cs="Calibri" w:eastAsia="Calibri" w:hAnsi="Calibri"/>
          <w:i/>
          <w:iCs/>
          <w:color w:val="4A6080"/>
          <w:sz w:val="22"/>
          <w:szCs w:val="22"/>
        </w:rPr>
        <w:t xml:space="preserve">SGEIA was built as a capstone project by </w:t>
      </w:r>
      <w:r>
        <w:rPr>
          <w:rFonts w:ascii="Calibri" w:cs="Calibri" w:eastAsia="Calibri" w:hAnsi="Calibri"/>
          <w:b/>
          <w:bCs/>
          <w:i/>
          <w:iCs/>
          <w:color w:val="065A82"/>
          <w:sz w:val="22"/>
          <w:szCs w:val="22"/>
        </w:rPr>
        <w:t xml:space="preserve">Tejeswari S K</w:t>
      </w:r>
      <w:r>
        <w:rPr>
          <w:rFonts w:ascii="Calibri" w:cs="Calibri" w:eastAsia="Calibri" w:hAnsi="Calibri"/>
          <w:i/>
          <w:iCs/>
          <w:color w:val="4A6080"/>
          <w:sz w:val="22"/>
          <w:szCs w:val="22"/>
        </w:rPr>
        <w:t xml:space="preserve"> as part of the Prodapt Advanced Full-Stack Data Engineering programme, May 2026.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A6080"/>
        <w:sz w:val="18"/>
        <w:szCs w:val="18"/>
      </w:rPr>
      <w:t xml:space="preserve">Prodapt Advanced Full-Stack Data Engineering  |  Capstone 2026  |  </w:t>
    </w:r>
    <w:r>
      <w:rPr>
        <w:rFonts w:ascii="Calibri" w:cs="Calibri" w:eastAsia="Calibri" w:hAnsi="Calibri"/>
        <w:color w:val="4A6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A4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65A82"/>
      <w:sz w:val="32"/>
      <w:szCs w:val="32"/>
    </w:rPr>
  </w:style>
  <w:style w:type="paragraph" w:styleId="Heading2">
    <w:name w:val="Heading 2"/>
    <w:basedOn w:val="Normal"/>
    <w:next w:val="Normal"/>
    <w:qFormat/>
    <w:pPr>
      <w:spacing w:after="80" w:before="240"/>
      <w:outlineLvl w:val="1"/>
    </w:pPr>
    <w:rPr>
      <w:rFonts w:ascii="Calibri" w:cs="Calibri" w:eastAsia="Calibri" w:hAnsi="Calibri"/>
      <w:b/>
      <w:bCs/>
      <w:color w:val="1C729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2026-06-01T06:26:32.374Z</dcterms:created>
  <dcterms:modified xsi:type="dcterms:W3CDTF">2026-06-01T06:26:32.374Z</dcterms:modified>
</cp:coreProperties>
</file>

<file path=docProps/custom.xml><?xml version="1.0" encoding="utf-8"?>
<Properties xmlns="http://schemas.openxmlformats.org/officeDocument/2006/custom-properties" xmlns:vt="http://schemas.openxmlformats.org/officeDocument/2006/docPropsVTypes"/>
</file>