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F5F5B"/>
          <w:sz w:val="32"/>
          <w:szCs w:val="32"/>
        </w:rPr>
        <w:t xml:space="preserve">UPI Digital Payments — Business Insights Summary</w:t>
      </w:r>
    </w:p>
    <w:p>
      <w:pPr>
        <w:spacing w:after="200"/>
        <w:jc w:val="center"/>
      </w:pPr>
      <w:r>
        <w:rPr>
          <w:i/>
          <w:iCs/>
          <w:color w:val="5A5550"/>
          <w:sz w:val="18"/>
          <w:szCs w:val="18"/>
        </w:rPr>
        <w:t xml:space="preserve">Fraud &amp; Transaction Analytics Platform  |  Synthetic Dataset, Jan–Dec 2025</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500"/>
            <w:shd w:fill="EAF3F2" w:val="clear"/>
            <w:tcMar>
              <w:top w:type="dxa" w:w="100"/>
              <w:left w:type="dxa" w:w="100"/>
              <w:bottom w:type="dxa" w:w="100"/>
              <w:right w:type="dxa" w:w="100"/>
            </w:tcMar>
          </w:tcPr>
          <w:p>
            <w:pPr>
              <w:spacing w:after="40"/>
              <w:jc w:val="center"/>
            </w:pPr>
            <w:r>
              <w:rPr>
                <w:b/>
                <w:bCs/>
                <w:color w:val="2F5F5B"/>
                <w:sz w:val="26"/>
                <w:szCs w:val="26"/>
              </w:rPr>
              <w:t xml:space="preserve">202,490</w:t>
            </w:r>
          </w:p>
          <w:p>
            <w:pPr>
              <w:jc w:val="center"/>
            </w:pPr>
            <w:r>
              <w:rPr>
                <w:color w:val="5A5550"/>
                <w:sz w:val="16"/>
                <w:szCs w:val="16"/>
              </w:rPr>
              <w:t xml:space="preserve">Total Transactions</w:t>
            </w:r>
          </w:p>
        </w:tc>
        <w:tc>
          <w:tcPr>
            <w:tcW w:type="dxa" w:w="2500"/>
            <w:shd w:fill="EAF3F2" w:val="clear"/>
            <w:tcMar>
              <w:top w:type="dxa" w:w="100"/>
              <w:left w:type="dxa" w:w="100"/>
              <w:bottom w:type="dxa" w:w="100"/>
              <w:right w:type="dxa" w:w="100"/>
            </w:tcMar>
          </w:tcPr>
          <w:p>
            <w:pPr>
              <w:spacing w:after="40"/>
              <w:jc w:val="center"/>
            </w:pPr>
            <w:r>
              <w:rPr>
                <w:b/>
                <w:bCs/>
                <w:color w:val="2F5F5B"/>
                <w:sz w:val="26"/>
                <w:szCs w:val="26"/>
              </w:rPr>
              <w:t xml:space="preserve">₹146.62M</w:t>
            </w:r>
          </w:p>
          <w:p>
            <w:pPr>
              <w:jc w:val="center"/>
            </w:pPr>
            <w:r>
              <w:rPr>
                <w:color w:val="5A5550"/>
                <w:sz w:val="16"/>
                <w:szCs w:val="16"/>
              </w:rPr>
              <w:t xml:space="preserve">Total Revenue</w:t>
            </w:r>
          </w:p>
        </w:tc>
        <w:tc>
          <w:tcPr>
            <w:tcW w:type="dxa" w:w="2500"/>
            <w:shd w:fill="EAF3F2" w:val="clear"/>
            <w:tcMar>
              <w:top w:type="dxa" w:w="100"/>
              <w:left w:type="dxa" w:w="100"/>
              <w:bottom w:type="dxa" w:w="100"/>
              <w:right w:type="dxa" w:w="100"/>
            </w:tcMar>
          </w:tcPr>
          <w:p>
            <w:pPr>
              <w:spacing w:after="40"/>
              <w:jc w:val="center"/>
            </w:pPr>
            <w:r>
              <w:rPr>
                <w:b/>
                <w:bCs/>
                <w:color w:val="2F5F5B"/>
                <w:sz w:val="26"/>
                <w:szCs w:val="26"/>
              </w:rPr>
              <w:t xml:space="preserve">6.21%</w:t>
            </w:r>
          </w:p>
          <w:p>
            <w:pPr>
              <w:jc w:val="center"/>
            </w:pPr>
            <w:r>
              <w:rPr>
                <w:color w:val="5A5550"/>
                <w:sz w:val="16"/>
                <w:szCs w:val="16"/>
              </w:rPr>
              <w:t xml:space="preserve">Failure Rate</w:t>
            </w:r>
          </w:p>
        </w:tc>
        <w:tc>
          <w:tcPr>
            <w:tcW w:type="dxa" w:w="2500"/>
            <w:shd w:fill="EAF3F2" w:val="clear"/>
            <w:tcMar>
              <w:top w:type="dxa" w:w="100"/>
              <w:left w:type="dxa" w:w="100"/>
              <w:bottom w:type="dxa" w:w="100"/>
              <w:right w:type="dxa" w:w="100"/>
            </w:tcMar>
          </w:tcPr>
          <w:p>
            <w:pPr>
              <w:spacing w:after="40"/>
              <w:jc w:val="center"/>
            </w:pPr>
            <w:r>
              <w:rPr>
                <w:b/>
                <w:bCs/>
                <w:color w:val="2F5F5B"/>
                <w:sz w:val="26"/>
                <w:szCs w:val="26"/>
              </w:rPr>
              <w:t xml:space="preserve">6,153</w:t>
            </w:r>
          </w:p>
          <w:p>
            <w:pPr>
              <w:jc w:val="center"/>
            </w:pPr>
            <w:r>
              <w:rPr>
                <w:color w:val="5A5550"/>
                <w:sz w:val="16"/>
                <w:szCs w:val="16"/>
              </w:rPr>
              <w:t xml:space="preserve">Flagged as Fraud-Risk</w:t>
            </w:r>
          </w:p>
        </w:tc>
      </w:tr>
    </w:tbl>
    <w:p>
      <w:pPr>
        <w:pStyle w:val="Heading2"/>
        <w:pBdr>
          <w:bottom w:val="single" w:color="5C9C98" w:sz="6" w:space="4"/>
        </w:pBdr>
        <w:spacing w:after="100" w:before="200"/>
      </w:pPr>
      <w:r>
        <w:t xml:space="preserve">Key Findings</w:t>
      </w:r>
    </w:p>
    <w:p>
      <w:pPr>
        <w:pStyle w:val="ListParagraph"/>
        <w:numPr>
          <w:ilvl w:val="0"/>
          <w:numId w:val="1"/>
        </w:numPr>
        <w:spacing w:after="80"/>
      </w:pPr>
      <w:r>
        <w:rPr>
          <w:b/>
          <w:bCs/>
          <w:sz w:val="20"/>
          <w:szCs w:val="20"/>
        </w:rPr>
        <w:t xml:space="preserve">1. Two banks are driving most reliability problems.  </w:t>
      </w:r>
      <w:r>
        <w:rPr>
          <w:sz w:val="20"/>
          <w:szCs w:val="20"/>
        </w:rPr>
        <w:t xml:space="preserve"> Yes Bank and Canara Bank fail 9.93% and 8.69% of transactions respectively — 1.3–1.8x higher than the best-performing banks (~5.4%). Both banks also show a further reliability dip in August, pointing to a specific infra incident window rather than a chronic issue alone.</w:t>
      </w:r>
    </w:p>
    <w:p>
      <w:pPr>
        <w:pStyle w:val="ListParagraph"/>
        <w:numPr>
          <w:ilvl w:val="0"/>
          <w:numId w:val="1"/>
        </w:numPr>
        <w:spacing w:after="80"/>
      </w:pPr>
      <w:r>
        <w:rPr>
          <w:b/>
          <w:bCs/>
          <w:sz w:val="20"/>
          <w:szCs w:val="20"/>
        </w:rPr>
        <w:t xml:space="preserve">2. Revenue impact and failure rate don't point to the same banks.  </w:t>
      </w:r>
      <w:r>
        <w:rPr>
          <w:sz w:val="20"/>
          <w:szCs w:val="20"/>
        </w:rPr>
        <w:t xml:space="preserve"> State Bank of India tops the revenue-lost-to-failures list in absolute ₹ terms — not because it's less reliable, but because it processes 7x the transaction volume of Yes Bank. Failure rate and revenue-at-risk rank differently, so infra investment prioritization needs both lenses: rate-based for root-cause review, volume-weighted for absolute ₹ impact.</w:t>
      </w:r>
    </w:p>
    <w:p>
      <w:pPr>
        <w:pStyle w:val="ListParagraph"/>
        <w:numPr>
          <w:ilvl w:val="0"/>
          <w:numId w:val="1"/>
        </w:numPr>
        <w:spacing w:after="80"/>
      </w:pPr>
      <w:r>
        <w:rPr>
          <w:b/>
          <w:bCs/>
          <w:sz w:val="20"/>
          <w:szCs w:val="20"/>
        </w:rPr>
        <w:t xml:space="preserve">3. E-commerce drives the most revenue despite not having the most transactions.  </w:t>
      </w:r>
      <w:r>
        <w:rPr>
          <w:sz w:val="20"/>
          <w:szCs w:val="20"/>
        </w:rPr>
        <w:t xml:space="preserve"> E-commerce leads all merchant categories in revenue (₹3.05 Cr) despite Grocery having higher transaction volume — driven by a materially higher average ticket size (₹1,104 vs ₹692). Success rates are consistent (~92%) across all categories, confirming that reliability is a bank/infra issue, not a merchant-category issue.</w:t>
      </w:r>
    </w:p>
    <w:p>
      <w:pPr>
        <w:pStyle w:val="ListParagraph"/>
        <w:numPr>
          <w:ilvl w:val="0"/>
          <w:numId w:val="1"/>
        </w:numPr>
        <w:spacing w:after="80"/>
      </w:pPr>
      <w:r>
        <w:rPr>
          <w:b/>
          <w:bCs/>
          <w:sz w:val="20"/>
          <w:szCs w:val="20"/>
        </w:rPr>
        <w:t xml:space="preserve">4. A simple, explainable rule engine catches the large majority of injected fraud.  </w:t>
      </w:r>
      <w:r>
        <w:rPr>
          <w:sz w:val="20"/>
          <w:szCs w:val="20"/>
        </w:rPr>
        <w:t xml:space="preserve"> A rule-based fraud engine (velocity, amount-spike, odd-hour, probing) achieves 72% precision / 85.6% recall when any single rule fires, and 99.1% precision when 2+ rules fire together on the same transaction. This supports a practical two-tier workflow: route single-rule flags to manual review, auto-escalate multi-rule flags.</w:t>
      </w:r>
    </w:p>
    <w:p>
      <w:pPr>
        <w:pStyle w:val="ListParagraph"/>
        <w:numPr>
          <w:ilvl w:val="0"/>
          <w:numId w:val="1"/>
        </w:numPr>
        <w:spacing w:after="80"/>
      </w:pPr>
      <w:r>
        <w:rPr>
          <w:b/>
          <w:bCs/>
          <w:sz w:val="20"/>
          <w:szCs w:val="20"/>
        </w:rPr>
        <w:t xml:space="preserve">5. The customer base is split between highly engaged and lapsed users.  </w:t>
      </w:r>
      <w:r>
        <w:rPr>
          <w:sz w:val="20"/>
          <w:szCs w:val="20"/>
        </w:rPr>
        <w:t xml:space="preserve"> 27% of the customer base is Dormant (no recent activity) while 23% are Champions (highest recency/frequency/monetary). This bimodal split suggests a clear win-back campaign opportunity for the Dormant segment, separate from retention efforts for Champions.</w:t>
      </w:r>
    </w:p>
    <w:p>
      <w:pPr>
        <w:pStyle w:val="Heading2"/>
        <w:pBdr>
          <w:bottom w:val="single" w:color="5C9C98" w:sz="6" w:space="4"/>
        </w:pBdr>
        <w:spacing w:after="100" w:before="200"/>
      </w:pPr>
      <w:r>
        <w:t xml:space="preserve">Recommendations</w:t>
      </w:r>
    </w:p>
    <w:p>
      <w:pPr>
        <w:pStyle w:val="ListParagraph"/>
        <w:numPr>
          <w:ilvl w:val="0"/>
          <w:numId w:val="1"/>
        </w:numPr>
        <w:spacing w:after="80"/>
      </w:pPr>
      <w:r>
        <w:rPr>
          <w:sz w:val="20"/>
          <w:szCs w:val="20"/>
        </w:rPr>
        <w:t xml:space="preserve">Open an infra review with Yes Bank and Canara Bank, prioritizing the August incident window; treat SBI as a volume-weighted second priority given its absolute revenue exposure.</w:t>
      </w:r>
    </w:p>
    <w:p>
      <w:pPr>
        <w:pStyle w:val="ListParagraph"/>
        <w:numPr>
          <w:ilvl w:val="0"/>
          <w:numId w:val="1"/>
        </w:numPr>
        <w:spacing w:after="80"/>
      </w:pPr>
      <w:r>
        <w:rPr>
          <w:sz w:val="20"/>
          <w:szCs w:val="20"/>
        </w:rPr>
        <w:t xml:space="preserve">Deploy the two-tier fraud rule as a review queue (any flag) plus an auto-escalation path (2+ flags), and monitor precision/recall monthly as real transaction patterns evolve.</w:t>
      </w:r>
    </w:p>
    <w:p>
      <w:pPr>
        <w:pStyle w:val="ListParagraph"/>
        <w:numPr>
          <w:ilvl w:val="0"/>
          <w:numId w:val="1"/>
        </w:numPr>
        <w:spacing w:after="80"/>
      </w:pPr>
      <w:r>
        <w:rPr>
          <w:sz w:val="20"/>
          <w:szCs w:val="20"/>
        </w:rPr>
        <w:t xml:space="preserve">Launch a targeted win-back campaign for the Dormant customer segment (27% of base) using category preferences from their transaction history.</w:t>
      </w:r>
    </w:p>
    <w:p>
      <w:pPr>
        <w:pStyle w:val="ListParagraph"/>
        <w:numPr>
          <w:ilvl w:val="0"/>
          <w:numId w:val="1"/>
        </w:numPr>
        <w:spacing w:after="80"/>
      </w:pPr>
      <w:r>
        <w:rPr>
          <w:sz w:val="20"/>
          <w:szCs w:val="20"/>
        </w:rPr>
        <w:t xml:space="preserve">Use E-commerce and Utility Bills' higher average ticket sizes as a benchmark when negotiating merchant fee structures or prioritizing new merchant onboarding by category.</w:t>
      </w:r>
    </w:p>
    <w:p>
      <w:pPr>
        <w:pStyle w:val="Heading2"/>
        <w:pBdr>
          <w:bottom w:val="single" w:color="5C9C98" w:sz="6" w:space="4"/>
        </w:pBdr>
        <w:spacing w:after="100" w:before="200"/>
      </w:pPr>
      <w:r>
        <w:t xml:space="preserve">Methodology Note</w:t>
      </w:r>
    </w:p>
    <w:p>
      <w:pPr>
        <w:spacing w:after="100"/>
      </w:pPr>
      <w:r>
        <w:rPr>
          <w:i/>
          <w:iCs/>
          <w:color w:val="5A5550"/>
          <w:sz w:val="20"/>
          <w:szCs w:val="20"/>
        </w:rPr>
        <w:t xml:space="preserve">This analysis is built on a synthetic dataset (202,490 transactions, generated with documented, realistic seasonality, bank-reliability, and fraud-injection logic) since real UPI transaction-level data is not publicly available. Full methodology, assumptions, and limitations are documented in the project README. All figures above are reproducible from the accompanying SQL views, Python notebook, and Power BI dashboard.</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2026-09-13T16:50:14.019Z</dcterms:created>
  <dcterms:modified xsi:type="dcterms:W3CDTF">2026-09-13T16:50:14.030Z</dcterms:modified>
</cp:coreProperties>
</file>

<file path=docProps/custom.xml><?xml version="1.0" encoding="utf-8"?>
<Properties xmlns="http://schemas.openxmlformats.org/officeDocument/2006/custom-properties" xmlns:vt="http://schemas.openxmlformats.org/officeDocument/2006/docPropsVTypes"/>
</file>