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308EA7B" w14:textId="5BFCD5C7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To:</w:t>
      </w:r>
      <w:r w:rsidRPr="00B7306C">
        <w:rPr>
          <w:rFonts w:ascii="Times New Roman" w:hAnsi="Times New Roman" w:cs="Times New Roman"/>
        </w:rPr>
        <w:t> Professor Wolfe</w:t>
      </w:r>
      <w:r w:rsidR="00112811">
        <w:rPr>
          <w:rFonts w:ascii="Times New Roman" w:hAnsi="Times New Roman" w:cs="Times New Roman"/>
        </w:rPr>
        <w:t xml:space="preserve">, Liz Walker, </w:t>
      </w:r>
      <w:proofErr w:type="spellStart"/>
      <w:r w:rsidR="00112811" w:rsidRPr="00112811">
        <w:rPr>
          <w:rFonts w:ascii="Times New Roman" w:hAnsi="Times New Roman" w:cs="Times New Roman"/>
        </w:rPr>
        <w:t>Recruitia</w:t>
      </w:r>
      <w:proofErr w:type="spellEnd"/>
      <w:r w:rsidR="00112811" w:rsidRPr="00112811">
        <w:rPr>
          <w:rFonts w:ascii="Times New Roman" w:hAnsi="Times New Roman" w:cs="Times New Roman"/>
        </w:rPr>
        <w:t xml:space="preserve"> </w:t>
      </w:r>
      <w:proofErr w:type="spellStart"/>
      <w:r w:rsidR="00112811" w:rsidRPr="00112811">
        <w:rPr>
          <w:rFonts w:ascii="Times New Roman" w:hAnsi="Times New Roman" w:cs="Times New Roman"/>
        </w:rPr>
        <w:t>Jobness</w:t>
      </w:r>
      <w:proofErr w:type="spellEnd"/>
    </w:p>
    <w:p w14:paraId="281B9545" w14:textId="77777777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From:</w:t>
      </w:r>
      <w:r w:rsidRPr="00B7306C">
        <w:rPr>
          <w:rFonts w:ascii="Times New Roman" w:hAnsi="Times New Roman" w:cs="Times New Roman"/>
        </w:rPr>
        <w:t> Tej Jolly</w:t>
      </w:r>
    </w:p>
    <w:p w14:paraId="4DF58E99" w14:textId="1C4EE97E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Date:</w:t>
      </w:r>
      <w:r w:rsidRPr="00B7306C">
        <w:rPr>
          <w:rFonts w:ascii="Times New Roman" w:hAnsi="Times New Roman" w:cs="Times New Roman"/>
        </w:rPr>
        <w:t> December 1</w:t>
      </w:r>
      <w:r w:rsidR="00112811">
        <w:rPr>
          <w:rFonts w:ascii="Times New Roman" w:hAnsi="Times New Roman" w:cs="Times New Roman"/>
        </w:rPr>
        <w:t>2</w:t>
      </w:r>
      <w:r w:rsidRPr="00B7306C">
        <w:rPr>
          <w:rFonts w:ascii="Times New Roman" w:hAnsi="Times New Roman" w:cs="Times New Roman"/>
        </w:rPr>
        <w:t>, 2025</w:t>
      </w:r>
    </w:p>
    <w:p w14:paraId="6FE0E281" w14:textId="0F3EEDCD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Subject:</w:t>
      </w:r>
      <w:r w:rsidRPr="00B7306C">
        <w:rPr>
          <w:rFonts w:ascii="Times New Roman" w:hAnsi="Times New Roman" w:cs="Times New Roman"/>
        </w:rPr>
        <w:t> Justification Memo—Online Engineering Portfolio</w:t>
      </w:r>
    </w:p>
    <w:p w14:paraId="38544964" w14:textId="77777777" w:rsidR="00B7306C" w:rsidRPr="002334CC" w:rsidRDefault="00B7306C" w:rsidP="00B7306C">
      <w:pPr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41EDBE31" w14:textId="606C5DB8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Employer target and skill profile</w:t>
      </w:r>
    </w:p>
    <w:p w14:paraId="215E6879" w14:textId="797952B9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Primary target: teams that run high-consequence modeling workflows where CFD outputs become decisions</w:t>
      </w:r>
      <w:r>
        <w:rPr>
          <w:rFonts w:ascii="Times New Roman" w:hAnsi="Times New Roman" w:cs="Times New Roman"/>
        </w:rPr>
        <w:t>—</w:t>
      </w:r>
      <w:r w:rsidRPr="00B7306C">
        <w:rPr>
          <w:rFonts w:ascii="Times New Roman" w:hAnsi="Times New Roman" w:cs="Times New Roman"/>
        </w:rPr>
        <w:t>energy and climate systems groups; cardiovascular/medical-device and health-tech groups; industrial R&amp;D groups operating simulation-to-insight pipelines. Cross-functional adjacency: product, experimentalists, clinicians, and domain scientists.</w:t>
      </w:r>
    </w:p>
    <w:p w14:paraId="0277DC4F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3DDABC4E" w14:textId="33709E5B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Core skills emphasized: (1) high-fidelity CFD and transport modeling; (2) boundary-condition modeling and reduced-order coupling; (3) HPC execution and scaling awareness; (4) automation and reproducible analysis pipelines; (5) quantitative interpretation of results under uncertainty; (6) engineering communication that survives handoff.</w:t>
      </w:r>
    </w:p>
    <w:p w14:paraId="434ACDB1" w14:textId="77777777" w:rsidR="00B7306C" w:rsidRDefault="00B7306C" w:rsidP="00B7306C">
      <w:pPr>
        <w:jc w:val="both"/>
        <w:rPr>
          <w:rFonts w:ascii="Times New Roman" w:hAnsi="Times New Roman" w:cs="Times New Roman"/>
          <w:b/>
          <w:bCs/>
        </w:rPr>
      </w:pPr>
    </w:p>
    <w:p w14:paraId="51761431" w14:textId="10666559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Content choices</w:t>
      </w:r>
    </w:p>
    <w:p w14:paraId="0B76C7B8" w14:textId="24DB25A7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The portfolio organizes around representative projects spanning cardiovascular CFD, external-flow</w:t>
      </w:r>
      <w:r w:rsidR="00B25510">
        <w:rPr>
          <w:rFonts w:ascii="Times New Roman" w:hAnsi="Times New Roman" w:cs="Times New Roman"/>
        </w:rPr>
        <w:t xml:space="preserve"> and </w:t>
      </w:r>
      <w:r w:rsidRPr="00B7306C">
        <w:rPr>
          <w:rFonts w:ascii="Times New Roman" w:hAnsi="Times New Roman" w:cs="Times New Roman"/>
        </w:rPr>
        <w:t>environmental CFD, and ML systems work. Each project segment carries: a one-sentence objective, a media artifact, a short skills line, and a collapsible “Details” block. The structure supports two reviewer modes: scan for fit; then click into proof.</w:t>
      </w:r>
    </w:p>
    <w:p w14:paraId="1FE27D42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66D886FA" w14:textId="1C5A65EB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Artifacts sit with the relevant project rather than in a separate repository. Poster</w:t>
      </w:r>
      <w:r w:rsidR="006C184D">
        <w:rPr>
          <w:rFonts w:ascii="Times New Roman" w:hAnsi="Times New Roman" w:cs="Times New Roman"/>
        </w:rPr>
        <w:t xml:space="preserve">, </w:t>
      </w:r>
      <w:r w:rsidRPr="00B7306C">
        <w:rPr>
          <w:rFonts w:ascii="Times New Roman" w:hAnsi="Times New Roman" w:cs="Times New Roman"/>
        </w:rPr>
        <w:t>report</w:t>
      </w:r>
      <w:r w:rsidR="006C184D">
        <w:rPr>
          <w:rFonts w:ascii="Times New Roman" w:hAnsi="Times New Roman" w:cs="Times New Roman"/>
        </w:rPr>
        <w:t xml:space="preserve">, and </w:t>
      </w:r>
      <w:r w:rsidRPr="00B7306C">
        <w:rPr>
          <w:rFonts w:ascii="Times New Roman" w:hAnsi="Times New Roman" w:cs="Times New Roman"/>
        </w:rPr>
        <w:t>video links live inside each project card, keeping evidence adjacent to claims and shortening navigation.</w:t>
      </w:r>
    </w:p>
    <w:p w14:paraId="1BBF1A4F" w14:textId="77777777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 resume PDF link is placed near the top, paired with a “Resume Snapshot” card that previews education, skills, awards, publications, and tools. Fast qualification up front; depth in the projects; resume as the canonical reference.</w:t>
      </w:r>
    </w:p>
    <w:p w14:paraId="502D48D9" w14:textId="77777777" w:rsidR="00B7306C" w:rsidRPr="002334CC" w:rsidRDefault="00B7306C" w:rsidP="00B7306C">
      <w:pPr>
        <w:jc w:val="both"/>
        <w:rPr>
          <w:rFonts w:ascii="Times New Roman" w:hAnsi="Times New Roman" w:cs="Times New Roman"/>
          <w:b/>
          <w:bCs/>
          <w:sz w:val="12"/>
          <w:szCs w:val="12"/>
        </w:rPr>
      </w:pPr>
    </w:p>
    <w:p w14:paraId="0618C59B" w14:textId="134447E1" w:rsidR="002334CC" w:rsidRPr="002334CC" w:rsidRDefault="002334CC" w:rsidP="002334CC">
      <w:p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The projects to be graded for evaluation are (</w:t>
      </w:r>
      <w:proofErr w:type="spellStart"/>
      <w:r>
        <w:rPr>
          <w:rFonts w:ascii="Times New Roman" w:hAnsi="Times New Roman" w:cs="Times New Roman"/>
        </w:rPr>
        <w:t>i</w:t>
      </w:r>
      <w:proofErr w:type="spellEnd"/>
      <w:r>
        <w:rPr>
          <w:rFonts w:ascii="Times New Roman" w:hAnsi="Times New Roman" w:cs="Times New Roman"/>
        </w:rPr>
        <w:t xml:space="preserve">) </w:t>
      </w:r>
      <w:r w:rsidRPr="002334CC">
        <w:rPr>
          <w:rFonts w:ascii="Times New Roman" w:hAnsi="Times New Roman" w:cs="Times New Roman"/>
          <w:i/>
          <w:iCs/>
        </w:rPr>
        <w:t>Microvascular Resistance and Coronary Diagnostic Indices</w:t>
      </w:r>
      <w:r>
        <w:rPr>
          <w:rFonts w:ascii="Times New Roman" w:hAnsi="Times New Roman" w:cs="Times New Roman"/>
        </w:rPr>
        <w:t xml:space="preserve">, (ii) </w:t>
      </w:r>
      <w:r w:rsidRPr="002334CC">
        <w:rPr>
          <w:rFonts w:ascii="Times New Roman" w:hAnsi="Times New Roman" w:cs="Times New Roman"/>
          <w:i/>
          <w:iCs/>
        </w:rPr>
        <w:t>Carotid Bifurcation Angle and Stenosis Influence on Hemodynamics</w:t>
      </w:r>
      <w:r w:rsidRPr="002334CC">
        <w:rPr>
          <w:rFonts w:ascii="Times New Roman" w:hAnsi="Times New Roman" w:cs="Times New Roman"/>
        </w:rPr>
        <w:t>;</w:t>
      </w:r>
      <w:r>
        <w:rPr>
          <w:rFonts w:ascii="Times New Roman" w:hAnsi="Times New Roman" w:cs="Times New Roman"/>
        </w:rPr>
        <w:t xml:space="preserve"> (iii) </w:t>
      </w:r>
      <w:r w:rsidRPr="002334CC">
        <w:rPr>
          <w:rFonts w:ascii="Times New Roman" w:hAnsi="Times New Roman" w:cs="Times New Roman"/>
          <w:i/>
          <w:iCs/>
        </w:rPr>
        <w:t>Decarbonization Building CFD: Reducing Re-Entrained Exhaust</w:t>
      </w:r>
      <w:r w:rsidRPr="002334CC">
        <w:rPr>
          <w:rFonts w:ascii="Times New Roman" w:hAnsi="Times New Roman" w:cs="Times New Roman"/>
        </w:rPr>
        <w:t>; and</w:t>
      </w:r>
      <w:r>
        <w:rPr>
          <w:rFonts w:ascii="Times New Roman" w:hAnsi="Times New Roman" w:cs="Times New Roman"/>
        </w:rPr>
        <w:t xml:space="preserve"> (iv) </w:t>
      </w:r>
      <w:proofErr w:type="spellStart"/>
      <w:r w:rsidR="00CD1C02" w:rsidRPr="00CD1C02">
        <w:rPr>
          <w:rFonts w:ascii="Times New Roman" w:hAnsi="Times New Roman" w:cs="Times New Roman"/>
          <w:i/>
          <w:iCs/>
        </w:rPr>
        <w:t>PlayerVision</w:t>
      </w:r>
      <w:proofErr w:type="spellEnd"/>
      <w:r w:rsidR="00CD1C02" w:rsidRPr="00CD1C02">
        <w:rPr>
          <w:rFonts w:ascii="Times New Roman" w:hAnsi="Times New Roman" w:cs="Times New Roman"/>
          <w:i/>
          <w:iCs/>
        </w:rPr>
        <w:t>: Real-Time Player &amp; Ball Tracking for Sports</w:t>
      </w:r>
      <w:r w:rsidR="00CD1C02">
        <w:rPr>
          <w:rFonts w:ascii="Times New Roman" w:hAnsi="Times New Roman" w:cs="Times New Roman"/>
          <w:i/>
          <w:iCs/>
        </w:rPr>
        <w:t>.</w:t>
      </w:r>
      <w:r>
        <w:rPr>
          <w:rFonts w:ascii="Times New Roman" w:hAnsi="Times New Roman" w:cs="Times New Roman"/>
        </w:rPr>
        <w:t xml:space="preserve"> </w:t>
      </w:r>
      <w:r w:rsidRPr="002334CC">
        <w:rPr>
          <w:rFonts w:ascii="Times New Roman" w:hAnsi="Times New Roman" w:cs="Times New Roman"/>
        </w:rPr>
        <w:t xml:space="preserve">These projects collectively demonstrate model ownership across geometry, </w:t>
      </w:r>
      <w:proofErr w:type="spellStart"/>
      <w:r w:rsidRPr="002334CC">
        <w:rPr>
          <w:rFonts w:ascii="Times New Roman" w:hAnsi="Times New Roman" w:cs="Times New Roman"/>
        </w:rPr>
        <w:t>numerics</w:t>
      </w:r>
      <w:proofErr w:type="spellEnd"/>
      <w:r w:rsidRPr="002334CC">
        <w:rPr>
          <w:rFonts w:ascii="Times New Roman" w:hAnsi="Times New Roman" w:cs="Times New Roman"/>
        </w:rPr>
        <w:t>, transport, and interpretation, while spanning research, applied design, and communication contexts.</w:t>
      </w:r>
    </w:p>
    <w:p w14:paraId="13274F35" w14:textId="77777777" w:rsidR="002334CC" w:rsidRDefault="002334CC" w:rsidP="00B7306C">
      <w:pPr>
        <w:jc w:val="both"/>
        <w:rPr>
          <w:rFonts w:ascii="Times New Roman" w:hAnsi="Times New Roman" w:cs="Times New Roman"/>
          <w:b/>
          <w:bCs/>
        </w:rPr>
      </w:pPr>
    </w:p>
    <w:p w14:paraId="1F2E754D" w14:textId="20D371A5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Tailoring to employer demand</w:t>
      </w:r>
      <w:r w:rsidR="00EC69AA">
        <w:rPr>
          <w:rFonts w:ascii="Times New Roman" w:hAnsi="Times New Roman" w:cs="Times New Roman"/>
          <w:b/>
          <w:bCs/>
        </w:rPr>
        <w:t>s</w:t>
      </w:r>
    </w:p>
    <w:p w14:paraId="0D611B59" w14:textId="0099967A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CFD employers look for model ownership: geometry-to-mesh-to-solver decisions, boundary conditions, validation posture, and post-processing rigor. Project summaries foreground those elements as actions and outputs—parameter sweeps, controlled variations, WSS quantification, transport proxies, pipeline automation—rather than as broad self-descriptions.</w:t>
      </w:r>
    </w:p>
    <w:p w14:paraId="5E95C9EE" w14:textId="77777777" w:rsidR="00B7306C" w:rsidRPr="00B7306C" w:rsidRDefault="00B7306C" w:rsidP="00B7306C">
      <w:pPr>
        <w:jc w:val="both"/>
        <w:rPr>
          <w:rFonts w:ascii="Times New Roman" w:hAnsi="Times New Roman" w:cs="Times New Roman"/>
          <w:sz w:val="12"/>
          <w:szCs w:val="12"/>
        </w:rPr>
      </w:pPr>
    </w:p>
    <w:p w14:paraId="6162E638" w14:textId="646DAD14" w:rsidR="00B7306C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Cross-domain teams look for translation bandwidth. The About section leads with stakeholder interfaces and outcomes, then follows with technical substrate. The project set preserves range without dispersing identity: one throughline (flow physics), multiple contexts (coronary, carotid, built environment, ML).</w:t>
      </w:r>
    </w:p>
    <w:p w14:paraId="51341BAE" w14:textId="77777777" w:rsidR="00B7306C" w:rsidRDefault="00B7306C" w:rsidP="00B7306C">
      <w:pPr>
        <w:jc w:val="both"/>
        <w:rPr>
          <w:rFonts w:ascii="Times New Roman" w:hAnsi="Times New Roman" w:cs="Times New Roman"/>
          <w:b/>
          <w:bCs/>
        </w:rPr>
      </w:pPr>
    </w:p>
    <w:p w14:paraId="70376C9A" w14:textId="74508CBD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  <w:b/>
          <w:bCs/>
        </w:rPr>
        <w:t>Layout and aesthetic decisions</w:t>
      </w:r>
    </w:p>
    <w:p w14:paraId="2A26D7B9" w14:textId="1D88CCAF" w:rsid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 xml:space="preserve">Single-page architecture with sticky navigation reduces friction and supports fast scanning. </w:t>
      </w:r>
      <w:proofErr w:type="gramStart"/>
      <w:r w:rsidR="000C77C5" w:rsidRPr="00B7306C">
        <w:rPr>
          <w:rFonts w:ascii="Times New Roman" w:hAnsi="Times New Roman" w:cs="Times New Roman"/>
        </w:rPr>
        <w:t>Active</w:t>
      </w:r>
      <w:r w:rsidR="000C77C5">
        <w:rPr>
          <w:rFonts w:ascii="Times New Roman" w:hAnsi="Times New Roman" w:cs="Times New Roman"/>
        </w:rPr>
        <w:t>-</w:t>
      </w:r>
      <w:r w:rsidR="000C77C5" w:rsidRPr="00B7306C">
        <w:rPr>
          <w:rFonts w:ascii="Times New Roman" w:hAnsi="Times New Roman" w:cs="Times New Roman"/>
        </w:rPr>
        <w:t>section</w:t>
      </w:r>
      <w:proofErr w:type="gramEnd"/>
      <w:r w:rsidRPr="00B7306C">
        <w:rPr>
          <w:rFonts w:ascii="Times New Roman" w:hAnsi="Times New Roman" w:cs="Times New Roman"/>
        </w:rPr>
        <w:t xml:space="preserve"> highlighting turns scroll position into orientation without adding </w:t>
      </w:r>
      <w:proofErr w:type="spellStart"/>
      <w:r w:rsidRPr="00B7306C">
        <w:rPr>
          <w:rFonts w:ascii="Times New Roman" w:hAnsi="Times New Roman" w:cs="Times New Roman"/>
        </w:rPr>
        <w:t>text.</w:t>
      </w:r>
      <w:proofErr w:type="spellEnd"/>
    </w:p>
    <w:p w14:paraId="5FE887A8" w14:textId="77777777" w:rsidR="002334CC" w:rsidRDefault="002334CC" w:rsidP="00B7306C">
      <w:pPr>
        <w:jc w:val="both"/>
        <w:rPr>
          <w:rFonts w:ascii="Times New Roman" w:hAnsi="Times New Roman" w:cs="Times New Roman"/>
        </w:rPr>
      </w:pPr>
    </w:p>
    <w:p w14:paraId="6C5E8DC9" w14:textId="2E34F470" w:rsidR="00C84257" w:rsidRPr="00B7306C" w:rsidRDefault="00B7306C" w:rsidP="00B7306C">
      <w:pPr>
        <w:jc w:val="both"/>
        <w:rPr>
          <w:rFonts w:ascii="Times New Roman" w:hAnsi="Times New Roman" w:cs="Times New Roman"/>
        </w:rPr>
      </w:pPr>
      <w:r w:rsidRPr="00B7306C">
        <w:rPr>
          <w:rFonts w:ascii="Times New Roman" w:hAnsi="Times New Roman" w:cs="Times New Roman"/>
        </w:rPr>
        <w:t>A card-based layout and restrained accent palette maintain hierarchy: title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objective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artifact</w:t>
      </w:r>
      <w:r>
        <w:rPr>
          <w:rFonts w:ascii="Times New Roman" w:hAnsi="Times New Roman" w:cs="Times New Roman"/>
        </w:rPr>
        <w:t xml:space="preserve">; </w:t>
      </w:r>
      <w:r w:rsidRPr="00B7306C">
        <w:rPr>
          <w:rFonts w:ascii="Times New Roman" w:hAnsi="Times New Roman" w:cs="Times New Roman"/>
        </w:rPr>
        <w:t>details. Captions convert media into evidence. Accordion details preserve an executive summary while keeping technical depth available.</w:t>
      </w:r>
      <w:r w:rsidR="002334CC">
        <w:rPr>
          <w:rFonts w:ascii="Times New Roman" w:hAnsi="Times New Roman" w:cs="Times New Roman"/>
        </w:rPr>
        <w:t xml:space="preserve"> </w:t>
      </w:r>
      <w:r w:rsidRPr="00B7306C">
        <w:rPr>
          <w:rFonts w:ascii="Times New Roman" w:hAnsi="Times New Roman" w:cs="Times New Roman"/>
        </w:rPr>
        <w:t>Accessibility features are treated as baseline document design: skip link, semantic sectioning, and responsive behavior for small screens.</w:t>
      </w:r>
    </w:p>
    <w:sectPr w:rsidR="00C84257" w:rsidRPr="00B7306C" w:rsidSect="002334CC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78B6AAA" w14:textId="77777777" w:rsidR="007E29B5" w:rsidRDefault="007E29B5" w:rsidP="00B7306C">
      <w:r>
        <w:separator/>
      </w:r>
    </w:p>
  </w:endnote>
  <w:endnote w:type="continuationSeparator" w:id="0">
    <w:p w14:paraId="32D8DCC8" w14:textId="77777777" w:rsidR="007E29B5" w:rsidRDefault="007E29B5" w:rsidP="00B730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DBAAA3E" w14:textId="77777777" w:rsidR="007E29B5" w:rsidRDefault="007E29B5" w:rsidP="00B7306C">
      <w:r>
        <w:separator/>
      </w:r>
    </w:p>
  </w:footnote>
  <w:footnote w:type="continuationSeparator" w:id="0">
    <w:p w14:paraId="564D8973" w14:textId="77777777" w:rsidR="007E29B5" w:rsidRDefault="007E29B5" w:rsidP="00B7306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1FA7008"/>
    <w:multiLevelType w:val="hybridMultilevel"/>
    <w:tmpl w:val="EBDA9B96"/>
    <w:lvl w:ilvl="0" w:tplc="F6EEB7D4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50600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06C"/>
    <w:rsid w:val="00073082"/>
    <w:rsid w:val="000C77C5"/>
    <w:rsid w:val="00112811"/>
    <w:rsid w:val="002334CC"/>
    <w:rsid w:val="00365969"/>
    <w:rsid w:val="00415271"/>
    <w:rsid w:val="00616129"/>
    <w:rsid w:val="00621191"/>
    <w:rsid w:val="006C184D"/>
    <w:rsid w:val="0071702B"/>
    <w:rsid w:val="00763874"/>
    <w:rsid w:val="007C56BD"/>
    <w:rsid w:val="007E29B5"/>
    <w:rsid w:val="00A41B4F"/>
    <w:rsid w:val="00B15A89"/>
    <w:rsid w:val="00B25510"/>
    <w:rsid w:val="00B7306C"/>
    <w:rsid w:val="00C84257"/>
    <w:rsid w:val="00CD1C02"/>
    <w:rsid w:val="00DB2C60"/>
    <w:rsid w:val="00DD1BB3"/>
    <w:rsid w:val="00EB1DC2"/>
    <w:rsid w:val="00EC69AA"/>
    <w:rsid w:val="00F21C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49E0566"/>
  <w15:chartTrackingRefBased/>
  <w15:docId w15:val="{4FD71836-F19A-9248-A5D5-A214E6376E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730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730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730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730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0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06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06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06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06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7306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7306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7306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7306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06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0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0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0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0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7306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730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7306C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730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06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0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730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0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0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06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06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06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7306C"/>
  </w:style>
  <w:style w:type="paragraph" w:styleId="Footer">
    <w:name w:val="footer"/>
    <w:basedOn w:val="Normal"/>
    <w:link w:val="FooterChar"/>
    <w:uiPriority w:val="99"/>
    <w:unhideWhenUsed/>
    <w:rsid w:val="00B7306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7306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4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72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38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2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83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7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2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515</Words>
  <Characters>2939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Tej Karna Jolly</dc:creator>
  <cp:keywords/>
  <dc:description/>
  <cp:lastModifiedBy>Tej Karna Jolly</cp:lastModifiedBy>
  <cp:revision>3</cp:revision>
  <dcterms:created xsi:type="dcterms:W3CDTF">2025-12-13T02:06:00Z</dcterms:created>
  <dcterms:modified xsi:type="dcterms:W3CDTF">2025-12-13T02:36:00Z</dcterms:modified>
</cp:coreProperties>
</file>