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8EA7B" w14:textId="5BFCD5C7" w:rsid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  <w:b/>
          <w:bCs/>
        </w:rPr>
        <w:t>To:</w:t>
      </w:r>
      <w:r w:rsidRPr="00B7306C">
        <w:rPr>
          <w:rFonts w:ascii="Times New Roman" w:hAnsi="Times New Roman" w:cs="Times New Roman"/>
        </w:rPr>
        <w:t> Professor Wolfe</w:t>
      </w:r>
      <w:r w:rsidR="00112811">
        <w:rPr>
          <w:rFonts w:ascii="Times New Roman" w:hAnsi="Times New Roman" w:cs="Times New Roman"/>
        </w:rPr>
        <w:t xml:space="preserve">, Liz Walker, </w:t>
      </w:r>
      <w:proofErr w:type="spellStart"/>
      <w:r w:rsidR="00112811" w:rsidRPr="00112811">
        <w:rPr>
          <w:rFonts w:ascii="Times New Roman" w:hAnsi="Times New Roman" w:cs="Times New Roman"/>
        </w:rPr>
        <w:t>Recruitia</w:t>
      </w:r>
      <w:proofErr w:type="spellEnd"/>
      <w:r w:rsidR="00112811" w:rsidRPr="00112811">
        <w:rPr>
          <w:rFonts w:ascii="Times New Roman" w:hAnsi="Times New Roman" w:cs="Times New Roman"/>
        </w:rPr>
        <w:t xml:space="preserve"> </w:t>
      </w:r>
      <w:proofErr w:type="spellStart"/>
      <w:r w:rsidR="00112811" w:rsidRPr="00112811">
        <w:rPr>
          <w:rFonts w:ascii="Times New Roman" w:hAnsi="Times New Roman" w:cs="Times New Roman"/>
        </w:rPr>
        <w:t>Jobness</w:t>
      </w:r>
      <w:proofErr w:type="spellEnd"/>
    </w:p>
    <w:p w14:paraId="281B9545" w14:textId="77777777" w:rsid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  <w:b/>
          <w:bCs/>
        </w:rPr>
        <w:t>From:</w:t>
      </w:r>
      <w:r w:rsidRPr="00B7306C">
        <w:rPr>
          <w:rFonts w:ascii="Times New Roman" w:hAnsi="Times New Roman" w:cs="Times New Roman"/>
        </w:rPr>
        <w:t> Tej Jolly</w:t>
      </w:r>
    </w:p>
    <w:p w14:paraId="4DF58E99" w14:textId="1C4EE97E" w:rsid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  <w:b/>
          <w:bCs/>
        </w:rPr>
        <w:t>Date:</w:t>
      </w:r>
      <w:r w:rsidRPr="00B7306C">
        <w:rPr>
          <w:rFonts w:ascii="Times New Roman" w:hAnsi="Times New Roman" w:cs="Times New Roman"/>
        </w:rPr>
        <w:t> December 1</w:t>
      </w:r>
      <w:r w:rsidR="00112811">
        <w:rPr>
          <w:rFonts w:ascii="Times New Roman" w:hAnsi="Times New Roman" w:cs="Times New Roman"/>
        </w:rPr>
        <w:t>2</w:t>
      </w:r>
      <w:r w:rsidRPr="00B7306C">
        <w:rPr>
          <w:rFonts w:ascii="Times New Roman" w:hAnsi="Times New Roman" w:cs="Times New Roman"/>
        </w:rPr>
        <w:t>, 2025</w:t>
      </w:r>
    </w:p>
    <w:p w14:paraId="6FE0E281" w14:textId="0F3EEDCD" w:rsidR="00B7306C" w:rsidRP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  <w:b/>
          <w:bCs/>
        </w:rPr>
        <w:t>Subject:</w:t>
      </w:r>
      <w:r w:rsidRPr="00B7306C">
        <w:rPr>
          <w:rFonts w:ascii="Times New Roman" w:hAnsi="Times New Roman" w:cs="Times New Roman"/>
        </w:rPr>
        <w:t> Justification Memo—Online Engineering Portfolio</w:t>
      </w:r>
    </w:p>
    <w:p w14:paraId="38544964" w14:textId="77777777" w:rsidR="00B7306C" w:rsidRDefault="00B7306C" w:rsidP="00B7306C">
      <w:pPr>
        <w:jc w:val="both"/>
        <w:rPr>
          <w:rFonts w:ascii="Times New Roman" w:hAnsi="Times New Roman" w:cs="Times New Roman"/>
          <w:b/>
          <w:bCs/>
        </w:rPr>
      </w:pPr>
    </w:p>
    <w:p w14:paraId="41EDBE31" w14:textId="606C5DB8" w:rsid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  <w:b/>
          <w:bCs/>
        </w:rPr>
        <w:t>Employer target and skill profile</w:t>
      </w:r>
    </w:p>
    <w:p w14:paraId="215E6879" w14:textId="797952B9" w:rsidR="00B7306C" w:rsidRP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</w:rPr>
        <w:t>Primary target: teams that run high-consequence modeling workflows where CFD outputs become decisions</w:t>
      </w:r>
      <w:r>
        <w:rPr>
          <w:rFonts w:ascii="Times New Roman" w:hAnsi="Times New Roman" w:cs="Times New Roman"/>
        </w:rPr>
        <w:t>—</w:t>
      </w:r>
      <w:r w:rsidRPr="00B7306C">
        <w:rPr>
          <w:rFonts w:ascii="Times New Roman" w:hAnsi="Times New Roman" w:cs="Times New Roman"/>
        </w:rPr>
        <w:t>energy and climate systems groups; cardiovascular/medical-device and health-tech groups; industrial R&amp;D groups operating simulation-to-insight pipelines. Cross-functional adjacency: product, experimentalists, clinicians, and domain scientists.</w:t>
      </w:r>
    </w:p>
    <w:p w14:paraId="0277DC4F" w14:textId="77777777" w:rsidR="00B7306C" w:rsidRPr="00B7306C" w:rsidRDefault="00B7306C" w:rsidP="00B7306C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3DDABC4E" w14:textId="33709E5B" w:rsidR="00B7306C" w:rsidRP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</w:rPr>
        <w:t>Core skills emphasized: (1) high-fidelity CFD and transport modeling; (2) boundary-condition modeling and reduced-order coupling; (3) HPC execution and scaling awareness; (4) automation and reproducible analysis pipelines; (5) quantitative interpretation of results under uncertainty; (6) engineering communication that survives handoff.</w:t>
      </w:r>
    </w:p>
    <w:p w14:paraId="434ACDB1" w14:textId="77777777" w:rsidR="00B7306C" w:rsidRDefault="00B7306C" w:rsidP="00B7306C">
      <w:pPr>
        <w:jc w:val="both"/>
        <w:rPr>
          <w:rFonts w:ascii="Times New Roman" w:hAnsi="Times New Roman" w:cs="Times New Roman"/>
          <w:b/>
          <w:bCs/>
        </w:rPr>
      </w:pPr>
    </w:p>
    <w:p w14:paraId="51761431" w14:textId="10666559" w:rsid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  <w:b/>
          <w:bCs/>
        </w:rPr>
        <w:t>Content choices</w:t>
      </w:r>
    </w:p>
    <w:p w14:paraId="0B76C7B8" w14:textId="24DB25A7" w:rsidR="00B7306C" w:rsidRP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</w:rPr>
        <w:t>The portfolio organizes around representative projects spanning cardiovascular CFD, external-flow</w:t>
      </w:r>
      <w:r w:rsidR="00B25510">
        <w:rPr>
          <w:rFonts w:ascii="Times New Roman" w:hAnsi="Times New Roman" w:cs="Times New Roman"/>
        </w:rPr>
        <w:t xml:space="preserve"> and </w:t>
      </w:r>
      <w:r w:rsidRPr="00B7306C">
        <w:rPr>
          <w:rFonts w:ascii="Times New Roman" w:hAnsi="Times New Roman" w:cs="Times New Roman"/>
        </w:rPr>
        <w:t>environmental CFD, and ML systems work. Each project segment carries: a one-sentence objective, a media artifact, a short skills line, and a collapsible “Details” block. The structure supports two reviewer modes: scan for fit; then click into proof.</w:t>
      </w:r>
    </w:p>
    <w:p w14:paraId="1FE27D42" w14:textId="77777777" w:rsidR="00B7306C" w:rsidRPr="00B7306C" w:rsidRDefault="00B7306C" w:rsidP="00B7306C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66D886FA" w14:textId="5716C723" w:rsidR="00B7306C" w:rsidRP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</w:rPr>
        <w:t>Artifacts sit with the relevant project rather than in a separate repository. Poster/report/video links live inside each project card, keeping evidence adjacent to claims and shortening navigation.</w:t>
      </w:r>
    </w:p>
    <w:p w14:paraId="1BBF1A4F" w14:textId="77777777" w:rsidR="00B7306C" w:rsidRP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</w:rPr>
        <w:t>A resume PDF link is placed near the top, paired with a “Resume Snapshot” card that previews education, skills, awards, publications, and tools. Fast qualification up front; depth in the projects; resume as the canonical reference.</w:t>
      </w:r>
    </w:p>
    <w:p w14:paraId="502D48D9" w14:textId="77777777" w:rsidR="00B7306C" w:rsidRDefault="00B7306C" w:rsidP="00B7306C">
      <w:pPr>
        <w:jc w:val="both"/>
        <w:rPr>
          <w:rFonts w:ascii="Times New Roman" w:hAnsi="Times New Roman" w:cs="Times New Roman"/>
          <w:b/>
          <w:bCs/>
        </w:rPr>
      </w:pPr>
    </w:p>
    <w:p w14:paraId="1F2E754D" w14:textId="20D371A5" w:rsid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  <w:b/>
          <w:bCs/>
        </w:rPr>
        <w:t>Tailoring to employer demand</w:t>
      </w:r>
      <w:r w:rsidR="00EC69AA">
        <w:rPr>
          <w:rFonts w:ascii="Times New Roman" w:hAnsi="Times New Roman" w:cs="Times New Roman"/>
          <w:b/>
          <w:bCs/>
        </w:rPr>
        <w:t>s</w:t>
      </w:r>
    </w:p>
    <w:p w14:paraId="0D611B59" w14:textId="0099967A" w:rsidR="00B7306C" w:rsidRP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</w:rPr>
        <w:t>CFD employers look for model ownership: geometry-to-mesh-to-solver decisions, boundary conditions, validation posture, and post-processing rigor. Project summaries foreground those elements as actions and outputs—parameter sweeps, controlled variations, WSS quantification, transport proxies, pipeline automation—rather than as broad self-descriptions.</w:t>
      </w:r>
    </w:p>
    <w:p w14:paraId="5E95C9EE" w14:textId="77777777" w:rsidR="00B7306C" w:rsidRPr="00B7306C" w:rsidRDefault="00B7306C" w:rsidP="00B7306C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6162E638" w14:textId="646DAD14" w:rsidR="00B7306C" w:rsidRP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</w:rPr>
        <w:t>Cross-domain teams look for translation bandwidth. The About section leads with stakeholder interfaces and outcomes, then follows with technical substrate. The project set preserves range without dispersing identity: one throughline (flow physics), multiple contexts (coronary, carotid, built environment, ML).</w:t>
      </w:r>
    </w:p>
    <w:p w14:paraId="51341BAE" w14:textId="77777777" w:rsidR="00B7306C" w:rsidRDefault="00B7306C" w:rsidP="00B7306C">
      <w:pPr>
        <w:jc w:val="both"/>
        <w:rPr>
          <w:rFonts w:ascii="Times New Roman" w:hAnsi="Times New Roman" w:cs="Times New Roman"/>
          <w:b/>
          <w:bCs/>
        </w:rPr>
      </w:pPr>
    </w:p>
    <w:p w14:paraId="70376C9A" w14:textId="74508CBD" w:rsid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  <w:b/>
          <w:bCs/>
        </w:rPr>
        <w:t>Layout and aesthetic decisions</w:t>
      </w:r>
    </w:p>
    <w:p w14:paraId="2A26D7B9" w14:textId="1D88CCAF" w:rsid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</w:rPr>
        <w:t xml:space="preserve">Single-page architecture with sticky navigation reduces friction and supports fast scanning. </w:t>
      </w:r>
      <w:proofErr w:type="gramStart"/>
      <w:r w:rsidR="000C77C5" w:rsidRPr="00B7306C">
        <w:rPr>
          <w:rFonts w:ascii="Times New Roman" w:hAnsi="Times New Roman" w:cs="Times New Roman"/>
        </w:rPr>
        <w:t>Active</w:t>
      </w:r>
      <w:r w:rsidR="000C77C5">
        <w:rPr>
          <w:rFonts w:ascii="Times New Roman" w:hAnsi="Times New Roman" w:cs="Times New Roman"/>
        </w:rPr>
        <w:t>-</w:t>
      </w:r>
      <w:r w:rsidR="000C77C5" w:rsidRPr="00B7306C">
        <w:rPr>
          <w:rFonts w:ascii="Times New Roman" w:hAnsi="Times New Roman" w:cs="Times New Roman"/>
        </w:rPr>
        <w:t>section</w:t>
      </w:r>
      <w:proofErr w:type="gramEnd"/>
      <w:r w:rsidRPr="00B7306C">
        <w:rPr>
          <w:rFonts w:ascii="Times New Roman" w:hAnsi="Times New Roman" w:cs="Times New Roman"/>
        </w:rPr>
        <w:t xml:space="preserve"> highlighting turns scroll position into orientation without adding text.</w:t>
      </w:r>
    </w:p>
    <w:p w14:paraId="580A5C66" w14:textId="77777777" w:rsidR="00B7306C" w:rsidRPr="00B7306C" w:rsidRDefault="00B7306C" w:rsidP="00B7306C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2F2EA4D5" w14:textId="609C9C40" w:rsid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</w:rPr>
        <w:t>A card-based layout and restrained accent palette maintain hierarchy: title</w:t>
      </w:r>
      <w:r>
        <w:rPr>
          <w:rFonts w:ascii="Times New Roman" w:hAnsi="Times New Roman" w:cs="Times New Roman"/>
        </w:rPr>
        <w:t xml:space="preserve">; </w:t>
      </w:r>
      <w:r w:rsidRPr="00B7306C">
        <w:rPr>
          <w:rFonts w:ascii="Times New Roman" w:hAnsi="Times New Roman" w:cs="Times New Roman"/>
        </w:rPr>
        <w:t>objective</w:t>
      </w:r>
      <w:r>
        <w:rPr>
          <w:rFonts w:ascii="Times New Roman" w:hAnsi="Times New Roman" w:cs="Times New Roman"/>
        </w:rPr>
        <w:t xml:space="preserve">; </w:t>
      </w:r>
      <w:r w:rsidRPr="00B7306C">
        <w:rPr>
          <w:rFonts w:ascii="Times New Roman" w:hAnsi="Times New Roman" w:cs="Times New Roman"/>
        </w:rPr>
        <w:t>artifact</w:t>
      </w:r>
      <w:r>
        <w:rPr>
          <w:rFonts w:ascii="Times New Roman" w:hAnsi="Times New Roman" w:cs="Times New Roman"/>
        </w:rPr>
        <w:t xml:space="preserve">; </w:t>
      </w:r>
      <w:r w:rsidRPr="00B7306C">
        <w:rPr>
          <w:rFonts w:ascii="Times New Roman" w:hAnsi="Times New Roman" w:cs="Times New Roman"/>
        </w:rPr>
        <w:t>details. Captions convert media into evidence. Accordion details preserve an executive summary while keeping technical depth available.</w:t>
      </w:r>
    </w:p>
    <w:p w14:paraId="6697B0FC" w14:textId="77777777" w:rsidR="00B7306C" w:rsidRPr="00B7306C" w:rsidRDefault="00B7306C" w:rsidP="00B7306C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6C5E8DC9" w14:textId="15918B79" w:rsidR="00C84257" w:rsidRPr="00B7306C" w:rsidRDefault="00B7306C" w:rsidP="00B7306C">
      <w:pPr>
        <w:jc w:val="both"/>
        <w:rPr>
          <w:rFonts w:ascii="Times New Roman" w:hAnsi="Times New Roman" w:cs="Times New Roman"/>
        </w:rPr>
      </w:pPr>
      <w:r w:rsidRPr="00B7306C">
        <w:rPr>
          <w:rFonts w:ascii="Times New Roman" w:hAnsi="Times New Roman" w:cs="Times New Roman"/>
        </w:rPr>
        <w:t>Accessibility features are treated as baseline document design: skip link, semantic sectioning, and responsive behavior for small screens.</w:t>
      </w:r>
    </w:p>
    <w:sectPr w:rsidR="00C84257" w:rsidRPr="00B73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093112" w14:textId="77777777" w:rsidR="005C20ED" w:rsidRDefault="005C20ED" w:rsidP="00B7306C">
      <w:r>
        <w:separator/>
      </w:r>
    </w:p>
  </w:endnote>
  <w:endnote w:type="continuationSeparator" w:id="0">
    <w:p w14:paraId="27449A12" w14:textId="77777777" w:rsidR="005C20ED" w:rsidRDefault="005C20ED" w:rsidP="00B73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4F952" w14:textId="77777777" w:rsidR="005C20ED" w:rsidRDefault="005C20ED" w:rsidP="00B7306C">
      <w:r>
        <w:separator/>
      </w:r>
    </w:p>
  </w:footnote>
  <w:footnote w:type="continuationSeparator" w:id="0">
    <w:p w14:paraId="37D435A8" w14:textId="77777777" w:rsidR="005C20ED" w:rsidRDefault="005C20ED" w:rsidP="00B730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6C"/>
    <w:rsid w:val="00073082"/>
    <w:rsid w:val="000C77C5"/>
    <w:rsid w:val="00112811"/>
    <w:rsid w:val="00365969"/>
    <w:rsid w:val="00415271"/>
    <w:rsid w:val="005C20ED"/>
    <w:rsid w:val="00616129"/>
    <w:rsid w:val="00621191"/>
    <w:rsid w:val="0071702B"/>
    <w:rsid w:val="00763874"/>
    <w:rsid w:val="007C56BD"/>
    <w:rsid w:val="00A41B4F"/>
    <w:rsid w:val="00B15A89"/>
    <w:rsid w:val="00B25510"/>
    <w:rsid w:val="00B7306C"/>
    <w:rsid w:val="00C84257"/>
    <w:rsid w:val="00DB2C60"/>
    <w:rsid w:val="00DD1BB3"/>
    <w:rsid w:val="00EC69AA"/>
    <w:rsid w:val="00F2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E0566"/>
  <w15:chartTrackingRefBased/>
  <w15:docId w15:val="{4FD71836-F19A-9248-A5D5-A214E637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0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0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0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0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0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0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0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0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0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306C"/>
  </w:style>
  <w:style w:type="paragraph" w:styleId="Footer">
    <w:name w:val="footer"/>
    <w:basedOn w:val="Normal"/>
    <w:link w:val="FooterChar"/>
    <w:uiPriority w:val="99"/>
    <w:unhideWhenUsed/>
    <w:rsid w:val="00B730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3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4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Karna Jolly</dc:creator>
  <cp:keywords/>
  <dc:description/>
  <cp:lastModifiedBy>Tej Karna Jolly</cp:lastModifiedBy>
  <cp:revision>7</cp:revision>
  <dcterms:created xsi:type="dcterms:W3CDTF">2025-12-12T03:05:00Z</dcterms:created>
  <dcterms:modified xsi:type="dcterms:W3CDTF">2025-12-12T22:07:00Z</dcterms:modified>
</cp:coreProperties>
</file>