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 w:line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 w:line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 w: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Doctors' Call Telemetry 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 w:val="1"/>
          <w:bCs w:val="1"/>
          <w:color w:val="000000"/>
          <w:sz w:val="24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S.No.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Parameter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hAnsi="Times New Roman"/>
                <w:b w:val="1"/>
                <w:bCs w:val="1"/>
                <w:color w:val="000000"/>
                <w:sz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Telehealth registries lack visual pain mapping interfaces and secure session expiration controls.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Idea / Solution description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An interactive vector anatomical scanner that maps coordinates to doctor specialties, backed by 48-hour decaying consultation sessions.</w:t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Novelty / Uniqueness 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SVG-based tissue-layer coordinate matching paired with automated time-decaying session tokens.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Lowers diagnostic mismatching errors, ensures tax compliance, and protects clinician session resources.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644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Business Model (Revenue Model)</w:t>
            </w: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644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  <w:t xml:space="preserve">Scalability of the Solution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Fonts w:ascii="Times New Roman" w:hAnsi="Times New Roman"/>
                <w:color w:val="000000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Fonts w:ascii="Times New Roman" w:hAnsi="Times New Roman"/>
          <w:color w:val="000000"/>
          <w:sz w:val="24"/>
          <w:rtl w:val="0"/>
        </w:rPr>
      </w:r>
    </w:p>
    <w:sectPr>
      <w:headerReference w:type="default" r:id="rId7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right"/>
    </w:pPr>
    <w:r/>
    <w:r>
      <w:rPr>
        <w:rFonts w:ascii="Times New Roman" w:hAnsi="Times New Roman"/>
        <w:color w:val="000000"/>
        <w:sz w:val="2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