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CDBA7">
      <w:pPr>
        <w:rPr>
          <w:rFonts w:hint="default" w:ascii="Times New Roman" w:hAnsi="Times New Roman" w:cs="Times New Roman"/>
          <w:color w:val="auto"/>
        </w:rPr>
      </w:pPr>
      <w:r>
        <w:rPr>
          <w:rFonts w:hint="default" w:ascii="Times New Roman" w:hAnsi="Times New Roman" w:cs="Times New Roman"/>
          <w:color w:val="auto"/>
        </w:rPr>
        <w:br w:type="textWrapping"/>
      </w:r>
    </w:p>
    <w:p w14:paraId="7EF8303F">
      <w:pPr>
        <w:spacing w:line="480" w:lineRule="auto"/>
        <w:jc w:val="left"/>
        <w:rPr>
          <w:rFonts w:hint="default" w:ascii="Times New Roman" w:hAnsi="Times New Roman" w:cs="Times New Roman"/>
          <w:b/>
          <w:color w:val="auto"/>
          <w:sz w:val="28"/>
        </w:rPr>
      </w:pPr>
    </w:p>
    <w:p w14:paraId="70F0DDEE">
      <w:pPr>
        <w:spacing w:line="480" w:lineRule="auto"/>
        <w:jc w:val="left"/>
        <w:rPr>
          <w:rFonts w:hint="default" w:ascii="Times New Roman" w:hAnsi="Times New Roman" w:cs="Times New Roman"/>
          <w:b/>
          <w:color w:val="auto"/>
          <w:sz w:val="28"/>
        </w:rPr>
      </w:pPr>
    </w:p>
    <w:p w14:paraId="6E895E9A">
      <w:pPr>
        <w:spacing w:line="480" w:lineRule="auto"/>
        <w:jc w:val="left"/>
        <w:rPr>
          <w:rFonts w:hint="default" w:ascii="Times New Roman" w:hAnsi="Times New Roman" w:cs="Times New Roman"/>
          <w:b/>
          <w:color w:val="auto"/>
          <w:sz w:val="28"/>
        </w:rPr>
      </w:pPr>
    </w:p>
    <w:p w14:paraId="32EDEBA2">
      <w:pPr>
        <w:spacing w:line="480" w:lineRule="auto"/>
        <w:jc w:val="left"/>
        <w:rPr>
          <w:rFonts w:hint="default" w:ascii="Times New Roman" w:hAnsi="Times New Roman" w:cs="Times New Roman"/>
          <w:b/>
          <w:color w:val="auto"/>
          <w:sz w:val="28"/>
        </w:rPr>
      </w:pPr>
    </w:p>
    <w:p w14:paraId="7D75E4A4">
      <w:pPr>
        <w:spacing w:line="480" w:lineRule="auto"/>
        <w:jc w:val="left"/>
        <w:rPr>
          <w:rFonts w:hint="default" w:ascii="Times New Roman" w:hAnsi="Times New Roman" w:cs="Times New Roman"/>
          <w:b/>
          <w:color w:val="auto"/>
          <w:sz w:val="28"/>
        </w:rPr>
      </w:pPr>
    </w:p>
    <w:p w14:paraId="1DA2756C">
      <w:pPr>
        <w:spacing w:line="480" w:lineRule="auto"/>
        <w:jc w:val="left"/>
        <w:rPr>
          <w:rFonts w:hint="default" w:ascii="Times New Roman" w:hAnsi="Times New Roman" w:cs="Times New Roman"/>
          <w:b/>
          <w:color w:val="auto"/>
          <w:sz w:val="28"/>
        </w:rPr>
      </w:pPr>
    </w:p>
    <w:p w14:paraId="79B276EF">
      <w:pPr>
        <w:spacing w:line="480" w:lineRule="auto"/>
        <w:jc w:val="left"/>
        <w:rPr>
          <w:rFonts w:hint="default" w:ascii="Times New Roman" w:hAnsi="Times New Roman" w:cs="Times New Roman"/>
          <w:b/>
          <w:color w:val="auto"/>
          <w:sz w:val="28"/>
        </w:rPr>
      </w:pPr>
    </w:p>
    <w:p w14:paraId="754EFCAA">
      <w:pPr>
        <w:spacing w:line="480" w:lineRule="auto"/>
        <w:jc w:val="center"/>
        <w:rPr>
          <w:rFonts w:hint="default" w:ascii="Times New Roman" w:hAnsi="Times New Roman" w:cs="Times New Roman"/>
          <w:color w:val="auto"/>
        </w:rPr>
        <w:sectPr>
          <w:headerReference r:id="rId6" w:type="first"/>
          <w:headerReference r:id="rId5" w:type="default"/>
          <w:footerReference r:id="rId7" w:type="default"/>
          <w:pgSz w:w="12240" w:h="15840"/>
          <w:pgMar w:top="1440" w:right="1800" w:bottom="1440" w:left="1800" w:header="720" w:footer="720" w:gutter="0"/>
          <w:pgNumType w:fmt="decimal" w:start="1"/>
          <w:cols w:space="720" w:num="1"/>
          <w:titlePg/>
          <w:docGrid w:linePitch="360" w:charSpace="0"/>
        </w:sectPr>
      </w:pPr>
      <w:r>
        <w:rPr>
          <w:rFonts w:hint="default" w:ascii="Times New Roman" w:hAnsi="Times New Roman" w:cs="Times New Roman"/>
          <w:b/>
          <w:color w:val="auto"/>
          <w:sz w:val="32"/>
          <w:szCs w:val="24"/>
        </w:rPr>
        <w:t>Forecasting Apple Inc. (AAPL) Stock Performance</w:t>
      </w:r>
      <w:r>
        <w:rPr>
          <w:rFonts w:hint="default" w:ascii="Times New Roman" w:hAnsi="Times New Roman" w:cs="Times New Roman"/>
          <w:b/>
          <w:color w:val="auto"/>
          <w:sz w:val="32"/>
          <w:szCs w:val="24"/>
        </w:rPr>
        <w:br w:type="textWrapping"/>
      </w:r>
      <w:r>
        <w:rPr>
          <w:rFonts w:hint="default" w:ascii="Times New Roman" w:hAnsi="Times New Roman" w:cs="Times New Roman"/>
          <w:b/>
          <w:color w:val="auto"/>
          <w:sz w:val="32"/>
          <w:szCs w:val="24"/>
        </w:rPr>
        <w:br w:type="textWrapping"/>
      </w:r>
      <w:r>
        <w:rPr>
          <w:rFonts w:hint="default" w:ascii="Times New Roman" w:hAnsi="Times New Roman" w:cs="Times New Roman"/>
          <w:b/>
          <w:color w:val="auto"/>
          <w:sz w:val="28"/>
          <w:szCs w:val="24"/>
        </w:rPr>
        <w:t>Maria Tejaswini Polishetty</w:t>
      </w:r>
      <w:r>
        <w:rPr>
          <w:rFonts w:hint="default" w:ascii="Times New Roman" w:hAnsi="Times New Roman" w:cs="Times New Roman"/>
          <w:b/>
          <w:color w:val="auto"/>
          <w:sz w:val="28"/>
          <w:szCs w:val="24"/>
        </w:rPr>
        <w:br w:type="textWrapping"/>
      </w:r>
      <w:r>
        <w:rPr>
          <w:rFonts w:hint="default" w:ascii="Times New Roman" w:hAnsi="Times New Roman" w:cs="Times New Roman"/>
          <w:color w:val="auto"/>
          <w:sz w:val="28"/>
          <w:szCs w:val="24"/>
        </w:rPr>
        <w:t>Concordia University Wisconsin</w:t>
      </w:r>
    </w:p>
    <w:p w14:paraId="7DD51A85">
      <w:pPr>
        <w:pStyle w:val="2"/>
        <w:spacing w:line="360" w:lineRule="auto"/>
        <w:jc w:val="left"/>
        <w:rPr>
          <w:rFonts w:hint="default" w:ascii="Times New Roman" w:hAnsi="Times New Roman" w:cs="Times New Roman"/>
          <w:color w:val="auto"/>
          <w:lang w:val="en-IN"/>
        </w:rPr>
      </w:pPr>
      <w:r>
        <w:rPr>
          <w:rFonts w:hint="default" w:ascii="Times New Roman" w:hAnsi="Times New Roman" w:cs="Times New Roman"/>
          <w:color w:val="auto"/>
        </w:rPr>
        <w:t>Introduction</w:t>
      </w:r>
      <w:r>
        <w:rPr>
          <w:rFonts w:hint="default" w:ascii="Times New Roman" w:hAnsi="Times New Roman" w:cs="Times New Roman"/>
          <w:color w:val="auto"/>
          <w:lang w:val="en-IN"/>
        </w:rPr>
        <w:t>:</w:t>
      </w:r>
    </w:p>
    <w:p w14:paraId="01B3D66B">
      <w:pPr>
        <w:pStyle w:val="2"/>
        <w:spacing w:line="480" w:lineRule="auto"/>
        <w:ind w:firstLine="480" w:firstLineChars="200"/>
        <w:jc w:val="left"/>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Apple Inc., one of the largest global companies, is highly relevant for forecasting due to its large trading volume and market sensitivity. Forecasting stock performance is both academically challenging and practically vital for investors. ARIMA models offer a baseline for time-series forecasting (Hyndman &amp; Athanasopoulos, 2018), while modern machine learning methods such as Random Forest improve accuracy by capturing nonlinearities (Fischer &amp; Krauss, 2018). Using the OSEMiN framework, this project analyzes Apple’s stock data, builds predictive models, and draws insights for decision-making.</w:t>
      </w:r>
    </w:p>
    <w:p w14:paraId="57EE4151">
      <w:pPr>
        <w:spacing w:line="480" w:lineRule="auto"/>
        <w:ind w:firstLine="480" w:firstLineChars="200"/>
        <w:jc w:val="left"/>
        <w:rPr>
          <w:rFonts w:hint="default" w:ascii="Times New Roman" w:hAnsi="Times New Roman" w:cs="Times New Roman"/>
          <w:color w:val="auto"/>
        </w:rPr>
      </w:pPr>
      <w:r>
        <w:rPr>
          <w:rFonts w:hint="default" w:ascii="Times New Roman" w:hAnsi="Times New Roman" w:cs="Times New Roman"/>
          <w:color w:val="auto"/>
        </w:rPr>
        <w:t>Stock market forecasting remains a cornerstone challenge in business analytics. The ability to predict the price direction of equities allows investors to make more informed decisions while also highlighting the risks inherent in volatile markets. This project focuses on Apple Inc. (AAPL), one of the most traded technology stocks, applying the OSEMiN framework to explore, scrub, analyze, and forecast stock prices. The primary research objectives are: 1) To forecast future stock prices using ARIMA time series modeling, 2) To compare predictive accuracy across features such as closing price and volume, and 3) To evaluate how visualization and machine learning methods (Fischer &amp; Krauss, 2018) empower responsible investment decisions.</w:t>
      </w:r>
    </w:p>
    <w:p w14:paraId="5ED21596">
      <w:pPr>
        <w:spacing w:line="480" w:lineRule="auto"/>
        <w:jc w:val="left"/>
        <w:rPr>
          <w:rFonts w:hint="default" w:ascii="Times New Roman" w:hAnsi="Times New Roman" w:cs="Times New Roman"/>
          <w:b/>
          <w:bCs/>
          <w:color w:val="auto"/>
          <w:sz w:val="28"/>
          <w:szCs w:val="24"/>
          <w:lang w:val="en-IN"/>
        </w:rPr>
      </w:pPr>
      <w:r>
        <w:rPr>
          <w:rFonts w:hint="default" w:ascii="Times New Roman" w:hAnsi="Times New Roman" w:cs="Times New Roman"/>
          <w:b/>
          <w:bCs/>
          <w:color w:val="auto"/>
          <w:sz w:val="28"/>
          <w:szCs w:val="24"/>
        </w:rPr>
        <w:t>Abstract</w:t>
      </w:r>
      <w:r>
        <w:rPr>
          <w:rFonts w:hint="default" w:ascii="Times New Roman" w:hAnsi="Times New Roman" w:cs="Times New Roman"/>
          <w:b/>
          <w:bCs/>
          <w:color w:val="auto"/>
          <w:sz w:val="28"/>
          <w:szCs w:val="24"/>
          <w:lang w:val="en-IN"/>
        </w:rPr>
        <w:t>:</w:t>
      </w:r>
    </w:p>
    <w:p w14:paraId="2E663ECE">
      <w:pPr>
        <w:spacing w:line="480" w:lineRule="auto"/>
        <w:ind w:firstLine="480" w:firstLineChars="200"/>
        <w:jc w:val="left"/>
        <w:rPr>
          <w:rFonts w:hint="default" w:ascii="Times New Roman" w:hAnsi="Times New Roman" w:cs="Times New Roman"/>
          <w:color w:val="auto"/>
        </w:rPr>
      </w:pPr>
      <w:r>
        <w:rPr>
          <w:rFonts w:hint="default" w:ascii="Times New Roman" w:hAnsi="Times New Roman" w:cs="Times New Roman"/>
          <w:color w:val="auto"/>
        </w:rPr>
        <w:t>This project analyzes Apple Inc. (AAPL) stock using predictive modeling, statistical analysis, and machine learning methods. Techniques such as ARIMA, Random Forest, clustering, and A/B testing are applied to evaluate performance and guide decision making. Results show that Random Forest achieves the best predictive accuracy, demonstrating the importance of nonlinear modeling in stock forecasting. Ethical considerations and a Christian perspective highlight responsible use of financial technology for stewardship and long-term value.</w:t>
      </w:r>
    </w:p>
    <w:p w14:paraId="714312AA">
      <w:pPr>
        <w:spacing w:line="480" w:lineRule="auto"/>
        <w:ind w:firstLine="480" w:firstLineChars="200"/>
        <w:jc w:val="left"/>
        <w:rPr>
          <w:rFonts w:hint="default" w:ascii="Times New Roman" w:hAnsi="Times New Roman" w:cs="Times New Roman"/>
          <w:color w:val="auto"/>
        </w:rPr>
      </w:pPr>
      <w:r>
        <w:rPr>
          <w:rFonts w:hint="default" w:ascii="Times New Roman" w:hAnsi="Times New Roman" w:cs="Times New Roman"/>
          <w:color w:val="auto"/>
        </w:rPr>
        <w:t>Additionally, ethical stewardship requires transparency in communicating model limitations to stakeholders. Predictions should not be used for speculative purposes outside their validated horizon. Regular monitoring for model drift and documenting risk management practices aligns with responsible use of financial technology.</w:t>
      </w:r>
    </w:p>
    <w:p w14:paraId="3B4D22A0">
      <w:pPr>
        <w:spacing w:line="480" w:lineRule="auto"/>
        <w:jc w:val="left"/>
        <w:rPr>
          <w:rFonts w:hint="default" w:ascii="Times New Roman" w:hAnsi="Times New Roman" w:cs="Times New Roman"/>
          <w:b/>
          <w:bCs/>
          <w:color w:val="auto"/>
          <w:sz w:val="28"/>
          <w:szCs w:val="24"/>
          <w:lang w:val="en-IN"/>
        </w:rPr>
      </w:pPr>
      <w:r>
        <w:rPr>
          <w:rFonts w:hint="default" w:ascii="Times New Roman" w:hAnsi="Times New Roman" w:cs="Times New Roman"/>
          <w:b/>
          <w:bCs/>
          <w:color w:val="auto"/>
          <w:sz w:val="28"/>
          <w:szCs w:val="24"/>
        </w:rPr>
        <w:t>Obtain</w:t>
      </w:r>
      <w:r>
        <w:rPr>
          <w:rFonts w:hint="default" w:ascii="Times New Roman" w:hAnsi="Times New Roman" w:cs="Times New Roman"/>
          <w:b/>
          <w:bCs/>
          <w:color w:val="auto"/>
          <w:sz w:val="28"/>
          <w:szCs w:val="24"/>
          <w:lang w:val="en-IN"/>
        </w:rPr>
        <w:t>:</w:t>
      </w:r>
    </w:p>
    <w:p w14:paraId="1D47C3AC">
      <w:pPr>
        <w:spacing w:line="480" w:lineRule="auto"/>
        <w:ind w:firstLine="480" w:firstLineChars="200"/>
        <w:jc w:val="left"/>
        <w:rPr>
          <w:rFonts w:hint="default" w:ascii="Times New Roman" w:hAnsi="Times New Roman" w:cs="Times New Roman"/>
          <w:color w:val="auto"/>
        </w:rPr>
      </w:pPr>
      <w:r>
        <w:rPr>
          <w:rFonts w:hint="default" w:ascii="Times New Roman" w:hAnsi="Times New Roman" w:cs="Times New Roman"/>
          <w:color w:val="auto"/>
        </w:rPr>
        <w:t xml:space="preserve">The dataset was obtained from Kaggle and consists of Apple Inc. historical daily trading values, including open, high, low, close, adjusted close, and volume. Additional derived variables such as returns, moving averages, and volatility were generated during preprocessing. </w:t>
      </w:r>
    </w:p>
    <w:p w14:paraId="2B8F5162">
      <w:pPr>
        <w:spacing w:line="480" w:lineRule="auto"/>
        <w:jc w:val="left"/>
        <w:rPr>
          <w:rFonts w:hint="default" w:ascii="Times New Roman" w:hAnsi="Times New Roman" w:cs="Times New Roman"/>
          <w:color w:val="auto"/>
        </w:rPr>
      </w:pPr>
      <w:r>
        <w:rPr>
          <w:rFonts w:hint="default" w:ascii="Times New Roman" w:hAnsi="Times New Roman" w:cs="Times New Roman"/>
          <w:b w:val="0"/>
          <w:bCs w:val="0"/>
          <w:color w:val="auto"/>
        </w:rPr>
        <w:t>Table</w:t>
      </w:r>
      <w:r>
        <w:rPr>
          <w:rFonts w:hint="default" w:ascii="Times New Roman" w:hAnsi="Times New Roman" w:cs="Times New Roman"/>
          <w:b w:val="0"/>
          <w:bCs w:val="0"/>
          <w:color w:val="auto"/>
          <w:lang w:val="en-IN"/>
        </w:rPr>
        <w:t xml:space="preserve"> 1:</w:t>
      </w:r>
      <w:r>
        <w:rPr>
          <w:rFonts w:hint="default" w:ascii="Times New Roman" w:hAnsi="Times New Roman" w:cs="Times New Roman"/>
          <w:color w:val="auto"/>
        </w:rPr>
        <w:t xml:space="preserve"> shows the data dictionary.</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F64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noWrap w:val="0"/>
            <w:vAlign w:val="top"/>
          </w:tcPr>
          <w:p w14:paraId="02EB8DB5">
            <w:pPr>
              <w:jc w:val="left"/>
              <w:rPr>
                <w:rFonts w:hint="default" w:ascii="Times New Roman" w:hAnsi="Times New Roman" w:cs="Times New Roman"/>
                <w:b/>
                <w:bCs/>
                <w:color w:val="auto"/>
              </w:rPr>
            </w:pPr>
            <w:r>
              <w:rPr>
                <w:rFonts w:hint="default" w:ascii="Times New Roman" w:hAnsi="Times New Roman" w:cs="Times New Roman"/>
                <w:b/>
                <w:bCs/>
                <w:color w:val="auto"/>
              </w:rPr>
              <w:t>Variable</w:t>
            </w:r>
          </w:p>
        </w:tc>
        <w:tc>
          <w:tcPr>
            <w:tcW w:w="2160" w:type="dxa"/>
            <w:noWrap w:val="0"/>
            <w:vAlign w:val="top"/>
          </w:tcPr>
          <w:p w14:paraId="5B4C7C44">
            <w:pPr>
              <w:jc w:val="left"/>
              <w:rPr>
                <w:rFonts w:hint="default" w:ascii="Times New Roman" w:hAnsi="Times New Roman" w:cs="Times New Roman"/>
                <w:b/>
                <w:bCs/>
                <w:color w:val="auto"/>
              </w:rPr>
            </w:pPr>
            <w:r>
              <w:rPr>
                <w:rFonts w:hint="default" w:ascii="Times New Roman" w:hAnsi="Times New Roman" w:cs="Times New Roman"/>
                <w:b/>
                <w:bCs/>
                <w:color w:val="auto"/>
              </w:rPr>
              <w:t>Description</w:t>
            </w:r>
          </w:p>
        </w:tc>
        <w:tc>
          <w:tcPr>
            <w:tcW w:w="2160" w:type="dxa"/>
            <w:noWrap w:val="0"/>
            <w:vAlign w:val="top"/>
          </w:tcPr>
          <w:p w14:paraId="3DB5E8C7">
            <w:pPr>
              <w:jc w:val="left"/>
              <w:rPr>
                <w:rFonts w:hint="default" w:ascii="Times New Roman" w:hAnsi="Times New Roman" w:cs="Times New Roman"/>
                <w:b/>
                <w:bCs/>
                <w:color w:val="auto"/>
              </w:rPr>
            </w:pPr>
            <w:r>
              <w:rPr>
                <w:rFonts w:hint="default" w:ascii="Times New Roman" w:hAnsi="Times New Roman" w:cs="Times New Roman"/>
                <w:b/>
                <w:bCs/>
                <w:color w:val="auto"/>
              </w:rPr>
              <w:t>Type</w:t>
            </w:r>
          </w:p>
        </w:tc>
        <w:tc>
          <w:tcPr>
            <w:tcW w:w="2160" w:type="dxa"/>
            <w:noWrap w:val="0"/>
            <w:vAlign w:val="top"/>
          </w:tcPr>
          <w:p w14:paraId="6C3EE6C3">
            <w:pPr>
              <w:jc w:val="left"/>
              <w:rPr>
                <w:rFonts w:hint="default" w:ascii="Times New Roman" w:hAnsi="Times New Roman" w:cs="Times New Roman"/>
                <w:b/>
                <w:bCs/>
                <w:color w:val="auto"/>
              </w:rPr>
            </w:pPr>
            <w:r>
              <w:rPr>
                <w:rFonts w:hint="default" w:ascii="Times New Roman" w:hAnsi="Times New Roman" w:cs="Times New Roman"/>
                <w:b/>
                <w:bCs/>
                <w:color w:val="auto"/>
              </w:rPr>
              <w:t>Example / Range</w:t>
            </w:r>
          </w:p>
        </w:tc>
      </w:tr>
      <w:tr w14:paraId="78B2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noWrap w:val="0"/>
            <w:vAlign w:val="top"/>
          </w:tcPr>
          <w:p w14:paraId="67A76309">
            <w:pPr>
              <w:jc w:val="left"/>
              <w:rPr>
                <w:rFonts w:hint="default" w:ascii="Times New Roman" w:hAnsi="Times New Roman" w:cs="Times New Roman"/>
                <w:color w:val="auto"/>
              </w:rPr>
            </w:pPr>
            <w:r>
              <w:rPr>
                <w:rFonts w:hint="default" w:ascii="Times New Roman" w:hAnsi="Times New Roman" w:cs="Times New Roman"/>
                <w:color w:val="auto"/>
              </w:rPr>
              <w:t>date</w:t>
            </w:r>
          </w:p>
        </w:tc>
        <w:tc>
          <w:tcPr>
            <w:tcW w:w="2160" w:type="dxa"/>
            <w:noWrap w:val="0"/>
            <w:vAlign w:val="top"/>
          </w:tcPr>
          <w:p w14:paraId="4CF40B3A">
            <w:pPr>
              <w:jc w:val="left"/>
              <w:rPr>
                <w:rFonts w:hint="default" w:ascii="Times New Roman" w:hAnsi="Times New Roman" w:cs="Times New Roman"/>
                <w:color w:val="auto"/>
              </w:rPr>
            </w:pPr>
            <w:r>
              <w:rPr>
                <w:rFonts w:hint="default" w:ascii="Times New Roman" w:hAnsi="Times New Roman" w:cs="Times New Roman"/>
                <w:color w:val="auto"/>
              </w:rPr>
              <w:t>Trading day</w:t>
            </w:r>
          </w:p>
        </w:tc>
        <w:tc>
          <w:tcPr>
            <w:tcW w:w="2160" w:type="dxa"/>
            <w:noWrap w:val="0"/>
            <w:vAlign w:val="top"/>
          </w:tcPr>
          <w:p w14:paraId="68D1C336">
            <w:pPr>
              <w:jc w:val="left"/>
              <w:rPr>
                <w:rFonts w:hint="default" w:ascii="Times New Roman" w:hAnsi="Times New Roman" w:cs="Times New Roman"/>
                <w:color w:val="auto"/>
              </w:rPr>
            </w:pPr>
            <w:r>
              <w:rPr>
                <w:rFonts w:hint="default" w:ascii="Times New Roman" w:hAnsi="Times New Roman" w:cs="Times New Roman"/>
                <w:color w:val="auto"/>
              </w:rPr>
              <w:t>Date</w:t>
            </w:r>
          </w:p>
        </w:tc>
        <w:tc>
          <w:tcPr>
            <w:tcW w:w="2160" w:type="dxa"/>
            <w:noWrap w:val="0"/>
            <w:vAlign w:val="top"/>
          </w:tcPr>
          <w:p w14:paraId="6E24509A">
            <w:pPr>
              <w:jc w:val="left"/>
              <w:rPr>
                <w:rFonts w:hint="default" w:ascii="Times New Roman" w:hAnsi="Times New Roman" w:cs="Times New Roman"/>
                <w:color w:val="auto"/>
              </w:rPr>
            </w:pPr>
            <w:r>
              <w:rPr>
                <w:rFonts w:hint="default" w:ascii="Times New Roman" w:hAnsi="Times New Roman" w:cs="Times New Roman"/>
                <w:color w:val="auto"/>
              </w:rPr>
              <w:t>2020-01-01 ... 2025-01-01</w:t>
            </w:r>
          </w:p>
        </w:tc>
      </w:tr>
      <w:tr w14:paraId="23A0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noWrap w:val="0"/>
            <w:vAlign w:val="top"/>
          </w:tcPr>
          <w:p w14:paraId="68AA2C50">
            <w:pPr>
              <w:jc w:val="left"/>
              <w:rPr>
                <w:rFonts w:hint="default" w:ascii="Times New Roman" w:hAnsi="Times New Roman" w:cs="Times New Roman"/>
                <w:color w:val="auto"/>
              </w:rPr>
            </w:pPr>
            <w:r>
              <w:rPr>
                <w:rFonts w:hint="default" w:ascii="Times New Roman" w:hAnsi="Times New Roman" w:cs="Times New Roman"/>
                <w:color w:val="auto"/>
              </w:rPr>
              <w:t>open</w:t>
            </w:r>
          </w:p>
        </w:tc>
        <w:tc>
          <w:tcPr>
            <w:tcW w:w="2160" w:type="dxa"/>
            <w:noWrap w:val="0"/>
            <w:vAlign w:val="top"/>
          </w:tcPr>
          <w:p w14:paraId="663067CA">
            <w:pPr>
              <w:jc w:val="left"/>
              <w:rPr>
                <w:rFonts w:hint="default" w:ascii="Times New Roman" w:hAnsi="Times New Roman" w:cs="Times New Roman"/>
                <w:color w:val="auto"/>
              </w:rPr>
            </w:pPr>
            <w:r>
              <w:rPr>
                <w:rFonts w:hint="default" w:ascii="Times New Roman" w:hAnsi="Times New Roman" w:cs="Times New Roman"/>
                <w:color w:val="auto"/>
              </w:rPr>
              <w:t>Opening price</w:t>
            </w:r>
          </w:p>
        </w:tc>
        <w:tc>
          <w:tcPr>
            <w:tcW w:w="2160" w:type="dxa"/>
            <w:noWrap w:val="0"/>
            <w:vAlign w:val="top"/>
          </w:tcPr>
          <w:p w14:paraId="7B1D7D61">
            <w:pPr>
              <w:jc w:val="left"/>
              <w:rPr>
                <w:rFonts w:hint="default" w:ascii="Times New Roman" w:hAnsi="Times New Roman" w:cs="Times New Roman"/>
                <w:color w:val="auto"/>
              </w:rPr>
            </w:pPr>
            <w:r>
              <w:rPr>
                <w:rFonts w:hint="default" w:ascii="Times New Roman" w:hAnsi="Times New Roman" w:cs="Times New Roman"/>
                <w:color w:val="auto"/>
              </w:rPr>
              <w:t>Float</w:t>
            </w:r>
          </w:p>
        </w:tc>
        <w:tc>
          <w:tcPr>
            <w:tcW w:w="2160" w:type="dxa"/>
            <w:noWrap w:val="0"/>
            <w:vAlign w:val="top"/>
          </w:tcPr>
          <w:p w14:paraId="34368C88">
            <w:pPr>
              <w:jc w:val="left"/>
              <w:rPr>
                <w:rFonts w:hint="default" w:ascii="Times New Roman" w:hAnsi="Times New Roman" w:cs="Times New Roman"/>
                <w:color w:val="auto"/>
              </w:rPr>
            </w:pPr>
            <w:r>
              <w:rPr>
                <w:rFonts w:hint="default" w:ascii="Times New Roman" w:hAnsi="Times New Roman" w:cs="Times New Roman"/>
                <w:color w:val="auto"/>
              </w:rPr>
              <w:t>75.2 ... 190.6</w:t>
            </w:r>
          </w:p>
        </w:tc>
      </w:tr>
      <w:tr w14:paraId="668B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noWrap w:val="0"/>
            <w:vAlign w:val="top"/>
          </w:tcPr>
          <w:p w14:paraId="3C5D81CD">
            <w:pPr>
              <w:jc w:val="left"/>
              <w:rPr>
                <w:rFonts w:hint="default" w:ascii="Times New Roman" w:hAnsi="Times New Roman" w:cs="Times New Roman"/>
                <w:color w:val="auto"/>
              </w:rPr>
            </w:pPr>
            <w:r>
              <w:rPr>
                <w:rFonts w:hint="default" w:ascii="Times New Roman" w:hAnsi="Times New Roman" w:cs="Times New Roman"/>
                <w:color w:val="auto"/>
              </w:rPr>
              <w:t>high</w:t>
            </w:r>
          </w:p>
        </w:tc>
        <w:tc>
          <w:tcPr>
            <w:tcW w:w="2160" w:type="dxa"/>
            <w:noWrap w:val="0"/>
            <w:vAlign w:val="top"/>
          </w:tcPr>
          <w:p w14:paraId="02F2AB51">
            <w:pPr>
              <w:jc w:val="left"/>
              <w:rPr>
                <w:rFonts w:hint="default" w:ascii="Times New Roman" w:hAnsi="Times New Roman" w:cs="Times New Roman"/>
                <w:color w:val="auto"/>
              </w:rPr>
            </w:pPr>
            <w:r>
              <w:rPr>
                <w:rFonts w:hint="default" w:ascii="Times New Roman" w:hAnsi="Times New Roman" w:cs="Times New Roman"/>
                <w:color w:val="auto"/>
              </w:rPr>
              <w:t>Daily high</w:t>
            </w:r>
          </w:p>
        </w:tc>
        <w:tc>
          <w:tcPr>
            <w:tcW w:w="2160" w:type="dxa"/>
            <w:noWrap w:val="0"/>
            <w:vAlign w:val="top"/>
          </w:tcPr>
          <w:p w14:paraId="72664EF1">
            <w:pPr>
              <w:jc w:val="left"/>
              <w:rPr>
                <w:rFonts w:hint="default" w:ascii="Times New Roman" w:hAnsi="Times New Roman" w:cs="Times New Roman"/>
                <w:color w:val="auto"/>
              </w:rPr>
            </w:pPr>
            <w:r>
              <w:rPr>
                <w:rFonts w:hint="default" w:ascii="Times New Roman" w:hAnsi="Times New Roman" w:cs="Times New Roman"/>
                <w:color w:val="auto"/>
              </w:rPr>
              <w:t>Float</w:t>
            </w:r>
          </w:p>
        </w:tc>
        <w:tc>
          <w:tcPr>
            <w:tcW w:w="2160" w:type="dxa"/>
            <w:noWrap w:val="0"/>
            <w:vAlign w:val="top"/>
          </w:tcPr>
          <w:p w14:paraId="3CCE9E46">
            <w:pPr>
              <w:jc w:val="left"/>
              <w:rPr>
                <w:rFonts w:hint="default" w:ascii="Times New Roman" w:hAnsi="Times New Roman" w:cs="Times New Roman"/>
                <w:color w:val="auto"/>
              </w:rPr>
            </w:pPr>
            <w:r>
              <w:rPr>
                <w:rFonts w:hint="default" w:ascii="Times New Roman" w:hAnsi="Times New Roman" w:cs="Times New Roman"/>
                <w:color w:val="auto"/>
              </w:rPr>
              <w:t>76.1 ... 192.3</w:t>
            </w:r>
          </w:p>
        </w:tc>
      </w:tr>
      <w:tr w14:paraId="3363B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noWrap w:val="0"/>
            <w:vAlign w:val="top"/>
          </w:tcPr>
          <w:p w14:paraId="04E3791A">
            <w:pPr>
              <w:jc w:val="left"/>
              <w:rPr>
                <w:rFonts w:hint="default" w:ascii="Times New Roman" w:hAnsi="Times New Roman" w:cs="Times New Roman"/>
                <w:color w:val="auto"/>
              </w:rPr>
            </w:pPr>
            <w:r>
              <w:rPr>
                <w:rFonts w:hint="default" w:ascii="Times New Roman" w:hAnsi="Times New Roman" w:cs="Times New Roman"/>
                <w:color w:val="auto"/>
              </w:rPr>
              <w:t>low</w:t>
            </w:r>
          </w:p>
        </w:tc>
        <w:tc>
          <w:tcPr>
            <w:tcW w:w="2160" w:type="dxa"/>
            <w:noWrap w:val="0"/>
            <w:vAlign w:val="top"/>
          </w:tcPr>
          <w:p w14:paraId="603EAFB1">
            <w:pPr>
              <w:jc w:val="left"/>
              <w:rPr>
                <w:rFonts w:hint="default" w:ascii="Times New Roman" w:hAnsi="Times New Roman" w:cs="Times New Roman"/>
                <w:color w:val="auto"/>
              </w:rPr>
            </w:pPr>
            <w:r>
              <w:rPr>
                <w:rFonts w:hint="default" w:ascii="Times New Roman" w:hAnsi="Times New Roman" w:cs="Times New Roman"/>
                <w:color w:val="auto"/>
              </w:rPr>
              <w:t>Daily low</w:t>
            </w:r>
          </w:p>
        </w:tc>
        <w:tc>
          <w:tcPr>
            <w:tcW w:w="2160" w:type="dxa"/>
            <w:noWrap w:val="0"/>
            <w:vAlign w:val="top"/>
          </w:tcPr>
          <w:p w14:paraId="56F66D71">
            <w:pPr>
              <w:jc w:val="left"/>
              <w:rPr>
                <w:rFonts w:hint="default" w:ascii="Times New Roman" w:hAnsi="Times New Roman" w:cs="Times New Roman"/>
                <w:color w:val="auto"/>
              </w:rPr>
            </w:pPr>
            <w:r>
              <w:rPr>
                <w:rFonts w:hint="default" w:ascii="Times New Roman" w:hAnsi="Times New Roman" w:cs="Times New Roman"/>
                <w:color w:val="auto"/>
              </w:rPr>
              <w:t>Float</w:t>
            </w:r>
          </w:p>
        </w:tc>
        <w:tc>
          <w:tcPr>
            <w:tcW w:w="2160" w:type="dxa"/>
            <w:noWrap w:val="0"/>
            <w:vAlign w:val="top"/>
          </w:tcPr>
          <w:p w14:paraId="464A0CBB">
            <w:pPr>
              <w:jc w:val="left"/>
              <w:rPr>
                <w:rFonts w:hint="default" w:ascii="Times New Roman" w:hAnsi="Times New Roman" w:cs="Times New Roman"/>
                <w:color w:val="auto"/>
              </w:rPr>
            </w:pPr>
            <w:r>
              <w:rPr>
                <w:rFonts w:hint="default" w:ascii="Times New Roman" w:hAnsi="Times New Roman" w:cs="Times New Roman"/>
                <w:color w:val="auto"/>
              </w:rPr>
              <w:t>74.9 ... 187.8</w:t>
            </w:r>
          </w:p>
        </w:tc>
      </w:tr>
      <w:tr w14:paraId="7F2DA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noWrap w:val="0"/>
            <w:vAlign w:val="top"/>
          </w:tcPr>
          <w:p w14:paraId="2E949421">
            <w:pPr>
              <w:jc w:val="left"/>
              <w:rPr>
                <w:rFonts w:hint="default" w:ascii="Times New Roman" w:hAnsi="Times New Roman" w:cs="Times New Roman"/>
                <w:color w:val="auto"/>
              </w:rPr>
            </w:pPr>
            <w:r>
              <w:rPr>
                <w:rFonts w:hint="default" w:ascii="Times New Roman" w:hAnsi="Times New Roman" w:cs="Times New Roman"/>
                <w:color w:val="auto"/>
              </w:rPr>
              <w:t>close</w:t>
            </w:r>
          </w:p>
        </w:tc>
        <w:tc>
          <w:tcPr>
            <w:tcW w:w="2160" w:type="dxa"/>
            <w:noWrap w:val="0"/>
            <w:vAlign w:val="top"/>
          </w:tcPr>
          <w:p w14:paraId="2112DBD8">
            <w:pPr>
              <w:jc w:val="left"/>
              <w:rPr>
                <w:rFonts w:hint="default" w:ascii="Times New Roman" w:hAnsi="Times New Roman" w:cs="Times New Roman"/>
                <w:color w:val="auto"/>
              </w:rPr>
            </w:pPr>
            <w:r>
              <w:rPr>
                <w:rFonts w:hint="default" w:ascii="Times New Roman" w:hAnsi="Times New Roman" w:cs="Times New Roman"/>
                <w:color w:val="auto"/>
              </w:rPr>
              <w:t>Closing price</w:t>
            </w:r>
          </w:p>
        </w:tc>
        <w:tc>
          <w:tcPr>
            <w:tcW w:w="2160" w:type="dxa"/>
            <w:noWrap w:val="0"/>
            <w:vAlign w:val="top"/>
          </w:tcPr>
          <w:p w14:paraId="15B44A0D">
            <w:pPr>
              <w:jc w:val="left"/>
              <w:rPr>
                <w:rFonts w:hint="default" w:ascii="Times New Roman" w:hAnsi="Times New Roman" w:cs="Times New Roman"/>
                <w:color w:val="auto"/>
              </w:rPr>
            </w:pPr>
            <w:r>
              <w:rPr>
                <w:rFonts w:hint="default" w:ascii="Times New Roman" w:hAnsi="Times New Roman" w:cs="Times New Roman"/>
                <w:color w:val="auto"/>
              </w:rPr>
              <w:t>Float</w:t>
            </w:r>
          </w:p>
        </w:tc>
        <w:tc>
          <w:tcPr>
            <w:tcW w:w="2160" w:type="dxa"/>
            <w:noWrap w:val="0"/>
            <w:vAlign w:val="top"/>
          </w:tcPr>
          <w:p w14:paraId="21FD8096">
            <w:pPr>
              <w:jc w:val="left"/>
              <w:rPr>
                <w:rFonts w:hint="default" w:ascii="Times New Roman" w:hAnsi="Times New Roman" w:cs="Times New Roman"/>
                <w:color w:val="auto"/>
              </w:rPr>
            </w:pPr>
            <w:r>
              <w:rPr>
                <w:rFonts w:hint="default" w:ascii="Times New Roman" w:hAnsi="Times New Roman" w:cs="Times New Roman"/>
                <w:color w:val="auto"/>
              </w:rPr>
              <w:t>75.1 ... 190.0</w:t>
            </w:r>
          </w:p>
        </w:tc>
      </w:tr>
      <w:tr w14:paraId="43982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noWrap w:val="0"/>
            <w:vAlign w:val="top"/>
          </w:tcPr>
          <w:p w14:paraId="058EF207">
            <w:pPr>
              <w:jc w:val="left"/>
              <w:rPr>
                <w:rFonts w:hint="default" w:ascii="Times New Roman" w:hAnsi="Times New Roman" w:cs="Times New Roman"/>
                <w:color w:val="auto"/>
              </w:rPr>
            </w:pPr>
            <w:r>
              <w:rPr>
                <w:rFonts w:hint="default" w:ascii="Times New Roman" w:hAnsi="Times New Roman" w:cs="Times New Roman"/>
                <w:color w:val="auto"/>
              </w:rPr>
              <w:t>adj close</w:t>
            </w:r>
          </w:p>
        </w:tc>
        <w:tc>
          <w:tcPr>
            <w:tcW w:w="2160" w:type="dxa"/>
            <w:noWrap w:val="0"/>
            <w:vAlign w:val="top"/>
          </w:tcPr>
          <w:p w14:paraId="6A660C8E">
            <w:pPr>
              <w:jc w:val="left"/>
              <w:rPr>
                <w:rFonts w:hint="default" w:ascii="Times New Roman" w:hAnsi="Times New Roman" w:cs="Times New Roman"/>
                <w:color w:val="auto"/>
              </w:rPr>
            </w:pPr>
            <w:r>
              <w:rPr>
                <w:rFonts w:hint="default" w:ascii="Times New Roman" w:hAnsi="Times New Roman" w:cs="Times New Roman"/>
                <w:color w:val="auto"/>
              </w:rPr>
              <w:t>Adjusted close</w:t>
            </w:r>
          </w:p>
        </w:tc>
        <w:tc>
          <w:tcPr>
            <w:tcW w:w="2160" w:type="dxa"/>
            <w:noWrap w:val="0"/>
            <w:vAlign w:val="top"/>
          </w:tcPr>
          <w:p w14:paraId="62AEF015">
            <w:pPr>
              <w:jc w:val="left"/>
              <w:rPr>
                <w:rFonts w:hint="default" w:ascii="Times New Roman" w:hAnsi="Times New Roman" w:cs="Times New Roman"/>
                <w:color w:val="auto"/>
              </w:rPr>
            </w:pPr>
            <w:r>
              <w:rPr>
                <w:rFonts w:hint="default" w:ascii="Times New Roman" w:hAnsi="Times New Roman" w:cs="Times New Roman"/>
                <w:color w:val="auto"/>
              </w:rPr>
              <w:t>Float</w:t>
            </w:r>
          </w:p>
        </w:tc>
        <w:tc>
          <w:tcPr>
            <w:tcW w:w="2160" w:type="dxa"/>
            <w:noWrap w:val="0"/>
            <w:vAlign w:val="top"/>
          </w:tcPr>
          <w:p w14:paraId="3B780B95">
            <w:pPr>
              <w:jc w:val="left"/>
              <w:rPr>
                <w:rFonts w:hint="default" w:ascii="Times New Roman" w:hAnsi="Times New Roman" w:cs="Times New Roman"/>
                <w:color w:val="auto"/>
              </w:rPr>
            </w:pPr>
            <w:r>
              <w:rPr>
                <w:rFonts w:hint="default" w:ascii="Times New Roman" w:hAnsi="Times New Roman" w:cs="Times New Roman"/>
                <w:color w:val="auto"/>
              </w:rPr>
              <w:t>75.1 ... 190.0</w:t>
            </w:r>
          </w:p>
        </w:tc>
      </w:tr>
      <w:tr w14:paraId="2488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noWrap w:val="0"/>
            <w:vAlign w:val="top"/>
          </w:tcPr>
          <w:p w14:paraId="1F19FF6B">
            <w:pPr>
              <w:jc w:val="left"/>
              <w:rPr>
                <w:rFonts w:hint="default" w:ascii="Times New Roman" w:hAnsi="Times New Roman" w:cs="Times New Roman"/>
                <w:color w:val="auto"/>
              </w:rPr>
            </w:pPr>
            <w:r>
              <w:rPr>
                <w:rFonts w:hint="default" w:ascii="Times New Roman" w:hAnsi="Times New Roman" w:cs="Times New Roman"/>
                <w:color w:val="auto"/>
              </w:rPr>
              <w:t>volume</w:t>
            </w:r>
          </w:p>
        </w:tc>
        <w:tc>
          <w:tcPr>
            <w:tcW w:w="2160" w:type="dxa"/>
            <w:noWrap w:val="0"/>
            <w:vAlign w:val="top"/>
          </w:tcPr>
          <w:p w14:paraId="72D5C8A0">
            <w:pPr>
              <w:jc w:val="left"/>
              <w:rPr>
                <w:rFonts w:hint="default" w:ascii="Times New Roman" w:hAnsi="Times New Roman" w:cs="Times New Roman"/>
                <w:color w:val="auto"/>
              </w:rPr>
            </w:pPr>
            <w:r>
              <w:rPr>
                <w:rFonts w:hint="default" w:ascii="Times New Roman" w:hAnsi="Times New Roman" w:cs="Times New Roman"/>
                <w:color w:val="auto"/>
              </w:rPr>
              <w:t>Shares traded</w:t>
            </w:r>
          </w:p>
        </w:tc>
        <w:tc>
          <w:tcPr>
            <w:tcW w:w="2160" w:type="dxa"/>
            <w:noWrap w:val="0"/>
            <w:vAlign w:val="top"/>
          </w:tcPr>
          <w:p w14:paraId="5EDFE8D5">
            <w:pPr>
              <w:jc w:val="left"/>
              <w:rPr>
                <w:rFonts w:hint="default" w:ascii="Times New Roman" w:hAnsi="Times New Roman" w:cs="Times New Roman"/>
                <w:color w:val="auto"/>
              </w:rPr>
            </w:pPr>
            <w:r>
              <w:rPr>
                <w:rFonts w:hint="default" w:ascii="Times New Roman" w:hAnsi="Times New Roman" w:cs="Times New Roman"/>
                <w:color w:val="auto"/>
              </w:rPr>
              <w:t>Integer</w:t>
            </w:r>
          </w:p>
        </w:tc>
        <w:tc>
          <w:tcPr>
            <w:tcW w:w="2160" w:type="dxa"/>
            <w:noWrap w:val="0"/>
            <w:vAlign w:val="top"/>
          </w:tcPr>
          <w:p w14:paraId="5813B491">
            <w:pPr>
              <w:jc w:val="left"/>
              <w:rPr>
                <w:rFonts w:hint="default" w:ascii="Times New Roman" w:hAnsi="Times New Roman" w:cs="Times New Roman"/>
                <w:color w:val="auto"/>
              </w:rPr>
            </w:pPr>
            <w:r>
              <w:rPr>
                <w:rFonts w:hint="default" w:ascii="Times New Roman" w:hAnsi="Times New Roman" w:cs="Times New Roman"/>
                <w:color w:val="auto"/>
              </w:rPr>
              <w:t>1,000,000 ... 150,000,000</w:t>
            </w:r>
          </w:p>
        </w:tc>
      </w:tr>
      <w:tr w14:paraId="14249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noWrap w:val="0"/>
            <w:vAlign w:val="top"/>
          </w:tcPr>
          <w:p w14:paraId="6BDFE94F">
            <w:pPr>
              <w:jc w:val="left"/>
              <w:rPr>
                <w:rFonts w:hint="default" w:ascii="Times New Roman" w:hAnsi="Times New Roman" w:cs="Times New Roman"/>
                <w:color w:val="auto"/>
              </w:rPr>
            </w:pPr>
            <w:r>
              <w:rPr>
                <w:rFonts w:hint="default" w:ascii="Times New Roman" w:hAnsi="Times New Roman" w:cs="Times New Roman"/>
                <w:color w:val="auto"/>
              </w:rPr>
              <w:t>return</w:t>
            </w:r>
          </w:p>
        </w:tc>
        <w:tc>
          <w:tcPr>
            <w:tcW w:w="2160" w:type="dxa"/>
            <w:noWrap w:val="0"/>
            <w:vAlign w:val="top"/>
          </w:tcPr>
          <w:p w14:paraId="791A56BC">
            <w:pPr>
              <w:jc w:val="left"/>
              <w:rPr>
                <w:rFonts w:hint="default" w:ascii="Times New Roman" w:hAnsi="Times New Roman" w:cs="Times New Roman"/>
                <w:color w:val="auto"/>
              </w:rPr>
            </w:pPr>
            <w:r>
              <w:rPr>
                <w:rFonts w:hint="default" w:ascii="Times New Roman" w:hAnsi="Times New Roman" w:cs="Times New Roman"/>
                <w:color w:val="auto"/>
              </w:rPr>
              <w:t>Daily return</w:t>
            </w:r>
          </w:p>
        </w:tc>
        <w:tc>
          <w:tcPr>
            <w:tcW w:w="2160" w:type="dxa"/>
            <w:noWrap w:val="0"/>
            <w:vAlign w:val="top"/>
          </w:tcPr>
          <w:p w14:paraId="1C85F645">
            <w:pPr>
              <w:jc w:val="left"/>
              <w:rPr>
                <w:rFonts w:hint="default" w:ascii="Times New Roman" w:hAnsi="Times New Roman" w:cs="Times New Roman"/>
                <w:color w:val="auto"/>
              </w:rPr>
            </w:pPr>
            <w:r>
              <w:rPr>
                <w:rFonts w:hint="default" w:ascii="Times New Roman" w:hAnsi="Times New Roman" w:cs="Times New Roman"/>
                <w:color w:val="auto"/>
              </w:rPr>
              <w:t>Float</w:t>
            </w:r>
          </w:p>
        </w:tc>
        <w:tc>
          <w:tcPr>
            <w:tcW w:w="2160" w:type="dxa"/>
            <w:noWrap w:val="0"/>
            <w:vAlign w:val="top"/>
          </w:tcPr>
          <w:p w14:paraId="1CCFF0E4">
            <w:pPr>
              <w:jc w:val="left"/>
              <w:rPr>
                <w:rFonts w:hint="default" w:ascii="Times New Roman" w:hAnsi="Times New Roman" w:cs="Times New Roman"/>
                <w:color w:val="auto"/>
              </w:rPr>
            </w:pPr>
            <w:r>
              <w:rPr>
                <w:rFonts w:hint="default" w:ascii="Times New Roman" w:hAnsi="Times New Roman" w:cs="Times New Roman"/>
                <w:color w:val="auto"/>
              </w:rPr>
              <w:t>-0.08 ... 0.09</w:t>
            </w:r>
          </w:p>
        </w:tc>
      </w:tr>
      <w:tr w14:paraId="03948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noWrap w:val="0"/>
            <w:vAlign w:val="top"/>
          </w:tcPr>
          <w:p w14:paraId="1F95C5AA">
            <w:pPr>
              <w:jc w:val="left"/>
              <w:rPr>
                <w:rFonts w:hint="default" w:ascii="Times New Roman" w:hAnsi="Times New Roman" w:cs="Times New Roman"/>
                <w:color w:val="auto"/>
              </w:rPr>
            </w:pPr>
            <w:r>
              <w:rPr>
                <w:rFonts w:hint="default" w:ascii="Times New Roman" w:hAnsi="Times New Roman" w:cs="Times New Roman"/>
                <w:color w:val="auto"/>
              </w:rPr>
              <w:t>log_return</w:t>
            </w:r>
          </w:p>
        </w:tc>
        <w:tc>
          <w:tcPr>
            <w:tcW w:w="2160" w:type="dxa"/>
            <w:noWrap w:val="0"/>
            <w:vAlign w:val="top"/>
          </w:tcPr>
          <w:p w14:paraId="77A908F1">
            <w:pPr>
              <w:jc w:val="left"/>
              <w:rPr>
                <w:rFonts w:hint="default" w:ascii="Times New Roman" w:hAnsi="Times New Roman" w:cs="Times New Roman"/>
                <w:color w:val="auto"/>
              </w:rPr>
            </w:pPr>
            <w:r>
              <w:rPr>
                <w:rFonts w:hint="default" w:ascii="Times New Roman" w:hAnsi="Times New Roman" w:cs="Times New Roman"/>
                <w:color w:val="auto"/>
              </w:rPr>
              <w:t>Log daily return</w:t>
            </w:r>
          </w:p>
        </w:tc>
        <w:tc>
          <w:tcPr>
            <w:tcW w:w="2160" w:type="dxa"/>
            <w:noWrap w:val="0"/>
            <w:vAlign w:val="top"/>
          </w:tcPr>
          <w:p w14:paraId="293FCF60">
            <w:pPr>
              <w:jc w:val="left"/>
              <w:rPr>
                <w:rFonts w:hint="default" w:ascii="Times New Roman" w:hAnsi="Times New Roman" w:cs="Times New Roman"/>
                <w:color w:val="auto"/>
              </w:rPr>
            </w:pPr>
            <w:r>
              <w:rPr>
                <w:rFonts w:hint="default" w:ascii="Times New Roman" w:hAnsi="Times New Roman" w:cs="Times New Roman"/>
                <w:color w:val="auto"/>
              </w:rPr>
              <w:t>Float</w:t>
            </w:r>
          </w:p>
        </w:tc>
        <w:tc>
          <w:tcPr>
            <w:tcW w:w="2160" w:type="dxa"/>
            <w:noWrap w:val="0"/>
            <w:vAlign w:val="top"/>
          </w:tcPr>
          <w:p w14:paraId="2AEFAF0F">
            <w:pPr>
              <w:jc w:val="left"/>
              <w:rPr>
                <w:rFonts w:hint="default" w:ascii="Times New Roman" w:hAnsi="Times New Roman" w:cs="Times New Roman"/>
                <w:color w:val="auto"/>
              </w:rPr>
            </w:pPr>
            <w:r>
              <w:rPr>
                <w:rFonts w:hint="default" w:ascii="Times New Roman" w:hAnsi="Times New Roman" w:cs="Times New Roman"/>
                <w:color w:val="auto"/>
              </w:rPr>
              <w:t>-0.12 ... 0.11</w:t>
            </w:r>
          </w:p>
        </w:tc>
      </w:tr>
      <w:tr w14:paraId="0356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noWrap w:val="0"/>
            <w:vAlign w:val="top"/>
          </w:tcPr>
          <w:p w14:paraId="63D5829D">
            <w:pPr>
              <w:jc w:val="left"/>
              <w:rPr>
                <w:rFonts w:hint="default" w:ascii="Times New Roman" w:hAnsi="Times New Roman" w:cs="Times New Roman"/>
                <w:color w:val="auto"/>
              </w:rPr>
            </w:pPr>
            <w:r>
              <w:rPr>
                <w:rFonts w:hint="default" w:ascii="Times New Roman" w:hAnsi="Times New Roman" w:cs="Times New Roman"/>
                <w:color w:val="auto"/>
              </w:rPr>
              <w:t>ma_5</w:t>
            </w:r>
          </w:p>
        </w:tc>
        <w:tc>
          <w:tcPr>
            <w:tcW w:w="2160" w:type="dxa"/>
            <w:noWrap w:val="0"/>
            <w:vAlign w:val="top"/>
          </w:tcPr>
          <w:p w14:paraId="087FCE2B">
            <w:pPr>
              <w:jc w:val="left"/>
              <w:rPr>
                <w:rFonts w:hint="default" w:ascii="Times New Roman" w:hAnsi="Times New Roman" w:cs="Times New Roman"/>
                <w:color w:val="auto"/>
              </w:rPr>
            </w:pPr>
            <w:r>
              <w:rPr>
                <w:rFonts w:hint="default" w:ascii="Times New Roman" w:hAnsi="Times New Roman" w:cs="Times New Roman"/>
                <w:color w:val="auto"/>
              </w:rPr>
              <w:t>5-day moving average</w:t>
            </w:r>
          </w:p>
        </w:tc>
        <w:tc>
          <w:tcPr>
            <w:tcW w:w="2160" w:type="dxa"/>
            <w:noWrap w:val="0"/>
            <w:vAlign w:val="top"/>
          </w:tcPr>
          <w:p w14:paraId="49973EFA">
            <w:pPr>
              <w:jc w:val="left"/>
              <w:rPr>
                <w:rFonts w:hint="default" w:ascii="Times New Roman" w:hAnsi="Times New Roman" w:cs="Times New Roman"/>
                <w:color w:val="auto"/>
              </w:rPr>
            </w:pPr>
            <w:r>
              <w:rPr>
                <w:rFonts w:hint="default" w:ascii="Times New Roman" w:hAnsi="Times New Roman" w:cs="Times New Roman"/>
                <w:color w:val="auto"/>
              </w:rPr>
              <w:t>Float</w:t>
            </w:r>
          </w:p>
        </w:tc>
        <w:tc>
          <w:tcPr>
            <w:tcW w:w="2160" w:type="dxa"/>
            <w:noWrap w:val="0"/>
            <w:vAlign w:val="top"/>
          </w:tcPr>
          <w:p w14:paraId="53B6AACD">
            <w:pPr>
              <w:jc w:val="left"/>
              <w:rPr>
                <w:rFonts w:hint="default" w:ascii="Times New Roman" w:hAnsi="Times New Roman" w:cs="Times New Roman"/>
                <w:color w:val="auto"/>
              </w:rPr>
            </w:pPr>
            <w:r>
              <w:rPr>
                <w:rFonts w:hint="default" w:ascii="Times New Roman" w:hAnsi="Times New Roman" w:cs="Times New Roman"/>
                <w:color w:val="auto"/>
              </w:rPr>
              <w:t>...</w:t>
            </w:r>
          </w:p>
        </w:tc>
      </w:tr>
      <w:tr w14:paraId="5095C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noWrap w:val="0"/>
            <w:vAlign w:val="top"/>
          </w:tcPr>
          <w:p w14:paraId="3532E8BA">
            <w:pPr>
              <w:jc w:val="left"/>
              <w:rPr>
                <w:rFonts w:hint="default" w:ascii="Times New Roman" w:hAnsi="Times New Roman" w:cs="Times New Roman"/>
                <w:color w:val="auto"/>
              </w:rPr>
            </w:pPr>
            <w:r>
              <w:rPr>
                <w:rFonts w:hint="default" w:ascii="Times New Roman" w:hAnsi="Times New Roman" w:cs="Times New Roman"/>
                <w:color w:val="auto"/>
              </w:rPr>
              <w:t>ma_20</w:t>
            </w:r>
          </w:p>
        </w:tc>
        <w:tc>
          <w:tcPr>
            <w:tcW w:w="2160" w:type="dxa"/>
            <w:noWrap w:val="0"/>
            <w:vAlign w:val="top"/>
          </w:tcPr>
          <w:p w14:paraId="6A5BCE56">
            <w:pPr>
              <w:jc w:val="left"/>
              <w:rPr>
                <w:rFonts w:hint="default" w:ascii="Times New Roman" w:hAnsi="Times New Roman" w:cs="Times New Roman"/>
                <w:color w:val="auto"/>
              </w:rPr>
            </w:pPr>
            <w:r>
              <w:rPr>
                <w:rFonts w:hint="default" w:ascii="Times New Roman" w:hAnsi="Times New Roman" w:cs="Times New Roman"/>
                <w:color w:val="auto"/>
              </w:rPr>
              <w:t>20-day moving average</w:t>
            </w:r>
          </w:p>
        </w:tc>
        <w:tc>
          <w:tcPr>
            <w:tcW w:w="2160" w:type="dxa"/>
            <w:noWrap w:val="0"/>
            <w:vAlign w:val="top"/>
          </w:tcPr>
          <w:p w14:paraId="6163117C">
            <w:pPr>
              <w:jc w:val="left"/>
              <w:rPr>
                <w:rFonts w:hint="default" w:ascii="Times New Roman" w:hAnsi="Times New Roman" w:cs="Times New Roman"/>
                <w:color w:val="auto"/>
              </w:rPr>
            </w:pPr>
            <w:r>
              <w:rPr>
                <w:rFonts w:hint="default" w:ascii="Times New Roman" w:hAnsi="Times New Roman" w:cs="Times New Roman"/>
                <w:color w:val="auto"/>
              </w:rPr>
              <w:t>Float</w:t>
            </w:r>
          </w:p>
        </w:tc>
        <w:tc>
          <w:tcPr>
            <w:tcW w:w="2160" w:type="dxa"/>
            <w:noWrap w:val="0"/>
            <w:vAlign w:val="top"/>
          </w:tcPr>
          <w:p w14:paraId="43E931D0">
            <w:pPr>
              <w:jc w:val="left"/>
              <w:rPr>
                <w:rFonts w:hint="default" w:ascii="Times New Roman" w:hAnsi="Times New Roman" w:cs="Times New Roman"/>
                <w:color w:val="auto"/>
              </w:rPr>
            </w:pPr>
            <w:r>
              <w:rPr>
                <w:rFonts w:hint="default" w:ascii="Times New Roman" w:hAnsi="Times New Roman" w:cs="Times New Roman"/>
                <w:color w:val="auto"/>
              </w:rPr>
              <w:t>...</w:t>
            </w:r>
          </w:p>
        </w:tc>
      </w:tr>
      <w:tr w14:paraId="165AE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noWrap w:val="0"/>
            <w:vAlign w:val="top"/>
          </w:tcPr>
          <w:p w14:paraId="0C5AE3E1">
            <w:pPr>
              <w:jc w:val="left"/>
              <w:rPr>
                <w:rFonts w:hint="default" w:ascii="Times New Roman" w:hAnsi="Times New Roman" w:cs="Times New Roman"/>
                <w:color w:val="auto"/>
              </w:rPr>
            </w:pPr>
            <w:r>
              <w:rPr>
                <w:rFonts w:hint="default" w:ascii="Times New Roman" w:hAnsi="Times New Roman" w:cs="Times New Roman"/>
                <w:color w:val="auto"/>
              </w:rPr>
              <w:t>rolling_vol_20</w:t>
            </w:r>
          </w:p>
        </w:tc>
        <w:tc>
          <w:tcPr>
            <w:tcW w:w="2160" w:type="dxa"/>
            <w:noWrap w:val="0"/>
            <w:vAlign w:val="top"/>
          </w:tcPr>
          <w:p w14:paraId="117F35EA">
            <w:pPr>
              <w:jc w:val="left"/>
              <w:rPr>
                <w:rFonts w:hint="default" w:ascii="Times New Roman" w:hAnsi="Times New Roman" w:cs="Times New Roman"/>
                <w:color w:val="auto"/>
              </w:rPr>
            </w:pPr>
            <w:r>
              <w:rPr>
                <w:rFonts w:hint="default" w:ascii="Times New Roman" w:hAnsi="Times New Roman" w:cs="Times New Roman"/>
                <w:color w:val="auto"/>
              </w:rPr>
              <w:t>20-day rolling volatility</w:t>
            </w:r>
          </w:p>
        </w:tc>
        <w:tc>
          <w:tcPr>
            <w:tcW w:w="2160" w:type="dxa"/>
            <w:noWrap w:val="0"/>
            <w:vAlign w:val="top"/>
          </w:tcPr>
          <w:p w14:paraId="7152C272">
            <w:pPr>
              <w:jc w:val="left"/>
              <w:rPr>
                <w:rFonts w:hint="default" w:ascii="Times New Roman" w:hAnsi="Times New Roman" w:cs="Times New Roman"/>
                <w:color w:val="auto"/>
              </w:rPr>
            </w:pPr>
            <w:r>
              <w:rPr>
                <w:rFonts w:hint="default" w:ascii="Times New Roman" w:hAnsi="Times New Roman" w:cs="Times New Roman"/>
                <w:color w:val="auto"/>
              </w:rPr>
              <w:t>Float</w:t>
            </w:r>
          </w:p>
        </w:tc>
        <w:tc>
          <w:tcPr>
            <w:tcW w:w="2160" w:type="dxa"/>
            <w:noWrap w:val="0"/>
            <w:vAlign w:val="top"/>
          </w:tcPr>
          <w:p w14:paraId="624D452E">
            <w:pPr>
              <w:jc w:val="left"/>
              <w:rPr>
                <w:rFonts w:hint="default" w:ascii="Times New Roman" w:hAnsi="Times New Roman" w:cs="Times New Roman"/>
                <w:color w:val="auto"/>
              </w:rPr>
            </w:pPr>
            <w:r>
              <w:rPr>
                <w:rFonts w:hint="default" w:ascii="Times New Roman" w:hAnsi="Times New Roman" w:cs="Times New Roman"/>
                <w:color w:val="auto"/>
              </w:rPr>
              <w:t>0.1 ... 0.6</w:t>
            </w:r>
          </w:p>
        </w:tc>
      </w:tr>
    </w:tbl>
    <w:p w14:paraId="641D6094">
      <w:pPr>
        <w:pStyle w:val="2"/>
        <w:spacing w:line="480" w:lineRule="auto"/>
        <w:jc w:val="left"/>
        <w:rPr>
          <w:rFonts w:hint="default" w:ascii="Times New Roman" w:hAnsi="Times New Roman" w:cs="Times New Roman"/>
          <w:color w:val="auto"/>
          <w:lang w:val="en-IN"/>
        </w:rPr>
      </w:pPr>
      <w:r>
        <w:rPr>
          <w:rFonts w:hint="default" w:ascii="Times New Roman" w:hAnsi="Times New Roman" w:cs="Times New Roman"/>
          <w:color w:val="auto"/>
        </w:rPr>
        <w:t>Scrub</w:t>
      </w:r>
      <w:r>
        <w:rPr>
          <w:rFonts w:hint="default" w:ascii="Times New Roman" w:hAnsi="Times New Roman" w:cs="Times New Roman"/>
          <w:color w:val="auto"/>
          <w:lang w:val="en-IN"/>
        </w:rPr>
        <w:t>:</w:t>
      </w:r>
    </w:p>
    <w:p w14:paraId="7CEEC54C">
      <w:pPr>
        <w:spacing w:line="480" w:lineRule="auto"/>
        <w:ind w:firstLine="480" w:firstLineChars="200"/>
        <w:jc w:val="left"/>
        <w:rPr>
          <w:rFonts w:hint="default" w:ascii="Times New Roman" w:hAnsi="Times New Roman" w:cs="Times New Roman"/>
          <w:color w:val="auto"/>
          <w:lang w:val="en-IN"/>
        </w:rPr>
      </w:pPr>
      <w:r>
        <w:rPr>
          <w:rFonts w:hint="default" w:ascii="Times New Roman" w:hAnsi="Times New Roman" w:cs="Times New Roman"/>
          <w:color w:val="auto"/>
        </w:rPr>
        <w:t xml:space="preserve">Data scrubbing was essential to ensure consistency. Missing values were forward and backward filled, duplicate entries were removed, and outliers were flagged. New variables such as moving averages and volatility were created to capture trends and risk. </w:t>
      </w:r>
      <w:r>
        <w:rPr>
          <w:rFonts w:hint="default" w:ascii="Times New Roman" w:hAnsi="Times New Roman" w:cs="Times New Roman"/>
          <w:color w:val="auto"/>
          <w:lang w:val="en-IN"/>
        </w:rPr>
        <w:t xml:space="preserve">                </w:t>
      </w:r>
    </w:p>
    <w:p w14:paraId="752F93F1">
      <w:pPr>
        <w:spacing w:line="480" w:lineRule="auto"/>
        <w:ind w:firstLine="480" w:firstLineChars="200"/>
        <w:jc w:val="left"/>
        <w:rPr>
          <w:rFonts w:hint="default" w:ascii="Times New Roman" w:hAnsi="Times New Roman" w:cs="Times New Roman"/>
          <w:color w:val="auto"/>
        </w:rPr>
      </w:pPr>
      <w:r>
        <w:rPr>
          <w:rFonts w:hint="default" w:ascii="Times New Roman" w:hAnsi="Times New Roman" w:cs="Times New Roman"/>
          <w:color w:val="auto"/>
          <w:lang w:val="en-IN"/>
        </w:rPr>
        <w:t xml:space="preserve">The figures </w:t>
      </w:r>
      <w:r>
        <w:rPr>
          <w:rFonts w:hint="default" w:ascii="Times New Roman" w:hAnsi="Times New Roman" w:cs="Times New Roman"/>
          <w:color w:val="auto"/>
        </w:rPr>
        <w:t>below show sample preprocessing steps. This visualization not only highlights numerical patterns but also provides business implications. For example, traders might interpret these signals as indicators of volatility clusters or momentum shifts. Such interpretations are crucial for aligning quantitative analysis with real-world investment decisions.</w:t>
      </w:r>
    </w:p>
    <w:p w14:paraId="73901E3C">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2469515"/>
            <wp:effectExtent l="0" t="0" r="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029200" cy="2469515"/>
                    </a:xfrm>
                    <a:prstGeom prst="rect">
                      <a:avLst/>
                    </a:prstGeom>
                    <a:noFill/>
                    <a:ln>
                      <a:noFill/>
                    </a:ln>
                  </pic:spPr>
                </pic:pic>
              </a:graphicData>
            </a:graphic>
          </wp:inline>
        </w:drawing>
      </w:r>
    </w:p>
    <w:p w14:paraId="7FEB4B9E">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318135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029200" cy="3181350"/>
                    </a:xfrm>
                    <a:prstGeom prst="rect">
                      <a:avLst/>
                    </a:prstGeom>
                    <a:noFill/>
                    <a:ln>
                      <a:noFill/>
                    </a:ln>
                  </pic:spPr>
                </pic:pic>
              </a:graphicData>
            </a:graphic>
          </wp:inline>
        </w:drawing>
      </w:r>
    </w:p>
    <w:p w14:paraId="62FB5CBA">
      <w:pPr>
        <w:pStyle w:val="2"/>
        <w:spacing w:line="480" w:lineRule="auto"/>
        <w:jc w:val="left"/>
        <w:rPr>
          <w:rFonts w:hint="default" w:ascii="Times New Roman" w:hAnsi="Times New Roman" w:cs="Times New Roman"/>
          <w:color w:val="auto"/>
          <w:lang w:val="en-IN"/>
        </w:rPr>
      </w:pPr>
      <w:r>
        <w:rPr>
          <w:rFonts w:hint="default" w:ascii="Times New Roman" w:hAnsi="Times New Roman" w:cs="Times New Roman"/>
          <w:color w:val="auto"/>
        </w:rPr>
        <w:t>Explore</w:t>
      </w:r>
      <w:r>
        <w:rPr>
          <w:rFonts w:hint="default" w:ascii="Times New Roman" w:hAnsi="Times New Roman" w:cs="Times New Roman"/>
          <w:color w:val="auto"/>
          <w:lang w:val="en-IN"/>
        </w:rPr>
        <w:t>:</w:t>
      </w:r>
    </w:p>
    <w:p w14:paraId="1DFCEF8C">
      <w:pPr>
        <w:spacing w:line="480" w:lineRule="auto"/>
        <w:ind w:firstLine="480" w:firstLineChars="200"/>
        <w:rPr>
          <w:rFonts w:hint="default" w:ascii="Times New Roman" w:hAnsi="Times New Roman" w:cs="Times New Roman"/>
          <w:color w:val="auto"/>
        </w:rPr>
      </w:pPr>
      <w:r>
        <w:rPr>
          <w:rFonts w:hint="default" w:ascii="Times New Roman" w:hAnsi="Times New Roman" w:cs="Times New Roman"/>
          <w:color w:val="auto"/>
        </w:rPr>
        <w:t>Exploratory Data Analysis (EDA) allows patterns to be identified in stock data. Visualizations help communicate seasonality, correlations, and clustering behavior.</w:t>
      </w:r>
      <w:r>
        <w:rPr>
          <w:rFonts w:hint="default" w:ascii="Times New Roman" w:hAnsi="Times New Roman" w:cs="Times New Roman"/>
          <w:color w:val="auto"/>
        </w:rPr>
        <w:t>The exploratory analysis of Apple Inc. stock revealed both long-term growth and short-term fluctuations. The time series plot illustrated a persistent upward trend in closing prices over the past decade, punctuated by volatility spikes during global events such as economic downturns and market corrections. Seasonal decomposition further confirmed recurring cycles, where certain months consistently showed stronger returns.</w:t>
      </w:r>
      <w:r>
        <w:rPr>
          <w:rFonts w:hint="default" w:ascii="Times New Roman" w:hAnsi="Times New Roman" w:cs="Times New Roman"/>
          <w:color w:val="auto"/>
        </w:rPr>
        <w:br w:type="textWrapping"/>
      </w:r>
      <w:r>
        <w:rPr>
          <w:rFonts w:hint="default" w:ascii="Times New Roman" w:hAnsi="Times New Roman" w:cs="Times New Roman"/>
          <w:color w:val="auto"/>
          <w:lang w:val="en-IN"/>
        </w:rPr>
        <w:t xml:space="preserve">       </w:t>
      </w:r>
      <w:r>
        <w:rPr>
          <w:rFonts w:hint="default" w:ascii="Times New Roman" w:hAnsi="Times New Roman" w:cs="Times New Roman"/>
          <w:color w:val="auto"/>
        </w:rPr>
        <w:t>The correlation matrix highlighted strong positive relationships among Open, Close, and Adjusted Close prices, reinforcing internal consistency in the dataset. Meanwhile, trading volume exhibited weaker correlations with price variables, suggesting it is influenced by external investor sentiment or news rather than internal stock movements. This finding is particularly relevant for investors who might use volume indicators as independent trading signals.</w:t>
      </w:r>
      <w:r>
        <w:rPr>
          <w:rFonts w:hint="default" w:ascii="Times New Roman" w:hAnsi="Times New Roman" w:cs="Times New Roman"/>
          <w:color w:val="auto"/>
        </w:rPr>
        <w:br w:type="textWrapping"/>
      </w:r>
      <w:r>
        <w:rPr>
          <w:rFonts w:hint="default" w:ascii="Times New Roman" w:hAnsi="Times New Roman" w:cs="Times New Roman"/>
          <w:color w:val="auto"/>
          <w:lang w:val="en-IN"/>
        </w:rPr>
        <w:t xml:space="preserve">       </w:t>
      </w:r>
      <w:r>
        <w:rPr>
          <w:rFonts w:hint="default" w:ascii="Times New Roman" w:hAnsi="Times New Roman" w:cs="Times New Roman"/>
          <w:color w:val="auto"/>
        </w:rPr>
        <w:t>Volatility plots indicated clusters of market turbulence, especially during crises, providing insights into periods of heightened risk. These visualizations are not only technical outputs but also powerful tools for communicating investment risks to decision-makers. Each figure demonstrates that exploratory analysis is essential for recognizing underlying regimes in stock data before applying more advanced models.</w:t>
      </w:r>
    </w:p>
    <w:p w14:paraId="2DA64F30">
      <w:pPr>
        <w:spacing w:line="480" w:lineRule="auto"/>
        <w:ind w:firstLine="480" w:firstLineChars="200"/>
        <w:jc w:val="left"/>
        <w:rPr>
          <w:rFonts w:hint="default" w:ascii="Times New Roman" w:hAnsi="Times New Roman" w:cs="Times New Roman"/>
          <w:color w:val="auto"/>
        </w:rPr>
      </w:pPr>
    </w:p>
    <w:p w14:paraId="0302E06D">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1649095"/>
            <wp:effectExtent l="0" t="0" r="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029200" cy="1649095"/>
                    </a:xfrm>
                    <a:prstGeom prst="rect">
                      <a:avLst/>
                    </a:prstGeom>
                    <a:noFill/>
                    <a:ln>
                      <a:noFill/>
                    </a:ln>
                  </pic:spPr>
                </pic:pic>
              </a:graphicData>
            </a:graphic>
          </wp:inline>
        </w:drawing>
      </w:r>
    </w:p>
    <w:p w14:paraId="688F45D7">
      <w:pPr>
        <w:spacing w:line="480" w:lineRule="auto"/>
        <w:jc w:val="left"/>
        <w:rPr>
          <w:rFonts w:hint="default" w:ascii="Times New Roman" w:hAnsi="Times New Roman" w:cs="Times New Roman"/>
          <w:color w:val="auto"/>
        </w:rPr>
      </w:pPr>
      <w:r>
        <w:rPr>
          <w:rFonts w:hint="default" w:ascii="Times New Roman" w:hAnsi="Times New Roman" w:cs="Times New Roman"/>
          <w:b/>
          <w:bCs/>
          <w:color w:val="auto"/>
        </w:rPr>
        <w:t>Figure 1</w:t>
      </w:r>
      <w:r>
        <w:rPr>
          <w:rFonts w:hint="default" w:ascii="Times New Roman" w:hAnsi="Times New Roman" w:cs="Times New Roman"/>
          <w:b/>
          <w:bCs/>
          <w:color w:val="auto"/>
          <w:lang w:val="en-IN"/>
        </w:rPr>
        <w:t xml:space="preserve">: </w:t>
      </w:r>
      <w:r>
        <w:rPr>
          <w:rFonts w:hint="default" w:ascii="Times New Roman" w:hAnsi="Times New Roman" w:cs="Times New Roman"/>
          <w:color w:val="auto"/>
        </w:rPr>
        <w:t>This visualization not only highlights numerical patterns but also provides business implications. For example, traders might interpret these signals as indicators of volatility clusters or momentum shifts. Such interpretations are crucial for aligning quantitative analysis with real-world investment decisions.</w:t>
      </w:r>
    </w:p>
    <w:p w14:paraId="1D441649">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Apple Inc. closing price over time. Long-term upward trend is observed, with volatility spikes. This figure illustrates the long-term growth trend of Apple Inc.'s stock, with clear volatility spikes during global events such as COVID-19. It highlights the resilience of the stock while showing periods of risk.</w:t>
      </w:r>
    </w:p>
    <w:p w14:paraId="6258FFAD">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248221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029200" cy="2482215"/>
                    </a:xfrm>
                    <a:prstGeom prst="rect">
                      <a:avLst/>
                    </a:prstGeom>
                    <a:noFill/>
                    <a:ln>
                      <a:noFill/>
                    </a:ln>
                  </pic:spPr>
                </pic:pic>
              </a:graphicData>
            </a:graphic>
          </wp:inline>
        </w:drawing>
      </w:r>
    </w:p>
    <w:p w14:paraId="05487C06">
      <w:pPr>
        <w:spacing w:line="480" w:lineRule="auto"/>
        <w:jc w:val="left"/>
        <w:rPr>
          <w:rFonts w:hint="default" w:ascii="Times New Roman" w:hAnsi="Times New Roman" w:cs="Times New Roman"/>
          <w:b/>
          <w:bCs/>
          <w:color w:val="auto"/>
        </w:rPr>
      </w:pPr>
      <w:r>
        <w:rPr>
          <w:rFonts w:hint="default" w:ascii="Times New Roman" w:hAnsi="Times New Roman" w:cs="Times New Roman"/>
          <w:b/>
          <w:bCs/>
          <w:color w:val="auto"/>
        </w:rPr>
        <w:t>Figure 2</w:t>
      </w:r>
      <w:r>
        <w:rPr>
          <w:rFonts w:hint="default" w:ascii="Times New Roman" w:hAnsi="Times New Roman" w:cs="Times New Roman"/>
          <w:b/>
          <w:bCs/>
          <w:color w:val="auto"/>
          <w:lang w:val="en-IN"/>
        </w:rPr>
        <w:t xml:space="preserve">: </w:t>
      </w:r>
      <w:r>
        <w:rPr>
          <w:rFonts w:hint="default" w:ascii="Times New Roman" w:hAnsi="Times New Roman" w:cs="Times New Roman"/>
          <w:color w:val="auto"/>
        </w:rPr>
        <w:t>This visualization not only highlights numerical patterns but also provides business implications. For example, traders might interpret these signals as indicators of volatility clusters or momentum shifts. Such interpretations are crucial for aligning quantitative analysis with real-world investment decisions.</w:t>
      </w:r>
    </w:p>
    <w:p w14:paraId="07928CA3">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Histogram of daily returns. Returns are normally distributed with slight skewness. The histogram demonstrates that most daily returns cluster around the mean, but fat tails indicate occasional extreme outcomes. This informs investors of both stability and potential shocks.</w:t>
      </w:r>
    </w:p>
    <w:p w14:paraId="11505367">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344995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029200" cy="3449955"/>
                    </a:xfrm>
                    <a:prstGeom prst="rect">
                      <a:avLst/>
                    </a:prstGeom>
                    <a:noFill/>
                    <a:ln>
                      <a:noFill/>
                    </a:ln>
                  </pic:spPr>
                </pic:pic>
              </a:graphicData>
            </a:graphic>
          </wp:inline>
        </w:drawing>
      </w:r>
    </w:p>
    <w:p w14:paraId="0CB4311E">
      <w:pPr>
        <w:spacing w:line="480" w:lineRule="auto"/>
        <w:jc w:val="left"/>
        <w:rPr>
          <w:rFonts w:hint="default" w:ascii="Times New Roman" w:hAnsi="Times New Roman" w:cs="Times New Roman"/>
          <w:color w:val="auto"/>
        </w:rPr>
      </w:pPr>
      <w:r>
        <w:rPr>
          <w:rFonts w:hint="default" w:ascii="Times New Roman" w:hAnsi="Times New Roman" w:cs="Times New Roman"/>
          <w:b/>
          <w:bCs/>
          <w:color w:val="auto"/>
        </w:rPr>
        <w:t>Figure 3</w:t>
      </w:r>
      <w:r>
        <w:rPr>
          <w:rFonts w:hint="default" w:ascii="Times New Roman" w:hAnsi="Times New Roman" w:cs="Times New Roman"/>
          <w:b/>
          <w:bCs/>
          <w:color w:val="auto"/>
          <w:lang w:val="en-IN"/>
        </w:rPr>
        <w:t xml:space="preserve">: </w:t>
      </w:r>
      <w:r>
        <w:rPr>
          <w:rFonts w:hint="default" w:ascii="Times New Roman" w:hAnsi="Times New Roman" w:cs="Times New Roman"/>
          <w:color w:val="auto"/>
        </w:rPr>
        <w:t>This visualization not only highlights numerical patterns but also provides business implications. For example, traders might interpret these signals as indicators of volatility clusters or momentum shifts. Such interpretations are crucial for aligning quantitative analysis with real-world investment decisions.</w:t>
      </w:r>
    </w:p>
    <w:p w14:paraId="012909AD">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Correlation heatmap</w:t>
      </w:r>
      <w:r>
        <w:rPr>
          <w:rFonts w:hint="default" w:ascii="Times New Roman" w:hAnsi="Times New Roman" w:cs="Times New Roman"/>
          <w:color w:val="auto"/>
          <w:lang w:val="en-IN"/>
        </w:rPr>
        <w:t>:</w:t>
      </w:r>
      <w:r>
        <w:rPr>
          <w:rFonts w:hint="default" w:ascii="Times New Roman" w:hAnsi="Times New Roman" w:cs="Times New Roman"/>
          <w:color w:val="auto"/>
        </w:rPr>
        <w:t xml:space="preserve"> Strong correlation is evident between open, high, low, and close prices. The correlation heatmap shows near-perfect relationships among open, high, low, and close prices, validating their redundancy in predictive models. Volume shows weaker correlation, indicating it carries independent information.</w:t>
      </w:r>
    </w:p>
    <w:p w14:paraId="13B7D606">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1649095"/>
            <wp:effectExtent l="0" t="0" r="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029200" cy="1649095"/>
                    </a:xfrm>
                    <a:prstGeom prst="rect">
                      <a:avLst/>
                    </a:prstGeom>
                    <a:noFill/>
                    <a:ln>
                      <a:noFill/>
                    </a:ln>
                  </pic:spPr>
                </pic:pic>
              </a:graphicData>
            </a:graphic>
          </wp:inline>
        </w:drawing>
      </w:r>
    </w:p>
    <w:p w14:paraId="2805F07B">
      <w:pPr>
        <w:spacing w:line="480" w:lineRule="auto"/>
        <w:jc w:val="left"/>
        <w:rPr>
          <w:rFonts w:hint="default" w:ascii="Times New Roman" w:hAnsi="Times New Roman" w:cs="Times New Roman"/>
          <w:b/>
          <w:bCs/>
          <w:color w:val="auto"/>
          <w:lang w:val="en-IN"/>
        </w:rPr>
      </w:pPr>
      <w:r>
        <w:rPr>
          <w:rFonts w:hint="default" w:ascii="Times New Roman" w:hAnsi="Times New Roman" w:cs="Times New Roman"/>
          <w:b/>
          <w:bCs/>
          <w:color w:val="auto"/>
        </w:rPr>
        <w:t>Figure 4</w:t>
      </w:r>
      <w:r>
        <w:rPr>
          <w:rFonts w:hint="default" w:ascii="Times New Roman" w:hAnsi="Times New Roman" w:cs="Times New Roman"/>
          <w:b/>
          <w:bCs/>
          <w:color w:val="auto"/>
          <w:lang w:val="en-IN"/>
        </w:rPr>
        <w:t xml:space="preserve">: </w:t>
      </w:r>
      <w:r>
        <w:rPr>
          <w:rFonts w:hint="default" w:ascii="Times New Roman" w:hAnsi="Times New Roman" w:cs="Times New Roman"/>
          <w:color w:val="auto"/>
        </w:rPr>
        <w:t>This visualization not only highlights numerical patterns but also provides business implications. For example, traders might interpret these signals as indicators of volatility clusters or momentum shifts. Such interpretations are crucial for aligning quantitative analysis with real-world investment decisions.</w:t>
      </w:r>
    </w:p>
    <w:p w14:paraId="619C8D8A">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Rolling mean and volatility. Moving averages reveal trends, while volatility indicates risk periods. Rolling averages reveal sustained trends in stock prices, while volatility bands highlight risk periods. Investors may use these metrics to time entry and exit points.</w:t>
      </w:r>
    </w:p>
    <w:p w14:paraId="3E7AD4D2">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1983105"/>
            <wp:effectExtent l="0" t="0" r="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029200" cy="1983105"/>
                    </a:xfrm>
                    <a:prstGeom prst="rect">
                      <a:avLst/>
                    </a:prstGeom>
                    <a:noFill/>
                    <a:ln>
                      <a:noFill/>
                    </a:ln>
                  </pic:spPr>
                </pic:pic>
              </a:graphicData>
            </a:graphic>
          </wp:inline>
        </w:drawing>
      </w:r>
    </w:p>
    <w:p w14:paraId="79E49FA4">
      <w:pPr>
        <w:spacing w:line="480" w:lineRule="auto"/>
        <w:jc w:val="left"/>
        <w:rPr>
          <w:rFonts w:hint="default" w:ascii="Times New Roman" w:hAnsi="Times New Roman" w:cs="Times New Roman"/>
          <w:b/>
          <w:bCs/>
          <w:color w:val="auto"/>
        </w:rPr>
      </w:pPr>
      <w:r>
        <w:rPr>
          <w:rFonts w:hint="default" w:ascii="Times New Roman" w:hAnsi="Times New Roman" w:cs="Times New Roman"/>
          <w:b/>
          <w:bCs/>
          <w:color w:val="auto"/>
        </w:rPr>
        <w:t>Figure 5</w:t>
      </w:r>
      <w:r>
        <w:rPr>
          <w:rFonts w:hint="default" w:ascii="Times New Roman" w:hAnsi="Times New Roman" w:cs="Times New Roman"/>
          <w:b/>
          <w:bCs/>
          <w:color w:val="auto"/>
          <w:lang w:val="en-IN"/>
        </w:rPr>
        <w:t xml:space="preserve">: </w:t>
      </w:r>
      <w:r>
        <w:rPr>
          <w:rFonts w:hint="default" w:ascii="Times New Roman" w:hAnsi="Times New Roman" w:cs="Times New Roman"/>
          <w:color w:val="auto"/>
        </w:rPr>
        <w:t>This visualization not only highlights numerical patterns but also provides business implications. For example, traders might interpret these signals as indicators of volatility clusters or momentum shifts. Such interpretations are crucial for aligning quantitative analysis with real-world investment decisions.</w:t>
      </w:r>
    </w:p>
    <w:p w14:paraId="0B078FBE">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Autocorrelation function (ACF). Lag relationships indicate persistence in returns. The ACF reveals statistically significant autocorrelations at short lags, supporting autoregressive modeling. Persistence in returns provides opportunities for time series forecasting.</w:t>
      </w:r>
    </w:p>
    <w:p w14:paraId="5F0176FA">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1983105"/>
            <wp:effectExtent l="0" t="0" r="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029200" cy="1983105"/>
                    </a:xfrm>
                    <a:prstGeom prst="rect">
                      <a:avLst/>
                    </a:prstGeom>
                    <a:noFill/>
                    <a:ln>
                      <a:noFill/>
                    </a:ln>
                  </pic:spPr>
                </pic:pic>
              </a:graphicData>
            </a:graphic>
          </wp:inline>
        </w:drawing>
      </w:r>
    </w:p>
    <w:p w14:paraId="2A114F8E">
      <w:pPr>
        <w:spacing w:line="480" w:lineRule="auto"/>
        <w:jc w:val="left"/>
        <w:rPr>
          <w:rFonts w:hint="default" w:ascii="Times New Roman" w:hAnsi="Times New Roman" w:cs="Times New Roman"/>
          <w:b/>
          <w:bCs/>
          <w:color w:val="auto"/>
        </w:rPr>
      </w:pPr>
      <w:r>
        <w:rPr>
          <w:rFonts w:hint="default" w:ascii="Times New Roman" w:hAnsi="Times New Roman" w:cs="Times New Roman"/>
          <w:b/>
          <w:bCs/>
          <w:color w:val="auto"/>
        </w:rPr>
        <w:t>Figure 6</w:t>
      </w:r>
      <w:r>
        <w:rPr>
          <w:rFonts w:hint="default" w:ascii="Times New Roman" w:hAnsi="Times New Roman" w:cs="Times New Roman"/>
          <w:b/>
          <w:bCs/>
          <w:color w:val="auto"/>
          <w:lang w:val="en-IN"/>
        </w:rPr>
        <w:t xml:space="preserve">: </w:t>
      </w:r>
      <w:r>
        <w:rPr>
          <w:rFonts w:hint="default" w:ascii="Times New Roman" w:hAnsi="Times New Roman" w:cs="Times New Roman"/>
          <w:color w:val="auto"/>
        </w:rPr>
        <w:t>This visualization not only highlights numerical patterns but also provides business implications. For example, traders might interpret these signals as indicators of volatility clusters or momentum shifts. Such interpretations are crucial for aligning quantitative analysis with real-world investment decisions.</w:t>
      </w:r>
    </w:p>
    <w:p w14:paraId="3A88F14E">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Partial autocorrelation function (PACF). Significant lags suggest AR order selection. The PACF confirms lag structures essential for ARIMA modeling. Significant spikes suggest order-1 autoregressive components are influential.</w:t>
      </w:r>
    </w:p>
    <w:p w14:paraId="044E1500">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207200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5029200" cy="2072005"/>
                    </a:xfrm>
                    <a:prstGeom prst="rect">
                      <a:avLst/>
                    </a:prstGeom>
                    <a:noFill/>
                    <a:ln>
                      <a:noFill/>
                    </a:ln>
                  </pic:spPr>
                </pic:pic>
              </a:graphicData>
            </a:graphic>
          </wp:inline>
        </w:drawing>
      </w:r>
    </w:p>
    <w:p w14:paraId="659A6392">
      <w:pPr>
        <w:spacing w:line="480" w:lineRule="auto"/>
        <w:jc w:val="left"/>
        <w:rPr>
          <w:rFonts w:hint="default" w:ascii="Times New Roman" w:hAnsi="Times New Roman" w:cs="Times New Roman"/>
          <w:b/>
          <w:bCs/>
          <w:color w:val="auto"/>
        </w:rPr>
      </w:pPr>
      <w:r>
        <w:rPr>
          <w:rFonts w:hint="default" w:ascii="Times New Roman" w:hAnsi="Times New Roman" w:cs="Times New Roman"/>
          <w:b/>
          <w:bCs/>
          <w:color w:val="auto"/>
        </w:rPr>
        <w:t>Figure 7</w:t>
      </w:r>
      <w:r>
        <w:rPr>
          <w:rFonts w:hint="default" w:ascii="Times New Roman" w:hAnsi="Times New Roman" w:cs="Times New Roman"/>
          <w:b/>
          <w:bCs/>
          <w:color w:val="auto"/>
          <w:lang w:val="en-IN"/>
        </w:rPr>
        <w:t xml:space="preserve">: </w:t>
      </w:r>
      <w:r>
        <w:rPr>
          <w:rFonts w:hint="default" w:ascii="Times New Roman" w:hAnsi="Times New Roman" w:cs="Times New Roman"/>
          <w:color w:val="auto"/>
        </w:rPr>
        <w:t>This visualization not only highlights numerical patterns but also provides business implications. For example, traders might interpret these signals as indicators of volatility clusters or momentum shifts. Such interpretations are crucial for aligning quantitative analysis with real-world investment decisions.</w:t>
      </w:r>
    </w:p>
    <w:p w14:paraId="300B2B9B">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ARIMA forecast. Model captures seasonality and provides next 30-day projections. ARIMA forecasting demonstrates strong short-term predictive performance. The confidence intervals highlight uncertainty, guiding investors in balancing optimism with caution.</w:t>
      </w:r>
    </w:p>
    <w:p w14:paraId="75EA423E">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31191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029200" cy="3119120"/>
                    </a:xfrm>
                    <a:prstGeom prst="rect">
                      <a:avLst/>
                    </a:prstGeom>
                    <a:noFill/>
                    <a:ln>
                      <a:noFill/>
                    </a:ln>
                  </pic:spPr>
                </pic:pic>
              </a:graphicData>
            </a:graphic>
          </wp:inline>
        </w:drawing>
      </w:r>
    </w:p>
    <w:p w14:paraId="7921C5FB">
      <w:pPr>
        <w:spacing w:line="480" w:lineRule="auto"/>
        <w:jc w:val="left"/>
        <w:rPr>
          <w:rFonts w:hint="default" w:ascii="Times New Roman" w:hAnsi="Times New Roman" w:cs="Times New Roman"/>
          <w:b/>
          <w:bCs/>
          <w:color w:val="auto"/>
          <w:lang w:val="en-IN"/>
        </w:rPr>
      </w:pPr>
      <w:r>
        <w:rPr>
          <w:rFonts w:hint="default" w:ascii="Times New Roman" w:hAnsi="Times New Roman" w:cs="Times New Roman"/>
          <w:b/>
          <w:bCs/>
          <w:color w:val="auto"/>
        </w:rPr>
        <w:t>Figure 8</w:t>
      </w:r>
      <w:r>
        <w:rPr>
          <w:rFonts w:hint="default" w:ascii="Times New Roman" w:hAnsi="Times New Roman" w:cs="Times New Roman"/>
          <w:b/>
          <w:bCs/>
          <w:color w:val="auto"/>
          <w:lang w:val="en-IN"/>
        </w:rPr>
        <w:t xml:space="preserve">: </w:t>
      </w:r>
      <w:r>
        <w:rPr>
          <w:rFonts w:hint="default" w:ascii="Times New Roman" w:hAnsi="Times New Roman" w:cs="Times New Roman"/>
          <w:color w:val="auto"/>
        </w:rPr>
        <w:t>This visualization not only highlights numerical patterns but also provides business implications. For example, traders might interpret these signals as indicators of volatility clusters or momentum shifts. Such interpretations are crucial for aligning quantitative analysis with real-world investment decisions</w:t>
      </w:r>
    </w:p>
    <w:p w14:paraId="462A3629">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KMeans clustering (Jain, 2010; Chen &amp; Hao, 2017). Identifies 3 distinct regimes of stock behavior. KMeans clustering (Jain, 2010; Chen &amp; Hao, 2017) identifies three distinct behavioral regimes in stock data. These clusters may represent bull, bear, and sideways markets, aiding strategy diversification.</w:t>
      </w:r>
    </w:p>
    <w:p w14:paraId="4C5BAA9E">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029200" cy="249555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029200" cy="2495550"/>
                    </a:xfrm>
                    <a:prstGeom prst="rect">
                      <a:avLst/>
                    </a:prstGeom>
                    <a:noFill/>
                    <a:ln>
                      <a:noFill/>
                    </a:ln>
                  </pic:spPr>
                </pic:pic>
              </a:graphicData>
            </a:graphic>
          </wp:inline>
        </w:drawing>
      </w:r>
    </w:p>
    <w:p w14:paraId="004FB154">
      <w:pPr>
        <w:spacing w:line="480" w:lineRule="auto"/>
        <w:jc w:val="left"/>
        <w:rPr>
          <w:rFonts w:hint="default" w:ascii="Times New Roman" w:hAnsi="Times New Roman" w:cs="Times New Roman"/>
          <w:b/>
          <w:bCs/>
          <w:color w:val="auto"/>
        </w:rPr>
      </w:pPr>
      <w:r>
        <w:rPr>
          <w:rFonts w:hint="default" w:ascii="Times New Roman" w:hAnsi="Times New Roman" w:cs="Times New Roman"/>
          <w:b/>
          <w:bCs/>
          <w:color w:val="auto"/>
        </w:rPr>
        <w:t>Figure 9</w:t>
      </w:r>
      <w:r>
        <w:rPr>
          <w:rFonts w:hint="default" w:ascii="Times New Roman" w:hAnsi="Times New Roman" w:cs="Times New Roman"/>
          <w:b/>
          <w:bCs/>
          <w:color w:val="auto"/>
          <w:lang w:val="en-IN"/>
        </w:rPr>
        <w:t xml:space="preserve">: </w:t>
      </w:r>
      <w:r>
        <w:rPr>
          <w:rFonts w:hint="default" w:ascii="Times New Roman" w:hAnsi="Times New Roman" w:cs="Times New Roman"/>
          <w:color w:val="auto"/>
        </w:rPr>
        <w:t>This visualization not only highlights numerical patterns but also provides business implications. For example, traders might interpret these signals as indicators of volatility clusters or momentum shifts. Such interpretations are crucial for aligning quantitative analysis with real-world investment decisions.</w:t>
      </w:r>
    </w:p>
    <w:p w14:paraId="1FA3E39D">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A/B test strategies. Strategy B outperforms A during volatile periods. A/B testing compares strategies, revealing that strategy B performs better during volatility. This suggests adaptive strategies are superior to static ones.</w:t>
      </w:r>
    </w:p>
    <w:p w14:paraId="03D3AE77">
      <w:pPr>
        <w:spacing w:line="480" w:lineRule="auto"/>
        <w:jc w:val="left"/>
        <w:rPr>
          <w:rFonts w:hint="default" w:ascii="Times New Roman" w:hAnsi="Times New Roman" w:cs="Times New Roman"/>
          <w:b/>
          <w:bCs/>
          <w:color w:val="auto"/>
          <w:sz w:val="28"/>
          <w:szCs w:val="24"/>
          <w:lang w:val="en-IN"/>
        </w:rPr>
      </w:pPr>
      <w:r>
        <w:rPr>
          <w:rFonts w:hint="default" w:ascii="Times New Roman" w:hAnsi="Times New Roman" w:cs="Times New Roman"/>
          <w:b/>
          <w:bCs/>
          <w:color w:val="auto"/>
          <w:sz w:val="28"/>
          <w:szCs w:val="24"/>
        </w:rPr>
        <w:t>Model and Decision</w:t>
      </w:r>
      <w:r>
        <w:rPr>
          <w:rFonts w:hint="default" w:ascii="Times New Roman" w:hAnsi="Times New Roman" w:cs="Times New Roman"/>
          <w:b/>
          <w:bCs/>
          <w:color w:val="auto"/>
          <w:sz w:val="28"/>
          <w:szCs w:val="24"/>
          <w:lang w:val="en-IN"/>
        </w:rPr>
        <w:t>:</w:t>
      </w:r>
    </w:p>
    <w:p w14:paraId="5EFC9436">
      <w:pPr>
        <w:spacing w:line="480" w:lineRule="auto"/>
        <w:ind w:firstLine="480" w:firstLineChars="200"/>
        <w:jc w:val="left"/>
        <w:rPr>
          <w:rFonts w:hint="default" w:ascii="Times New Roman" w:hAnsi="Times New Roman" w:cs="Times New Roman"/>
          <w:color w:val="auto"/>
          <w:lang w:val="en-IN"/>
        </w:rPr>
      </w:pPr>
      <w:r>
        <w:rPr>
          <w:rFonts w:hint="default" w:ascii="Times New Roman" w:hAnsi="Times New Roman" w:cs="Times New Roman"/>
          <w:color w:val="auto"/>
        </w:rPr>
        <w:t xml:space="preserve">Forecasting and modeling produced actionable insights. ARIMA achieved the lowest RMSE, suggesting reliable predictive performance. Clustering revealed stock regimes, useful for portfolio adjustments. A/B tests indicated that strategy B, incorporating volatility thresholds, delivered better returns than a </w:t>
      </w:r>
      <w:r>
        <w:rPr>
          <w:rFonts w:hint="default" w:ascii="Times New Roman" w:hAnsi="Times New Roman" w:cs="Times New Roman"/>
          <w:color w:val="auto"/>
          <w:lang w:val="en-IN"/>
        </w:rPr>
        <w:t>s</w:t>
      </w:r>
      <w:r>
        <w:rPr>
          <w:rFonts w:hint="default" w:ascii="Times New Roman" w:hAnsi="Times New Roman" w:cs="Times New Roman"/>
          <w:color w:val="auto"/>
        </w:rPr>
        <w:t xml:space="preserve">imple buy-and-hold </w:t>
      </w:r>
      <w:r>
        <w:rPr>
          <w:rFonts w:hint="default" w:ascii="Times New Roman" w:hAnsi="Times New Roman" w:cs="Times New Roman"/>
          <w:color w:val="auto"/>
          <w:lang w:val="en-IN"/>
        </w:rPr>
        <w:t>strategy.</w:t>
      </w:r>
    </w:p>
    <w:p w14:paraId="23121546">
      <w:pPr>
        <w:spacing w:line="480" w:lineRule="auto"/>
        <w:jc w:val="left"/>
        <w:rPr>
          <w:rFonts w:hint="default" w:ascii="Times New Roman" w:hAnsi="Times New Roman" w:cs="Times New Roman"/>
          <w:b w:val="0"/>
          <w:bCs w:val="0"/>
          <w:color w:val="auto"/>
          <w:lang w:val="en-IN"/>
        </w:rPr>
      </w:pPr>
    </w:p>
    <w:p w14:paraId="12C232EA">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4351655" cy="2876550"/>
            <wp:effectExtent l="0" t="0" r="698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4351655" cy="2876550"/>
                    </a:xfrm>
                    <a:prstGeom prst="rect">
                      <a:avLst/>
                    </a:prstGeom>
                    <a:noFill/>
                    <a:ln>
                      <a:noFill/>
                    </a:ln>
                  </pic:spPr>
                </pic:pic>
              </a:graphicData>
            </a:graphic>
          </wp:inline>
        </w:drawing>
      </w:r>
    </w:p>
    <w:p w14:paraId="086CE580">
      <w:pPr>
        <w:spacing w:line="480" w:lineRule="auto"/>
        <w:ind w:firstLine="480" w:firstLineChars="200"/>
        <w:jc w:val="left"/>
        <w:rPr>
          <w:rFonts w:hint="default" w:ascii="Times New Roman" w:hAnsi="Times New Roman" w:cs="Times New Roman"/>
          <w:color w:val="auto"/>
          <w:lang w:val="en-IN"/>
        </w:rPr>
      </w:pPr>
      <w:r>
        <w:rPr>
          <w:rFonts w:hint="default" w:ascii="Times New Roman" w:hAnsi="Times New Roman" w:cs="Times New Roman"/>
          <w:color w:val="auto"/>
        </w:rPr>
        <w:t xml:space="preserve">RMSE comparison. ARIMA yields lowest RMSE, indicating best predictive accuracy. RMSE comparison quantifies model performance. Although ARIMA performs well, Random Forest yields lower RMSE, reinforcing the value of machine learning in financial </w:t>
      </w:r>
      <w:r>
        <w:rPr>
          <w:rFonts w:hint="default" w:ascii="Times New Roman" w:hAnsi="Times New Roman" w:cs="Times New Roman"/>
          <w:color w:val="auto"/>
          <w:lang w:val="en-IN"/>
        </w:rPr>
        <w:t>forecasting.</w:t>
      </w:r>
    </w:p>
    <w:p w14:paraId="54924557">
      <w:pPr>
        <w:spacing w:line="480" w:lineRule="auto"/>
        <w:ind w:firstLine="480" w:firstLineChars="200"/>
        <w:jc w:val="left"/>
        <w:rPr>
          <w:rFonts w:hint="default" w:ascii="Times New Roman" w:hAnsi="Times New Roman" w:cs="Times New Roman"/>
          <w:color w:val="auto"/>
        </w:rPr>
      </w:pPr>
      <w:r>
        <w:rPr>
          <w:rFonts w:hint="default" w:ascii="Times New Roman" w:hAnsi="Times New Roman" w:cs="Times New Roman"/>
          <w:b w:val="0"/>
          <w:bCs w:val="0"/>
          <w:color w:val="auto"/>
          <w:sz w:val="24"/>
          <w:szCs w:val="22"/>
          <w:lang w:val="en-IN"/>
        </w:rPr>
        <w:t>Metrics</w:t>
      </w:r>
      <w:r>
        <w:rPr>
          <w:rFonts w:hint="default" w:ascii="Times New Roman" w:hAnsi="Times New Roman" w:cs="Times New Roman"/>
          <w:b w:val="0"/>
          <w:bCs w:val="0"/>
          <w:color w:val="auto"/>
          <w:sz w:val="28"/>
          <w:szCs w:val="24"/>
          <w:lang w:val="en-IN"/>
        </w:rPr>
        <w:t>:</w:t>
      </w:r>
      <w:r>
        <w:rPr>
          <w:rFonts w:hint="default" w:ascii="Times New Roman" w:hAnsi="Times New Roman" w:cs="Times New Roman"/>
          <w:b/>
          <w:bCs/>
          <w:color w:val="auto"/>
          <w:sz w:val="28"/>
          <w:szCs w:val="24"/>
          <w:lang w:val="en-IN"/>
        </w:rPr>
        <w:t xml:space="preserve"> </w:t>
      </w:r>
      <w:r>
        <w:rPr>
          <w:rFonts w:hint="default" w:ascii="Times New Roman" w:hAnsi="Times New Roman" w:cs="Times New Roman"/>
          <w:color w:val="auto"/>
        </w:rPr>
        <w:t>Root Mean Squared Error (RMSE) and Mean Absolute Error (MAE) were applied to quantify predictive accuracy. RMSE penalizes larger deviations, making it suitable for volatile stock price series, while MAE offers interpretability in terms of average dollar error. Results showed Random Forest achieved RMSE = 81.55 and MAE = 62.14, outperforming ARIMA (RMSE = 91.74, MAE = 70.26). Lower values confirm the superiority of Random Forest for this dataset.</w:t>
      </w:r>
      <w:r>
        <w:rPr>
          <w:rFonts w:hint="default" w:ascii="Times New Roman" w:hAnsi="Times New Roman" w:cs="Times New Roman"/>
          <w:color w:val="auto"/>
        </w:rPr>
        <w:br w:type="textWrapping"/>
      </w:r>
    </w:p>
    <w:p w14:paraId="0F532EE3">
      <w:pPr>
        <w:pStyle w:val="2"/>
        <w:spacing w:line="480" w:lineRule="auto"/>
        <w:rPr>
          <w:rFonts w:hint="default" w:ascii="Times New Roman" w:hAnsi="Times New Roman" w:cs="Times New Roman"/>
          <w:color w:val="auto"/>
          <w:lang w:val="en-IN"/>
        </w:rPr>
      </w:pPr>
      <w:r>
        <w:rPr>
          <w:rFonts w:hint="default" w:ascii="Times New Roman" w:hAnsi="Times New Roman" w:cs="Times New Roman"/>
          <w:color w:val="auto"/>
        </w:rPr>
        <w:t>Findings</w:t>
      </w:r>
      <w:r>
        <w:rPr>
          <w:rFonts w:hint="default" w:ascii="Times New Roman" w:hAnsi="Times New Roman" w:cs="Times New Roman"/>
          <w:color w:val="auto"/>
          <w:lang w:val="en-IN"/>
        </w:rPr>
        <w:t>:</w:t>
      </w:r>
    </w:p>
    <w:p w14:paraId="13B2F2F9">
      <w:pPr>
        <w:numPr>
          <w:ilvl w:val="0"/>
          <w:numId w:val="7"/>
        </w:numPr>
        <w:spacing w:line="480" w:lineRule="auto"/>
        <w:rPr>
          <w:rFonts w:hint="default" w:ascii="Times New Roman" w:hAnsi="Times New Roman" w:cs="Times New Roman"/>
          <w:color w:val="auto"/>
          <w:vertAlign w:val="baseline"/>
        </w:rPr>
      </w:pPr>
      <w:r>
        <w:rPr>
          <w:rFonts w:hint="default" w:ascii="Times New Roman" w:hAnsi="Times New Roman" w:cs="Times New Roman"/>
          <w:b w:val="0"/>
          <w:bCs w:val="0"/>
          <w:color w:val="auto"/>
          <w:lang w:val="en-IN"/>
        </w:rPr>
        <w:t xml:space="preserve">For </w:t>
      </w:r>
      <w:r>
        <w:rPr>
          <w:rFonts w:hint="default" w:ascii="Times New Roman" w:hAnsi="Times New Roman" w:cs="Times New Roman"/>
          <w:b w:val="0"/>
          <w:bCs w:val="0"/>
          <w:color w:val="auto"/>
        </w:rPr>
        <w:t>A/B Testing</w:t>
      </w:r>
      <w:r>
        <w:rPr>
          <w:rFonts w:hint="default" w:ascii="Times New Roman" w:hAnsi="Times New Roman" w:cs="Times New Roman"/>
          <w:b w:val="0"/>
          <w:bCs w:val="0"/>
          <w:color w:val="auto"/>
          <w:lang w:val="en-IN"/>
        </w:rPr>
        <w:t xml:space="preserve">:  </w:t>
      </w:r>
      <w:r>
        <w:rPr>
          <w:rFonts w:hint="default" w:ascii="Times New Roman" w:hAnsi="Times New Roman" w:cs="Times New Roman"/>
          <w:color w:val="auto"/>
        </w:rPr>
        <w:t>Comparison of Investment Strategies A and B</w:t>
      </w:r>
      <w:r>
        <w:rPr>
          <w:rFonts w:hint="default" w:ascii="Times New Roman" w:hAnsi="Times New Roman" w:cs="Times New Roman"/>
          <w:color w:val="auto"/>
        </w:rPr>
        <w:br w:type="textWrapping"/>
      </w:r>
      <w:r>
        <w:rPr>
          <w:rFonts w:hint="default" w:ascii="Times New Roman" w:hAnsi="Times New Roman" w:cs="Times New Roman"/>
          <w:color w:val="auto"/>
        </w:rPr>
        <w:t>Across the full backtest horizon, Strategy A consistently delivered higher average and cumulative returns than Strategy B with statistical significance (t-test, p &lt; 0.05). While Strategy B performed competitively during certain volatile intervals, Strategy A proved more reliable overall, confirming it as the stronger investment approach in this comparative analysis.</w:t>
      </w:r>
      <w:r>
        <w:rPr>
          <w:rFonts w:hint="default" w:ascii="Times New Roman" w:hAnsi="Times New Roman" w:cs="Times New Roman"/>
          <w:color w:val="auto"/>
        </w:rPr>
        <w:br w:type="textWrapping"/>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8"/>
        <w:gridCol w:w="2347"/>
        <w:gridCol w:w="2773"/>
        <w:gridCol w:w="2448"/>
      </w:tblGrid>
      <w:tr w14:paraId="4D03E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1288" w:type="dxa"/>
          </w:tcPr>
          <w:p w14:paraId="5DD174C5">
            <w:pPr>
              <w:spacing w:line="480" w:lineRule="auto"/>
              <w:rPr>
                <w:rFonts w:hint="default" w:ascii="Times New Roman" w:hAnsi="Times New Roman" w:cs="Times New Roman"/>
                <w:color w:val="auto"/>
                <w:vertAlign w:val="baseline"/>
              </w:rPr>
            </w:pPr>
            <w:r>
              <w:rPr>
                <w:rFonts w:hint="default" w:ascii="Times New Roman" w:hAnsi="Times New Roman" w:eastAsia="SimSun" w:cs="Times New Roman"/>
                <w:b/>
                <w:bCs/>
                <w:color w:val="auto"/>
                <w:kern w:val="0"/>
                <w:sz w:val="24"/>
                <w:szCs w:val="24"/>
                <w:lang w:val="en-US" w:eastAsia="zh-CN" w:bidi="ar"/>
              </w:rPr>
              <w:t>Strategy</w:t>
            </w:r>
          </w:p>
        </w:tc>
        <w:tc>
          <w:tcPr>
            <w:tcW w:w="2347" w:type="dxa"/>
          </w:tcPr>
          <w:p w14:paraId="2C9F65A0">
            <w:pPr>
              <w:spacing w:line="480" w:lineRule="auto"/>
              <w:rPr>
                <w:rFonts w:hint="default" w:ascii="Times New Roman" w:hAnsi="Times New Roman" w:cs="Times New Roman"/>
                <w:color w:val="auto"/>
                <w:vertAlign w:val="baseline"/>
              </w:rPr>
            </w:pPr>
            <w:r>
              <w:rPr>
                <w:rFonts w:hint="default" w:ascii="Times New Roman" w:hAnsi="Times New Roman" w:eastAsia="SimSun" w:cs="Times New Roman"/>
                <w:b/>
                <w:bCs/>
                <w:color w:val="auto"/>
                <w:kern w:val="0"/>
                <w:sz w:val="24"/>
                <w:szCs w:val="24"/>
                <w:lang w:val="en-US" w:eastAsia="zh-CN" w:bidi="ar"/>
              </w:rPr>
              <w:t>Average Return (%)</w:t>
            </w:r>
          </w:p>
        </w:tc>
        <w:tc>
          <w:tcPr>
            <w:tcW w:w="2773" w:type="dxa"/>
          </w:tcPr>
          <w:p w14:paraId="09802D96">
            <w:pPr>
              <w:spacing w:line="480" w:lineRule="auto"/>
              <w:rPr>
                <w:rFonts w:hint="default" w:ascii="Times New Roman" w:hAnsi="Times New Roman" w:cs="Times New Roman"/>
                <w:color w:val="auto"/>
                <w:vertAlign w:val="baseline"/>
              </w:rPr>
            </w:pPr>
            <w:r>
              <w:rPr>
                <w:rFonts w:hint="default" w:ascii="Times New Roman" w:hAnsi="Times New Roman" w:eastAsia="SimSun" w:cs="Times New Roman"/>
                <w:b/>
                <w:bCs/>
                <w:color w:val="auto"/>
                <w:kern w:val="0"/>
                <w:sz w:val="24"/>
                <w:szCs w:val="24"/>
                <w:lang w:val="en-US" w:eastAsia="zh-CN" w:bidi="ar"/>
              </w:rPr>
              <w:t xml:space="preserve">Statistical </w:t>
            </w:r>
            <w:r>
              <w:rPr>
                <w:rFonts w:hint="default" w:ascii="Times New Roman" w:hAnsi="Times New Roman" w:eastAsia="SimSun" w:cs="Times New Roman"/>
                <w:b/>
                <w:bCs/>
                <w:color w:val="auto"/>
                <w:kern w:val="0"/>
                <w:sz w:val="24"/>
                <w:szCs w:val="24"/>
                <w:lang w:val="en-IN" w:eastAsia="zh-CN" w:bidi="ar"/>
              </w:rPr>
              <w:t xml:space="preserve">/ </w:t>
            </w:r>
            <w:r>
              <w:rPr>
                <w:rFonts w:hint="default" w:ascii="Times New Roman" w:hAnsi="Times New Roman" w:eastAsia="SimSun" w:cs="Times New Roman"/>
                <w:b/>
                <w:bCs/>
                <w:color w:val="auto"/>
                <w:kern w:val="0"/>
                <w:sz w:val="24"/>
                <w:szCs w:val="24"/>
                <w:lang w:val="en-US" w:eastAsia="zh-CN" w:bidi="ar"/>
              </w:rPr>
              <w:t>Significance</w:t>
            </w:r>
          </w:p>
        </w:tc>
        <w:tc>
          <w:tcPr>
            <w:tcW w:w="2448" w:type="dxa"/>
          </w:tcPr>
          <w:p w14:paraId="76351A7A">
            <w:pPr>
              <w:spacing w:line="480" w:lineRule="auto"/>
              <w:rPr>
                <w:rFonts w:hint="default" w:ascii="Times New Roman" w:hAnsi="Times New Roman" w:cs="Times New Roman"/>
                <w:color w:val="auto"/>
                <w:vertAlign w:val="baseline"/>
              </w:rPr>
            </w:pPr>
            <w:r>
              <w:rPr>
                <w:rFonts w:hint="default" w:ascii="Times New Roman" w:hAnsi="Times New Roman" w:eastAsia="SimSun" w:cs="Times New Roman"/>
                <w:b/>
                <w:bCs/>
                <w:color w:val="auto"/>
                <w:kern w:val="0"/>
                <w:sz w:val="24"/>
                <w:szCs w:val="24"/>
                <w:lang w:val="en-US" w:eastAsia="zh-CN" w:bidi="ar"/>
              </w:rPr>
              <w:t>Outcome</w:t>
            </w:r>
          </w:p>
        </w:tc>
      </w:tr>
      <w:tr w14:paraId="42288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3" w:hRule="atLeast"/>
        </w:trPr>
        <w:tc>
          <w:tcPr>
            <w:tcW w:w="1288" w:type="dxa"/>
          </w:tcPr>
          <w:p w14:paraId="6C0F2FC1">
            <w:p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A</w:t>
            </w:r>
          </w:p>
        </w:tc>
        <w:tc>
          <w:tcPr>
            <w:tcW w:w="2347" w:type="dxa"/>
          </w:tcPr>
          <w:p w14:paraId="379AD837">
            <w:p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Higher</w:t>
            </w:r>
          </w:p>
        </w:tc>
        <w:tc>
          <w:tcPr>
            <w:tcW w:w="2773" w:type="dxa"/>
          </w:tcPr>
          <w:p w14:paraId="0D143EE6">
            <w:p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Significant</w:t>
            </w:r>
          </w:p>
        </w:tc>
        <w:tc>
          <w:tcPr>
            <w:tcW w:w="2448" w:type="dxa"/>
          </w:tcPr>
          <w:p w14:paraId="37C1678B">
            <w:p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Outperformed Strategy B</w:t>
            </w:r>
          </w:p>
        </w:tc>
      </w:tr>
      <w:tr w14:paraId="69B2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tcPr>
          <w:p w14:paraId="76694E43">
            <w:pPr>
              <w:spacing w:line="480" w:lineRule="auto"/>
              <w:rPr>
                <w:rFonts w:hint="default" w:ascii="Times New Roman" w:hAnsi="Times New Roman" w:cs="Times New Roman"/>
                <w:b/>
                <w:bCs/>
                <w:color w:val="auto"/>
                <w:vertAlign w:val="baseline"/>
                <w:lang w:val="en-IN"/>
              </w:rPr>
            </w:pPr>
            <w:r>
              <w:rPr>
                <w:rFonts w:hint="default" w:ascii="Times New Roman" w:hAnsi="Times New Roman" w:cs="Times New Roman"/>
                <w:b w:val="0"/>
                <w:bCs w:val="0"/>
                <w:color w:val="auto"/>
                <w:vertAlign w:val="baseline"/>
                <w:lang w:val="en-IN"/>
              </w:rPr>
              <w:t>B</w:t>
            </w:r>
          </w:p>
        </w:tc>
        <w:tc>
          <w:tcPr>
            <w:tcW w:w="2347" w:type="dxa"/>
          </w:tcPr>
          <w:p w14:paraId="0173F5AB">
            <w:p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Lower</w:t>
            </w:r>
          </w:p>
        </w:tc>
        <w:tc>
          <w:tcPr>
            <w:tcW w:w="2773" w:type="dxa"/>
          </w:tcPr>
          <w:p w14:paraId="68A78F8F">
            <w:p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Significant</w:t>
            </w:r>
          </w:p>
        </w:tc>
        <w:tc>
          <w:tcPr>
            <w:tcW w:w="2448" w:type="dxa"/>
          </w:tcPr>
          <w:p w14:paraId="703C85F6">
            <w:p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Underperformed Strategy A</w:t>
            </w:r>
          </w:p>
        </w:tc>
      </w:tr>
    </w:tbl>
    <w:p w14:paraId="132F23B6">
      <w:pPr>
        <w:spacing w:line="480" w:lineRule="auto"/>
        <w:rPr>
          <w:rFonts w:hint="default" w:ascii="Times New Roman" w:hAnsi="Times New Roman" w:cs="Times New Roman"/>
          <w:color w:val="auto"/>
        </w:rPr>
      </w:pPr>
    </w:p>
    <w:p w14:paraId="052FCA92">
      <w:pPr>
        <w:spacing w:line="480" w:lineRule="auto"/>
        <w:rPr>
          <w:rFonts w:hint="default" w:ascii="Times New Roman" w:hAnsi="Times New Roman" w:cs="Times New Roman"/>
          <w:color w:val="auto"/>
        </w:rPr>
      </w:pPr>
      <w:r>
        <w:rPr>
          <w:rFonts w:hint="default" w:ascii="Times New Roman" w:hAnsi="Times New Roman" w:cs="Times New Roman"/>
          <w:color w:val="auto"/>
        </w:rPr>
        <w:t>Note. Strategy A produced higher returns than Strategy B with statistical significance, reinforcing its suitability for risk-adjusted investment decisions.</w:t>
      </w:r>
    </w:p>
    <w:p w14:paraId="259DA179">
      <w:pPr>
        <w:numPr>
          <w:ilvl w:val="0"/>
          <w:numId w:val="7"/>
        </w:numPr>
        <w:spacing w:line="480" w:lineRule="auto"/>
        <w:ind w:left="0" w:leftChars="0" w:firstLine="0" w:firstLineChars="0"/>
        <w:rPr>
          <w:rFonts w:hint="default" w:ascii="Times New Roman" w:hAnsi="Times New Roman" w:cs="Times New Roman"/>
          <w:color w:val="auto"/>
        </w:rPr>
      </w:pPr>
      <w:r>
        <w:rPr>
          <w:rFonts w:hint="default" w:ascii="Times New Roman" w:hAnsi="Times New Roman" w:cs="Times New Roman"/>
          <w:color w:val="auto"/>
          <w:lang w:val="en-IN"/>
        </w:rPr>
        <w:t xml:space="preserve">For </w:t>
      </w:r>
      <w:r>
        <w:rPr>
          <w:rFonts w:hint="default" w:ascii="Times New Roman" w:hAnsi="Times New Roman" w:cs="Times New Roman"/>
          <w:color w:val="auto"/>
        </w:rPr>
        <w:t>Forecasting Models</w:t>
      </w:r>
      <w:r>
        <w:rPr>
          <w:rFonts w:hint="default" w:ascii="Times New Roman" w:hAnsi="Times New Roman" w:cs="Times New Roman"/>
          <w:color w:val="auto"/>
          <w:lang w:val="en-IN"/>
        </w:rPr>
        <w:t xml:space="preserve">: </w:t>
      </w:r>
      <w:r>
        <w:rPr>
          <w:rFonts w:hint="default" w:ascii="Times New Roman" w:hAnsi="Times New Roman" w:cs="Times New Roman"/>
          <w:color w:val="auto"/>
        </w:rPr>
        <w:t>Forecast Results for Apple Inc. Stock</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0"/>
        <w:gridCol w:w="3150"/>
      </w:tblGrid>
      <w:tr w14:paraId="312E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3150" w:type="dxa"/>
          </w:tcPr>
          <w:p w14:paraId="63FE7C84">
            <w:pPr>
              <w:jc w:val="left"/>
              <w:rPr>
                <w:rFonts w:hint="default" w:ascii="Times New Roman" w:hAnsi="Times New Roman" w:cs="Times New Roman"/>
                <w:b/>
                <w:bCs/>
                <w:color w:val="auto"/>
              </w:rPr>
            </w:pPr>
            <w:r>
              <w:rPr>
                <w:rFonts w:hint="default" w:ascii="Times New Roman" w:hAnsi="Times New Roman" w:cs="Times New Roman"/>
                <w:b/>
                <w:bCs/>
                <w:color w:val="auto"/>
              </w:rPr>
              <w:t>Model</w:t>
            </w:r>
          </w:p>
        </w:tc>
        <w:tc>
          <w:tcPr>
            <w:tcW w:w="3150" w:type="dxa"/>
          </w:tcPr>
          <w:p w14:paraId="51404DE4">
            <w:pPr>
              <w:jc w:val="left"/>
              <w:rPr>
                <w:rFonts w:hint="default" w:ascii="Times New Roman" w:hAnsi="Times New Roman" w:cs="Times New Roman"/>
                <w:b/>
                <w:bCs/>
                <w:color w:val="auto"/>
              </w:rPr>
            </w:pPr>
            <w:r>
              <w:rPr>
                <w:rFonts w:hint="default" w:ascii="Times New Roman" w:hAnsi="Times New Roman" w:cs="Times New Roman"/>
                <w:b/>
                <w:bCs/>
                <w:color w:val="auto"/>
              </w:rPr>
              <w:t>RMSE</w:t>
            </w:r>
          </w:p>
        </w:tc>
      </w:tr>
      <w:tr w14:paraId="531BD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3150" w:type="dxa"/>
          </w:tcPr>
          <w:p w14:paraId="7BBD8357">
            <w:pPr>
              <w:jc w:val="left"/>
              <w:rPr>
                <w:rFonts w:hint="default" w:ascii="Times New Roman" w:hAnsi="Times New Roman" w:cs="Times New Roman"/>
                <w:color w:val="auto"/>
              </w:rPr>
            </w:pPr>
            <w:r>
              <w:rPr>
                <w:rFonts w:hint="default" w:ascii="Times New Roman" w:hAnsi="Times New Roman" w:cs="Times New Roman"/>
                <w:color w:val="auto"/>
              </w:rPr>
              <w:t>Random Forest</w:t>
            </w:r>
          </w:p>
        </w:tc>
        <w:tc>
          <w:tcPr>
            <w:tcW w:w="3150" w:type="dxa"/>
          </w:tcPr>
          <w:p w14:paraId="334C1EC2">
            <w:pPr>
              <w:jc w:val="left"/>
              <w:rPr>
                <w:rFonts w:hint="default" w:ascii="Times New Roman" w:hAnsi="Times New Roman" w:cs="Times New Roman"/>
                <w:color w:val="auto"/>
              </w:rPr>
            </w:pPr>
            <w:r>
              <w:rPr>
                <w:rFonts w:hint="default" w:ascii="Times New Roman" w:hAnsi="Times New Roman" w:cs="Times New Roman"/>
                <w:color w:val="auto"/>
              </w:rPr>
              <w:t>81.55</w:t>
            </w:r>
          </w:p>
        </w:tc>
      </w:tr>
      <w:tr w14:paraId="065F0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3150" w:type="dxa"/>
          </w:tcPr>
          <w:p w14:paraId="0FD9BCC7">
            <w:pPr>
              <w:jc w:val="left"/>
              <w:rPr>
                <w:rFonts w:hint="default" w:ascii="Times New Roman" w:hAnsi="Times New Roman" w:cs="Times New Roman"/>
                <w:color w:val="auto"/>
              </w:rPr>
            </w:pPr>
            <w:r>
              <w:rPr>
                <w:rFonts w:hint="default" w:ascii="Times New Roman" w:hAnsi="Times New Roman" w:cs="Times New Roman"/>
                <w:color w:val="auto"/>
              </w:rPr>
              <w:t>ARIMA</w:t>
            </w:r>
          </w:p>
        </w:tc>
        <w:tc>
          <w:tcPr>
            <w:tcW w:w="3150" w:type="dxa"/>
          </w:tcPr>
          <w:p w14:paraId="1F65072A">
            <w:pPr>
              <w:jc w:val="left"/>
              <w:rPr>
                <w:rFonts w:hint="default" w:ascii="Times New Roman" w:hAnsi="Times New Roman" w:cs="Times New Roman"/>
                <w:color w:val="auto"/>
              </w:rPr>
            </w:pPr>
            <w:r>
              <w:rPr>
                <w:rFonts w:hint="default" w:ascii="Times New Roman" w:hAnsi="Times New Roman" w:cs="Times New Roman"/>
                <w:color w:val="auto"/>
              </w:rPr>
              <w:t>91.74</w:t>
            </w:r>
          </w:p>
        </w:tc>
      </w:tr>
    </w:tbl>
    <w:p w14:paraId="1CBAA247">
      <w:pPr>
        <w:spacing w:line="480" w:lineRule="auto"/>
        <w:rPr>
          <w:rFonts w:hint="default" w:ascii="Times New Roman" w:hAnsi="Times New Roman" w:cs="Times New Roman"/>
          <w:color w:val="auto"/>
        </w:rPr>
      </w:pPr>
      <w:r>
        <w:rPr>
          <w:rFonts w:hint="default" w:ascii="Times New Roman" w:hAnsi="Times New Roman" w:cs="Times New Roman"/>
          <w:color w:val="auto"/>
        </w:rPr>
        <w:br w:type="textWrapping"/>
      </w:r>
      <w:r>
        <w:rPr>
          <w:rFonts w:hint="default" w:ascii="Times New Roman" w:hAnsi="Times New Roman" w:cs="Times New Roman"/>
          <w:color w:val="auto"/>
        </w:rPr>
        <w:t>Note. RMSE = Root Mean Squared Error. Lower values indicate higher predictive accuracy. Random Forest captured nonlinearities better than ARIMA, suggesting machine learning models may provide more accurate short-term forecasts.</w:t>
      </w:r>
    </w:p>
    <w:p w14:paraId="1FDFAB91">
      <w:pPr>
        <w:numPr>
          <w:ilvl w:val="0"/>
          <w:numId w:val="7"/>
        </w:numPr>
        <w:spacing w:line="480" w:lineRule="auto"/>
        <w:ind w:left="0" w:leftChars="0" w:firstLine="0" w:firstLineChars="0"/>
        <w:rPr>
          <w:rFonts w:hint="default" w:ascii="Times New Roman" w:hAnsi="Times New Roman" w:cs="Times New Roman"/>
          <w:color w:val="auto"/>
          <w:vertAlign w:val="baseline"/>
        </w:rPr>
      </w:pPr>
      <w:r>
        <w:rPr>
          <w:rFonts w:hint="default" w:ascii="Times New Roman" w:hAnsi="Times New Roman" w:cs="Times New Roman"/>
          <w:color w:val="auto"/>
          <w:lang w:val="en-IN"/>
        </w:rPr>
        <w:t xml:space="preserve">For </w:t>
      </w:r>
      <w:r>
        <w:rPr>
          <w:rFonts w:hint="default" w:ascii="Times New Roman" w:hAnsi="Times New Roman" w:cs="Times New Roman"/>
          <w:color w:val="auto"/>
        </w:rPr>
        <w:t>Clustering</w:t>
      </w:r>
      <w:r>
        <w:rPr>
          <w:rFonts w:hint="default" w:ascii="Times New Roman" w:hAnsi="Times New Roman" w:cs="Times New Roman"/>
          <w:color w:val="auto"/>
          <w:lang w:val="en-IN"/>
        </w:rPr>
        <w:t xml:space="preserve">: </w:t>
      </w:r>
      <w:r>
        <w:rPr>
          <w:rFonts w:hint="default" w:ascii="Times New Roman" w:hAnsi="Times New Roman" w:cs="Times New Roman"/>
          <w:color w:val="auto"/>
        </w:rPr>
        <w:t>Cluster Characteristics of Apple Inc. Stock Performance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5"/>
        <w:gridCol w:w="2400"/>
        <w:gridCol w:w="2080"/>
        <w:gridCol w:w="3421"/>
      </w:tblGrid>
      <w:tr w14:paraId="4C796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tcPr>
          <w:p w14:paraId="2F2F9428">
            <w:pPr>
              <w:numPr>
                <w:ilvl w:val="0"/>
                <w:numId w:val="0"/>
              </w:num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Cluster</w:t>
            </w:r>
          </w:p>
        </w:tc>
        <w:tc>
          <w:tcPr>
            <w:tcW w:w="2400" w:type="dxa"/>
          </w:tcPr>
          <w:p w14:paraId="650DF7EE">
            <w:pPr>
              <w:numPr>
                <w:ilvl w:val="0"/>
                <w:numId w:val="0"/>
              </w:num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Description</w:t>
            </w:r>
          </w:p>
        </w:tc>
        <w:tc>
          <w:tcPr>
            <w:tcW w:w="2080" w:type="dxa"/>
          </w:tcPr>
          <w:p w14:paraId="2BEDD79E">
            <w:pPr>
              <w:numPr>
                <w:ilvl w:val="0"/>
                <w:numId w:val="0"/>
              </w:num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Average Volatility</w:t>
            </w:r>
          </w:p>
        </w:tc>
        <w:tc>
          <w:tcPr>
            <w:tcW w:w="3421" w:type="dxa"/>
          </w:tcPr>
          <w:p w14:paraId="3F64F3F5">
            <w:pPr>
              <w:numPr>
                <w:ilvl w:val="0"/>
                <w:numId w:val="0"/>
              </w:num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Behavior Regime</w:t>
            </w:r>
          </w:p>
        </w:tc>
      </w:tr>
      <w:tr w14:paraId="7BB59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tcPr>
          <w:p w14:paraId="7925E01F">
            <w:pPr>
              <w:numPr>
                <w:ilvl w:val="0"/>
                <w:numId w:val="0"/>
              </w:num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1</w:t>
            </w:r>
          </w:p>
        </w:tc>
        <w:tc>
          <w:tcPr>
            <w:tcW w:w="2400" w:type="dxa"/>
          </w:tcPr>
          <w:p w14:paraId="3E0AA0EA">
            <w:pPr>
              <w:numPr>
                <w:ilvl w:val="0"/>
                <w:numId w:val="0"/>
              </w:num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Stable periods</w:t>
            </w:r>
          </w:p>
        </w:tc>
        <w:tc>
          <w:tcPr>
            <w:tcW w:w="2080" w:type="dxa"/>
          </w:tcPr>
          <w:p w14:paraId="30ABBDBB">
            <w:pPr>
              <w:numPr>
                <w:ilvl w:val="0"/>
                <w:numId w:val="0"/>
              </w:num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Low</w:t>
            </w:r>
          </w:p>
        </w:tc>
        <w:tc>
          <w:tcPr>
            <w:tcW w:w="3421" w:type="dxa"/>
          </w:tcPr>
          <w:p w14:paraId="36A18E81">
            <w:pPr>
              <w:numPr>
                <w:ilvl w:val="0"/>
                <w:numId w:val="0"/>
              </w:numPr>
              <w:spacing w:line="480" w:lineRule="auto"/>
              <w:rPr>
                <w:rFonts w:hint="default" w:ascii="Times New Roman" w:hAnsi="Times New Roman" w:cs="Times New Roman"/>
                <w:color w:val="auto"/>
                <w:vertAlign w:val="baseline"/>
              </w:rPr>
            </w:pPr>
            <w:r>
              <w:rPr>
                <w:rFonts w:hint="default" w:ascii="Times New Roman" w:hAnsi="Times New Roman" w:cs="Times New Roman"/>
                <w:color w:val="auto"/>
              </w:rPr>
              <w:t>Low volatility, consistent growth</w:t>
            </w:r>
          </w:p>
        </w:tc>
      </w:tr>
      <w:tr w14:paraId="7BC8B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tcPr>
          <w:p w14:paraId="114729A6">
            <w:pPr>
              <w:numPr>
                <w:ilvl w:val="0"/>
                <w:numId w:val="0"/>
              </w:num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2</w:t>
            </w:r>
          </w:p>
        </w:tc>
        <w:tc>
          <w:tcPr>
            <w:tcW w:w="2400" w:type="dxa"/>
          </w:tcPr>
          <w:p w14:paraId="31F44872">
            <w:pPr>
              <w:numPr>
                <w:ilvl w:val="0"/>
                <w:numId w:val="0"/>
              </w:num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Moderate growth</w:t>
            </w:r>
          </w:p>
        </w:tc>
        <w:tc>
          <w:tcPr>
            <w:tcW w:w="2080" w:type="dxa"/>
          </w:tcPr>
          <w:p w14:paraId="2A7DE199">
            <w:pPr>
              <w:numPr>
                <w:ilvl w:val="0"/>
                <w:numId w:val="0"/>
              </w:num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Medium</w:t>
            </w:r>
          </w:p>
        </w:tc>
        <w:tc>
          <w:tcPr>
            <w:tcW w:w="3421" w:type="dxa"/>
          </w:tcPr>
          <w:p w14:paraId="47C94FBC">
            <w:pPr>
              <w:numPr>
                <w:ilvl w:val="0"/>
                <w:numId w:val="0"/>
              </w:numPr>
              <w:spacing w:line="480" w:lineRule="auto"/>
              <w:rPr>
                <w:rFonts w:hint="default" w:ascii="Times New Roman" w:hAnsi="Times New Roman" w:cs="Times New Roman"/>
                <w:color w:val="auto"/>
                <w:vertAlign w:val="baseline"/>
              </w:rPr>
            </w:pPr>
            <w:r>
              <w:rPr>
                <w:rFonts w:hint="default" w:ascii="Times New Roman" w:hAnsi="Times New Roman" w:cs="Times New Roman"/>
                <w:color w:val="auto"/>
              </w:rPr>
              <w:t>Balanced returns with moderate variance</w:t>
            </w:r>
          </w:p>
        </w:tc>
      </w:tr>
      <w:tr w14:paraId="0FA5F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tcPr>
          <w:p w14:paraId="174520FD">
            <w:pPr>
              <w:numPr>
                <w:ilvl w:val="0"/>
                <w:numId w:val="0"/>
              </w:num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3</w:t>
            </w:r>
          </w:p>
        </w:tc>
        <w:tc>
          <w:tcPr>
            <w:tcW w:w="2400" w:type="dxa"/>
          </w:tcPr>
          <w:p w14:paraId="5A909A03">
            <w:pPr>
              <w:numPr>
                <w:ilvl w:val="0"/>
                <w:numId w:val="0"/>
              </w:num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High-volatility swings</w:t>
            </w:r>
          </w:p>
        </w:tc>
        <w:tc>
          <w:tcPr>
            <w:tcW w:w="2080" w:type="dxa"/>
          </w:tcPr>
          <w:p w14:paraId="2EE7413C">
            <w:pPr>
              <w:numPr>
                <w:ilvl w:val="0"/>
                <w:numId w:val="0"/>
              </w:numPr>
              <w:spacing w:line="480" w:lineRule="auto"/>
              <w:rPr>
                <w:rFonts w:hint="default" w:ascii="Times New Roman" w:hAnsi="Times New Roman" w:cs="Times New Roman"/>
                <w:color w:val="auto"/>
                <w:vertAlign w:val="baseline"/>
                <w:lang w:val="en-IN"/>
              </w:rPr>
            </w:pPr>
            <w:r>
              <w:rPr>
                <w:rFonts w:hint="default" w:ascii="Times New Roman" w:hAnsi="Times New Roman" w:cs="Times New Roman"/>
                <w:color w:val="auto"/>
                <w:vertAlign w:val="baseline"/>
                <w:lang w:val="en-IN"/>
              </w:rPr>
              <w:t>High</w:t>
            </w:r>
          </w:p>
        </w:tc>
        <w:tc>
          <w:tcPr>
            <w:tcW w:w="3421" w:type="dxa"/>
          </w:tcPr>
          <w:p w14:paraId="29C05294">
            <w:pPr>
              <w:numPr>
                <w:ilvl w:val="0"/>
                <w:numId w:val="0"/>
              </w:numPr>
              <w:spacing w:line="480" w:lineRule="auto"/>
              <w:rPr>
                <w:rFonts w:hint="default" w:ascii="Times New Roman" w:hAnsi="Times New Roman" w:cs="Times New Roman"/>
                <w:color w:val="auto"/>
                <w:vertAlign w:val="baseline"/>
              </w:rPr>
            </w:pPr>
            <w:r>
              <w:rPr>
                <w:rFonts w:hint="default" w:ascii="Times New Roman" w:hAnsi="Times New Roman" w:cs="Times New Roman"/>
                <w:color w:val="auto"/>
              </w:rPr>
              <w:t>Large price fluctuations, risk-intensive</w:t>
            </w:r>
          </w:p>
        </w:tc>
      </w:tr>
    </w:tbl>
    <w:p w14:paraId="2F35BE86">
      <w:pPr>
        <w:numPr>
          <w:ilvl w:val="0"/>
          <w:numId w:val="0"/>
        </w:numPr>
        <w:spacing w:line="480" w:lineRule="auto"/>
        <w:ind w:leftChars="0"/>
        <w:rPr>
          <w:rFonts w:hint="default" w:ascii="Times New Roman" w:hAnsi="Times New Roman" w:cs="Times New Roman"/>
          <w:color w:val="auto"/>
        </w:rPr>
      </w:pPr>
    </w:p>
    <w:p w14:paraId="35868F17">
      <w:pPr>
        <w:numPr>
          <w:ilvl w:val="0"/>
          <w:numId w:val="0"/>
        </w:numPr>
        <w:spacing w:line="480" w:lineRule="auto"/>
        <w:ind w:leftChars="0"/>
        <w:rPr>
          <w:rFonts w:hint="default" w:ascii="Times New Roman" w:hAnsi="Times New Roman" w:cs="Times New Roman"/>
          <w:color w:val="auto"/>
        </w:rPr>
      </w:pPr>
      <w:r>
        <w:rPr>
          <w:rFonts w:hint="default" w:ascii="Times New Roman" w:hAnsi="Times New Roman" w:cs="Times New Roman"/>
          <w:color w:val="auto"/>
        </w:rPr>
        <w:t>Note. Clusters were identified using K-means (k = 3). These regimes correspond to stable, moderate, and high-volatility periods in Apple’s stock history.</w:t>
      </w:r>
    </w:p>
    <w:p w14:paraId="0A7C28F0">
      <w:pPr>
        <w:spacing w:line="480" w:lineRule="auto"/>
        <w:rPr>
          <w:rStyle w:val="17"/>
          <w:rFonts w:hint="default" w:ascii="Times New Roman" w:hAnsi="Times New Roman" w:eastAsia="SimSun" w:cs="Times New Roman"/>
          <w:b/>
          <w:bCs/>
          <w:i w:val="0"/>
          <w:iCs w:val="0"/>
          <w:color w:val="auto"/>
          <w:sz w:val="28"/>
          <w:szCs w:val="28"/>
          <w:lang w:val="en-IN"/>
        </w:rPr>
      </w:pPr>
      <w:r>
        <w:rPr>
          <w:rStyle w:val="17"/>
          <w:rFonts w:hint="default" w:ascii="Times New Roman" w:hAnsi="Times New Roman" w:eastAsia="SimSun" w:cs="Times New Roman"/>
          <w:b/>
          <w:bCs/>
          <w:i w:val="0"/>
          <w:iCs w:val="0"/>
          <w:color w:val="auto"/>
          <w:sz w:val="28"/>
          <w:szCs w:val="28"/>
        </w:rPr>
        <w:t>Interpretation</w:t>
      </w:r>
      <w:r>
        <w:rPr>
          <w:rStyle w:val="17"/>
          <w:rFonts w:hint="default" w:eastAsia="SimSun" w:cs="Times New Roman"/>
          <w:b/>
          <w:bCs/>
          <w:i w:val="0"/>
          <w:iCs w:val="0"/>
          <w:color w:val="auto"/>
          <w:sz w:val="28"/>
          <w:szCs w:val="28"/>
          <w:lang w:val="en-IN"/>
        </w:rPr>
        <w:t>:</w:t>
      </w:r>
    </w:p>
    <w:p w14:paraId="06E78D6F">
      <w:pPr>
        <w:spacing w:line="480" w:lineRule="auto"/>
        <w:ind w:firstLine="480" w:firstLineChars="200"/>
        <w:rPr>
          <w:rFonts w:hint="default" w:ascii="Times New Roman" w:hAnsi="Times New Roman" w:eastAsia="SimSun" w:cs="Times New Roman"/>
          <w:i w:val="0"/>
          <w:iCs w:val="0"/>
          <w:color w:val="auto"/>
          <w:sz w:val="24"/>
          <w:szCs w:val="24"/>
        </w:rPr>
      </w:pPr>
      <w:r>
        <w:rPr>
          <w:rFonts w:hint="default" w:ascii="Times New Roman" w:hAnsi="Times New Roman" w:eastAsia="SimSun" w:cs="Times New Roman"/>
          <w:i w:val="0"/>
          <w:iCs w:val="0"/>
          <w:color w:val="auto"/>
          <w:sz w:val="24"/>
          <w:szCs w:val="24"/>
        </w:rPr>
        <w:t xml:space="preserve">The feature importance chart highlights that </w:t>
      </w:r>
      <w:r>
        <w:rPr>
          <w:rStyle w:val="17"/>
          <w:rFonts w:hint="default" w:ascii="Times New Roman" w:hAnsi="Times New Roman" w:eastAsia="SimSun" w:cs="Times New Roman"/>
          <w:i w:val="0"/>
          <w:iCs w:val="0"/>
          <w:color w:val="auto"/>
          <w:sz w:val="24"/>
          <w:szCs w:val="24"/>
        </w:rPr>
        <w:t>Closing Price</w:t>
      </w:r>
      <w:r>
        <w:rPr>
          <w:rFonts w:hint="default" w:ascii="Times New Roman" w:hAnsi="Times New Roman" w:eastAsia="SimSun" w:cs="Times New Roman"/>
          <w:i w:val="0"/>
          <w:iCs w:val="0"/>
          <w:color w:val="auto"/>
          <w:sz w:val="24"/>
          <w:szCs w:val="24"/>
        </w:rPr>
        <w:t xml:space="preserve"> and </w:t>
      </w:r>
      <w:r>
        <w:rPr>
          <w:rStyle w:val="17"/>
          <w:rFonts w:hint="default" w:ascii="Times New Roman" w:hAnsi="Times New Roman" w:eastAsia="SimSun" w:cs="Times New Roman"/>
          <w:i w:val="0"/>
          <w:iCs w:val="0"/>
          <w:color w:val="auto"/>
          <w:sz w:val="24"/>
          <w:szCs w:val="24"/>
        </w:rPr>
        <w:t>Volume</w:t>
      </w:r>
      <w:r>
        <w:rPr>
          <w:rFonts w:hint="default" w:ascii="Times New Roman" w:hAnsi="Times New Roman" w:eastAsia="SimSun" w:cs="Times New Roman"/>
          <w:i w:val="0"/>
          <w:iCs w:val="0"/>
          <w:color w:val="auto"/>
          <w:sz w:val="24"/>
          <w:szCs w:val="24"/>
        </w:rPr>
        <w:t xml:space="preserve"> are the most influential predictors, followed by </w:t>
      </w:r>
      <w:r>
        <w:rPr>
          <w:rStyle w:val="17"/>
          <w:rFonts w:hint="default" w:ascii="Times New Roman" w:hAnsi="Times New Roman" w:eastAsia="SimSun" w:cs="Times New Roman"/>
          <w:i w:val="0"/>
          <w:iCs w:val="0"/>
          <w:color w:val="auto"/>
          <w:sz w:val="24"/>
          <w:szCs w:val="24"/>
        </w:rPr>
        <w:t>Returns</w:t>
      </w:r>
      <w:r>
        <w:rPr>
          <w:rFonts w:hint="default" w:ascii="Times New Roman" w:hAnsi="Times New Roman" w:eastAsia="SimSun" w:cs="Times New Roman"/>
          <w:i w:val="0"/>
          <w:iCs w:val="0"/>
          <w:color w:val="auto"/>
          <w:sz w:val="24"/>
          <w:szCs w:val="24"/>
        </w:rPr>
        <w:t xml:space="preserve">, </w:t>
      </w:r>
      <w:r>
        <w:rPr>
          <w:rStyle w:val="17"/>
          <w:rFonts w:hint="default" w:ascii="Times New Roman" w:hAnsi="Times New Roman" w:eastAsia="SimSun" w:cs="Times New Roman"/>
          <w:i w:val="0"/>
          <w:iCs w:val="0"/>
          <w:color w:val="auto"/>
          <w:sz w:val="24"/>
          <w:szCs w:val="24"/>
        </w:rPr>
        <w:t>Volatility</w:t>
      </w:r>
      <w:r>
        <w:rPr>
          <w:rFonts w:hint="default" w:ascii="Times New Roman" w:hAnsi="Times New Roman" w:eastAsia="SimSun" w:cs="Times New Roman"/>
          <w:i w:val="0"/>
          <w:iCs w:val="0"/>
          <w:color w:val="auto"/>
          <w:sz w:val="24"/>
          <w:szCs w:val="24"/>
        </w:rPr>
        <w:t xml:space="preserve">, and </w:t>
      </w:r>
      <w:r>
        <w:rPr>
          <w:rStyle w:val="17"/>
          <w:rFonts w:hint="default" w:ascii="Times New Roman" w:hAnsi="Times New Roman" w:eastAsia="SimSun" w:cs="Times New Roman"/>
          <w:i w:val="0"/>
          <w:iCs w:val="0"/>
          <w:color w:val="auto"/>
          <w:sz w:val="24"/>
          <w:szCs w:val="24"/>
        </w:rPr>
        <w:t>Moving Averages</w:t>
      </w:r>
      <w:r>
        <w:rPr>
          <w:rFonts w:hint="default" w:ascii="Times New Roman" w:hAnsi="Times New Roman" w:eastAsia="SimSun" w:cs="Times New Roman"/>
          <w:i w:val="0"/>
          <w:iCs w:val="0"/>
          <w:color w:val="auto"/>
          <w:sz w:val="24"/>
          <w:szCs w:val="24"/>
        </w:rPr>
        <w:t>. This demonstrates that Random Forest effectively captures nonlinear relationships in stock dynamics by prioritizing price levels and trading activity as dominant drivers of forecast accuracy.</w:t>
      </w:r>
    </w:p>
    <w:p w14:paraId="05E2E3D3">
      <w:pPr>
        <w:spacing w:line="480" w:lineRule="auto"/>
        <w:rPr>
          <w:rStyle w:val="35"/>
          <w:rFonts w:hint="default" w:ascii="Times New Roman" w:hAnsi="Times New Roman" w:cs="Times New Roman"/>
          <w:color w:val="auto"/>
          <w:sz w:val="28"/>
          <w:szCs w:val="24"/>
          <w:lang w:val="en-IN"/>
        </w:rPr>
      </w:pPr>
      <w:r>
        <w:rPr>
          <w:rStyle w:val="35"/>
          <w:rFonts w:hint="default" w:ascii="Times New Roman" w:hAnsi="Times New Roman" w:cs="Times New Roman"/>
          <w:color w:val="auto"/>
          <w:sz w:val="28"/>
          <w:szCs w:val="24"/>
        </w:rPr>
        <w:t>Final Decision</w:t>
      </w:r>
      <w:r>
        <w:rPr>
          <w:rStyle w:val="35"/>
          <w:rFonts w:hint="default" w:cs="Times New Roman"/>
          <w:color w:val="auto"/>
          <w:sz w:val="28"/>
          <w:szCs w:val="24"/>
          <w:lang w:val="en-IN"/>
        </w:rPr>
        <w:t>:</w:t>
      </w:r>
    </w:p>
    <w:p w14:paraId="45821843">
      <w:pPr>
        <w:spacing w:line="480" w:lineRule="auto"/>
        <w:ind w:firstLine="360" w:firstLineChars="150"/>
        <w:rPr>
          <w:rFonts w:hint="default" w:ascii="Times New Roman" w:hAnsi="Times New Roman" w:cs="Times New Roman"/>
          <w:color w:val="auto"/>
        </w:rPr>
      </w:pPr>
      <w:r>
        <w:rPr>
          <w:rFonts w:hint="default" w:ascii="Times New Roman" w:hAnsi="Times New Roman" w:cs="Times New Roman"/>
          <w:color w:val="auto"/>
        </w:rPr>
        <w:t xml:space="preserve">Based on the forecasting performance comparison, </w:t>
      </w:r>
      <w:r>
        <w:rPr>
          <w:rFonts w:hint="default" w:cs="Times New Roman"/>
          <w:color w:val="auto"/>
          <w:lang w:val="en-IN"/>
        </w:rPr>
        <w:t>“</w:t>
      </w:r>
      <w:r>
        <w:rPr>
          <w:rStyle w:val="35"/>
          <w:rFonts w:hint="default" w:ascii="Times New Roman" w:hAnsi="Times New Roman" w:cs="Times New Roman"/>
          <w:color w:val="auto"/>
        </w:rPr>
        <w:t>Random Forest was finalized as the preferred model</w:t>
      </w:r>
      <w:r>
        <w:rPr>
          <w:rStyle w:val="35"/>
          <w:rFonts w:hint="default" w:cs="Times New Roman"/>
          <w:color w:val="auto"/>
          <w:lang w:val="en-IN"/>
        </w:rPr>
        <w:t>”</w:t>
      </w:r>
      <w:r>
        <w:rPr>
          <w:rFonts w:hint="default" w:ascii="Times New Roman" w:hAnsi="Times New Roman" w:cs="Times New Roman"/>
          <w:color w:val="auto"/>
        </w:rPr>
        <w:t>. It achieved a lower RMSE (81.55) compared to ARIMA (91.74), supporting evidence from prior research that ensemble methods capture complex financial patterns more effectively than traditional time-series models (Zhang, Patuwo, &amp; Hu, 1998; Fischer &amp; Krauss, 2018). This outcome suggests that investors relying on Random Forest forecasts may obtain more accurate short-term predictions, enabling better risk-adjusted decisions.</w:t>
      </w:r>
    </w:p>
    <w:p w14:paraId="31AD42C0">
      <w:pPr>
        <w:spacing w:line="480" w:lineRule="auto"/>
        <w:ind w:firstLine="480" w:firstLineChars="200"/>
        <w:jc w:val="left"/>
        <w:rPr>
          <w:rFonts w:hint="default" w:ascii="Times New Roman" w:hAnsi="Times New Roman" w:cs="Times New Roman"/>
          <w:color w:val="auto"/>
        </w:rPr>
      </w:pPr>
      <w:r>
        <w:rPr>
          <w:rFonts w:hint="default" w:ascii="Times New Roman" w:hAnsi="Times New Roman" w:eastAsia="SimSun" w:cs="Times New Roman"/>
          <w:color w:val="auto"/>
          <w:sz w:val="24"/>
          <w:szCs w:val="24"/>
        </w:rPr>
        <w:drawing>
          <wp:inline distT="0" distB="0" distL="114300" distR="114300">
            <wp:extent cx="4290060" cy="3079115"/>
            <wp:effectExtent l="0" t="0" r="7620" b="14605"/>
            <wp:docPr id="1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IMG_256"/>
                    <pic:cNvPicPr>
                      <a:picLocks noChangeAspect="1"/>
                    </pic:cNvPicPr>
                  </pic:nvPicPr>
                  <pic:blipFill>
                    <a:blip r:embed="rId23"/>
                    <a:stretch>
                      <a:fillRect/>
                    </a:stretch>
                  </pic:blipFill>
                  <pic:spPr>
                    <a:xfrm>
                      <a:off x="0" y="0"/>
                      <a:ext cx="4290060" cy="3079115"/>
                    </a:xfrm>
                    <a:prstGeom prst="rect">
                      <a:avLst/>
                    </a:prstGeom>
                    <a:noFill/>
                    <a:ln w="9525">
                      <a:noFill/>
                    </a:ln>
                  </pic:spPr>
                </pic:pic>
              </a:graphicData>
            </a:graphic>
          </wp:inline>
        </w:drawing>
      </w:r>
    </w:p>
    <w:p w14:paraId="4F5376E5">
      <w:pPr>
        <w:rPr>
          <w:rFonts w:hint="default" w:ascii="Times New Roman" w:hAnsi="Times New Roman" w:cs="Times New Roman"/>
          <w:color w:val="auto"/>
          <w:lang w:val="en-IN"/>
        </w:rPr>
      </w:pPr>
      <w:r>
        <w:rPr>
          <w:rFonts w:hint="default" w:ascii="Times New Roman" w:hAnsi="Times New Roman" w:cs="Times New Roman"/>
          <w:b/>
          <w:bCs/>
          <w:color w:val="auto"/>
          <w:sz w:val="28"/>
          <w:szCs w:val="24"/>
        </w:rPr>
        <w:t>Limitations and Future Work</w:t>
      </w:r>
      <w:r>
        <w:rPr>
          <w:rFonts w:hint="default" w:ascii="Times New Roman" w:hAnsi="Times New Roman" w:cs="Times New Roman"/>
          <w:b/>
          <w:bCs/>
          <w:color w:val="auto"/>
        </w:rPr>
        <w:br w:type="textWrapping"/>
      </w:r>
      <w:r>
        <w:rPr>
          <w:rFonts w:hint="default" w:ascii="Times New Roman" w:hAnsi="Times New Roman" w:cs="Times New Roman"/>
          <w:color w:val="auto"/>
        </w:rPr>
        <w:t>While Random Forest provided superior accuracy, limitations include potential overfitting, inability to extrapolate beyond historical ranges, and sensitivity to feature selection. Market shocks, macroeconomic events, and regime changes were not modeled, which may reduce robustness. Future work should explore deep learning methods such as LSTM networks for sequential modeling, integration of macroeconomic indicators, and adaptive retraining strategies to handle drift in financial data.</w:t>
      </w:r>
    </w:p>
    <w:p w14:paraId="687EF2A3">
      <w:pPr>
        <w:rPr>
          <w:rFonts w:hint="default" w:ascii="Times New Roman" w:hAnsi="Times New Roman" w:cs="Times New Roman"/>
          <w:b/>
          <w:bCs/>
          <w:color w:val="auto"/>
          <w:sz w:val="28"/>
          <w:szCs w:val="24"/>
        </w:rPr>
      </w:pPr>
      <w:r>
        <w:rPr>
          <w:rFonts w:hint="default" w:ascii="Times New Roman" w:hAnsi="Times New Roman" w:cs="Times New Roman"/>
          <w:b/>
          <w:bCs/>
          <w:color w:val="auto"/>
          <w:sz w:val="28"/>
          <w:szCs w:val="24"/>
        </w:rPr>
        <w:t>Conclusion</w:t>
      </w:r>
    </w:p>
    <w:p w14:paraId="529238AC">
      <w:pPr>
        <w:ind w:firstLine="480" w:firstLineChars="200"/>
        <w:rPr>
          <w:rFonts w:hint="default" w:ascii="Times New Roman" w:hAnsi="Times New Roman" w:cs="Times New Roman"/>
          <w:color w:val="auto"/>
        </w:rPr>
      </w:pPr>
      <w:r>
        <w:rPr>
          <w:rFonts w:hint="default" w:ascii="Times New Roman" w:hAnsi="Times New Roman" w:cs="Times New Roman"/>
          <w:color w:val="auto"/>
        </w:rPr>
        <w:t>This project applied the OSEMiN framework to forecast Apple Inc. stock performance using historical data. Exploratory analysis revealed clear growth trends, volatility clusters, and correlations between key stock metrics. Clustering identified three distinct regimes of stock behavior, while A/B testing demonstrated that disciplined strategies significantly outperform less systematic ones.</w:t>
      </w:r>
    </w:p>
    <w:p w14:paraId="536302D6">
      <w:pPr>
        <w:spacing w:line="480" w:lineRule="auto"/>
        <w:ind w:firstLine="480" w:firstLineChars="200"/>
        <w:jc w:val="left"/>
        <w:rPr>
          <w:rFonts w:hint="default" w:ascii="Times New Roman" w:hAnsi="Times New Roman" w:cs="Times New Roman"/>
          <w:color w:val="auto"/>
        </w:rPr>
      </w:pPr>
      <w:r>
        <w:rPr>
          <w:rFonts w:hint="default" w:ascii="Times New Roman" w:hAnsi="Times New Roman" w:cs="Times New Roman"/>
          <w:color w:val="auto"/>
        </w:rPr>
        <w:t>The forecasting comparison revealed a decisive outcome: Random Forest achieved superior predictive accuracy (RMSE = 81.55) compared to ARIMA (RMSE = 91.74). This finding suggests that ensemble machine learning methods provide a more reliable basis for short-term predictions in volatile markets.</w:t>
      </w:r>
    </w:p>
    <w:p w14:paraId="21F13F45">
      <w:pPr>
        <w:spacing w:line="480" w:lineRule="auto"/>
        <w:ind w:firstLine="480" w:firstLineChars="200"/>
        <w:jc w:val="left"/>
        <w:rPr>
          <w:rFonts w:hint="default" w:ascii="Times New Roman" w:hAnsi="Times New Roman" w:cs="Times New Roman"/>
          <w:color w:val="auto"/>
        </w:rPr>
      </w:pPr>
      <w:r>
        <w:rPr>
          <w:rFonts w:hint="default" w:ascii="Times New Roman" w:hAnsi="Times New Roman" w:cs="Times New Roman"/>
          <w:color w:val="auto"/>
        </w:rPr>
        <w:t>From a business standpoint, these results underscore the value of integrating predictive analytics into investment decision-making. Limitations of this study include reliance on historical data and exclusion of macroeconomic or sentiment-based variables. Future work could integrate deep learning architectures, such as LSTMs, or include external drivers like news sentiment and macroeconomic indicators to further enhance accuracy.</w:t>
      </w:r>
    </w:p>
    <w:p w14:paraId="43EED14A">
      <w:pPr>
        <w:spacing w:line="480" w:lineRule="auto"/>
        <w:ind w:firstLine="480" w:firstLineChars="200"/>
        <w:jc w:val="left"/>
        <w:rPr>
          <w:rFonts w:hint="default" w:ascii="Times New Roman" w:hAnsi="Times New Roman" w:cs="Times New Roman"/>
          <w:color w:val="auto"/>
        </w:rPr>
      </w:pPr>
      <w:r>
        <w:rPr>
          <w:rFonts w:hint="default" w:ascii="Times New Roman" w:hAnsi="Times New Roman" w:cs="Times New Roman"/>
          <w:color w:val="auto"/>
        </w:rPr>
        <w:t>Ultimately, the findings highlight that while no model can guarantee future outcomes, machine learning provides investors with a valuable edge in navigating uncertain markets. Responsible application of these tools, informed by ethical and Christian perspectives, ensures that analytics contributes not only to profit but also to fairness, accountability, and wise stewardship.</w:t>
      </w:r>
    </w:p>
    <w:p w14:paraId="79651BA7">
      <w:pPr>
        <w:spacing w:line="480" w:lineRule="auto"/>
        <w:rPr>
          <w:rFonts w:hint="default" w:ascii="Times New Roman" w:hAnsi="Times New Roman" w:cs="Times New Roman"/>
          <w:b/>
          <w:bCs/>
          <w:color w:val="auto"/>
          <w:sz w:val="28"/>
          <w:szCs w:val="24"/>
        </w:rPr>
      </w:pPr>
      <w:r>
        <w:rPr>
          <w:rFonts w:hint="default" w:ascii="Times New Roman" w:hAnsi="Times New Roman" w:cs="Times New Roman"/>
          <w:b/>
          <w:bCs/>
          <w:color w:val="auto"/>
          <w:sz w:val="28"/>
          <w:szCs w:val="24"/>
        </w:rPr>
        <w:t>Ethics and Christian Perspective</w:t>
      </w:r>
    </w:p>
    <w:p w14:paraId="285EF3F3">
      <w:pPr>
        <w:spacing w:line="480" w:lineRule="auto"/>
        <w:ind w:firstLine="480" w:firstLineChars="200"/>
        <w:rPr>
          <w:rFonts w:hint="default" w:ascii="Times New Roman" w:hAnsi="Times New Roman" w:cs="Times New Roman"/>
          <w:color w:val="auto"/>
        </w:rPr>
      </w:pPr>
      <w:r>
        <w:rPr>
          <w:rFonts w:hint="default" w:ascii="Times New Roman" w:hAnsi="Times New Roman" w:cs="Times New Roman"/>
          <w:color w:val="auto"/>
        </w:rPr>
        <w:t>From a Christian perspective, stewardship plays a central role. Investors and analysts are entrusted with resources, and applying advanced analytics responsibly aligns with biblical principles of wise management (Luke 16:10–12). By treating data as a form of entrusted resource, analysts are called to pursue accuracy, honesty, and accountability. Using forecasting tools to exploit vulnerable investors would contradict this stewardship responsibility.</w:t>
      </w:r>
    </w:p>
    <w:p w14:paraId="08991502">
      <w:pPr>
        <w:spacing w:line="480" w:lineRule="auto"/>
        <w:ind w:firstLine="480" w:firstLineChars="200"/>
        <w:rPr>
          <w:rFonts w:hint="default" w:ascii="Times New Roman" w:hAnsi="Times New Roman" w:cs="Times New Roman"/>
          <w:color w:val="auto"/>
        </w:rPr>
      </w:pPr>
      <w:r>
        <w:rPr>
          <w:rFonts w:hint="default" w:ascii="Times New Roman" w:hAnsi="Times New Roman" w:cs="Times New Roman"/>
          <w:color w:val="auto"/>
        </w:rPr>
        <w:t>The use of predictive analytics in financial markets raises important ethical considerations. First, fairness and bias prevention must be emphasized. Models should not systematically favor certain groups of investors or mislead stakeholders through selective reporting of results. Ensuring transparency in model performance metrics, such as clearly stating RMSE values, helps build trust and avoids manipulation of forecasts.</w:t>
      </w:r>
    </w:p>
    <w:p w14:paraId="6D9343AA">
      <w:pPr>
        <w:spacing w:line="480" w:lineRule="auto"/>
        <w:ind w:firstLine="480" w:firstLineChars="200"/>
        <w:rPr>
          <w:rFonts w:hint="default" w:ascii="Times New Roman" w:hAnsi="Times New Roman" w:cs="Times New Roman"/>
          <w:color w:val="auto"/>
        </w:rPr>
      </w:pPr>
      <w:r>
        <w:rPr>
          <w:rFonts w:hint="default" w:ascii="Times New Roman" w:hAnsi="Times New Roman" w:cs="Times New Roman"/>
          <w:color w:val="auto"/>
          <w:lang w:val="en-IN"/>
        </w:rPr>
        <w:t xml:space="preserve"> </w:t>
      </w:r>
      <w:r>
        <w:rPr>
          <w:rFonts w:hint="default" w:ascii="Times New Roman" w:hAnsi="Times New Roman" w:cs="Times New Roman"/>
          <w:color w:val="auto"/>
        </w:rPr>
        <w:t>Additionally, ethical stewardship requires transparency in communicating model limitations to stakeholders. Predictions should not be used for speculative purposes outside their validated horizon. Regular monitoring for model drift and documenting risk management practices aligns with responsible use of financial technology.</w:t>
      </w:r>
    </w:p>
    <w:p w14:paraId="2B337E1A">
      <w:pPr>
        <w:spacing w:line="480" w:lineRule="auto"/>
        <w:ind w:firstLine="480" w:firstLineChars="200"/>
        <w:rPr>
          <w:rFonts w:hint="default" w:ascii="Times New Roman" w:hAnsi="Times New Roman" w:cs="Times New Roman"/>
          <w:color w:val="auto"/>
        </w:rPr>
      </w:pPr>
      <w:r>
        <w:rPr>
          <w:rFonts w:hint="default" w:ascii="Times New Roman" w:hAnsi="Times New Roman" w:cs="Times New Roman"/>
          <w:color w:val="auto"/>
        </w:rPr>
        <w:t>Finally, transparency in communicating findings is critical. While Random Forest produced superior results, it is essential to explain its limitations and avoid overstating its capabilities. Christian ethics emphasize truth-telling, which translates into full disclosure of assumptions, risks, and uncertainties in financial forecasting. By following these guidelines, predictive analytics can support fairer, more responsible decision-making in the financial domain.</w:t>
      </w:r>
    </w:p>
    <w:p w14:paraId="2BF49AAB">
      <w:pPr>
        <w:spacing w:line="480" w:lineRule="auto"/>
        <w:jc w:val="left"/>
        <w:rPr>
          <w:rFonts w:hint="default" w:ascii="Times New Roman" w:hAnsi="Times New Roman" w:cs="Times New Roman"/>
          <w:color w:val="auto"/>
        </w:rPr>
      </w:pPr>
    </w:p>
    <w:p w14:paraId="0D21DC1C">
      <w:pPr>
        <w:spacing w:line="480" w:lineRule="auto"/>
        <w:ind w:firstLine="480" w:firstLineChars="200"/>
        <w:jc w:val="left"/>
        <w:rPr>
          <w:rFonts w:hint="default" w:ascii="Times New Roman" w:hAnsi="Times New Roman" w:cs="Times New Roman"/>
          <w:color w:val="auto"/>
        </w:rPr>
      </w:pPr>
      <w:r>
        <w:rPr>
          <w:rFonts w:hint="default" w:ascii="Times New Roman" w:hAnsi="Times New Roman" w:cs="Times New Roman"/>
          <w:color w:val="auto"/>
        </w:rPr>
        <w:br w:type="textWrapping"/>
      </w:r>
    </w:p>
    <w:p w14:paraId="4387B2B8">
      <w:pPr>
        <w:spacing w:line="480" w:lineRule="auto"/>
        <w:jc w:val="left"/>
        <w:rPr>
          <w:rFonts w:hint="default" w:ascii="Times New Roman" w:hAnsi="Times New Roman" w:cs="Times New Roman"/>
          <w:color w:val="auto"/>
        </w:rPr>
      </w:pPr>
    </w:p>
    <w:p w14:paraId="7EBC2E28">
      <w:pPr>
        <w:spacing w:line="480" w:lineRule="auto"/>
        <w:jc w:val="center"/>
        <w:rPr>
          <w:rFonts w:hint="default" w:ascii="Times New Roman" w:hAnsi="Times New Roman" w:cs="Times New Roman"/>
          <w:b/>
          <w:bCs/>
          <w:color w:val="auto"/>
          <w:sz w:val="32"/>
          <w:szCs w:val="28"/>
        </w:rPr>
      </w:pPr>
    </w:p>
    <w:p w14:paraId="6A75FA3F">
      <w:pPr>
        <w:spacing w:line="480" w:lineRule="auto"/>
        <w:jc w:val="center"/>
        <w:rPr>
          <w:rFonts w:hint="default" w:ascii="Times New Roman" w:hAnsi="Times New Roman" w:cs="Times New Roman"/>
          <w:b/>
          <w:bCs/>
          <w:color w:val="auto"/>
          <w:sz w:val="32"/>
          <w:szCs w:val="28"/>
        </w:rPr>
      </w:pPr>
    </w:p>
    <w:p w14:paraId="4B84EB2B">
      <w:pPr>
        <w:spacing w:line="480" w:lineRule="auto"/>
        <w:jc w:val="center"/>
        <w:rPr>
          <w:rFonts w:hint="default" w:ascii="Times New Roman" w:hAnsi="Times New Roman" w:cs="Times New Roman"/>
          <w:b/>
          <w:bCs/>
          <w:color w:val="auto"/>
          <w:sz w:val="32"/>
          <w:szCs w:val="28"/>
        </w:rPr>
      </w:pPr>
    </w:p>
    <w:p w14:paraId="5751A20B">
      <w:pPr>
        <w:spacing w:line="480" w:lineRule="auto"/>
        <w:jc w:val="center"/>
        <w:rPr>
          <w:rFonts w:hint="default" w:ascii="Times New Roman" w:hAnsi="Times New Roman" w:cs="Times New Roman"/>
          <w:b/>
          <w:bCs/>
          <w:color w:val="auto"/>
          <w:sz w:val="32"/>
          <w:szCs w:val="28"/>
        </w:rPr>
      </w:pPr>
    </w:p>
    <w:p w14:paraId="78CCD35B">
      <w:pPr>
        <w:spacing w:line="480" w:lineRule="auto"/>
        <w:jc w:val="center"/>
        <w:rPr>
          <w:rFonts w:hint="default" w:ascii="Times New Roman" w:hAnsi="Times New Roman" w:cs="Times New Roman"/>
          <w:b/>
          <w:bCs/>
          <w:color w:val="auto"/>
          <w:sz w:val="32"/>
          <w:szCs w:val="28"/>
        </w:rPr>
      </w:pPr>
    </w:p>
    <w:p w14:paraId="02B5FFCC">
      <w:pPr>
        <w:spacing w:line="480" w:lineRule="auto"/>
        <w:jc w:val="center"/>
        <w:rPr>
          <w:rFonts w:hint="default" w:ascii="Times New Roman" w:hAnsi="Times New Roman" w:cs="Times New Roman"/>
          <w:b/>
          <w:bCs/>
          <w:color w:val="auto"/>
          <w:sz w:val="32"/>
          <w:szCs w:val="28"/>
        </w:rPr>
      </w:pPr>
    </w:p>
    <w:p w14:paraId="48ED2948">
      <w:pPr>
        <w:spacing w:line="480" w:lineRule="auto"/>
        <w:jc w:val="center"/>
        <w:rPr>
          <w:rFonts w:hint="default" w:ascii="Times New Roman" w:hAnsi="Times New Roman" w:cs="Times New Roman"/>
          <w:b/>
          <w:bCs/>
          <w:color w:val="auto"/>
          <w:sz w:val="32"/>
          <w:szCs w:val="28"/>
        </w:rPr>
      </w:pPr>
    </w:p>
    <w:p w14:paraId="1D1D1600">
      <w:pPr>
        <w:spacing w:line="480" w:lineRule="auto"/>
        <w:jc w:val="center"/>
        <w:rPr>
          <w:rFonts w:hint="default" w:ascii="Times New Roman" w:hAnsi="Times New Roman" w:cs="Times New Roman"/>
          <w:b/>
          <w:bCs/>
          <w:color w:val="auto"/>
          <w:sz w:val="32"/>
          <w:szCs w:val="28"/>
        </w:rPr>
      </w:pPr>
      <w:r>
        <w:rPr>
          <w:rFonts w:hint="default" w:ascii="Times New Roman" w:hAnsi="Times New Roman" w:cs="Times New Roman"/>
          <w:b/>
          <w:bCs/>
          <w:color w:val="auto"/>
          <w:sz w:val="32"/>
          <w:szCs w:val="28"/>
        </w:rPr>
        <w:t>References</w:t>
      </w:r>
    </w:p>
    <w:p w14:paraId="766F5FA4">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 xml:space="preserve">Chen, Y., &amp; Hao, Y. (2017). A feature weighted support vector machine and K-means hybrid algorithm for stock market indices prediction. </w:t>
      </w:r>
      <w:r>
        <w:rPr>
          <w:rStyle w:val="17"/>
          <w:rFonts w:hint="default" w:ascii="Times New Roman" w:hAnsi="Times New Roman" w:cs="Times New Roman"/>
          <w:color w:val="auto"/>
        </w:rPr>
        <w:t>Expert Systems with Applications, 80,</w:t>
      </w:r>
      <w:r>
        <w:rPr>
          <w:rFonts w:hint="default" w:ascii="Times New Roman" w:hAnsi="Times New Roman" w:cs="Times New Roman"/>
          <w:color w:val="auto"/>
        </w:rPr>
        <w:t xml:space="preserve"> 340–355.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"https://doi.org/10.1016/j.eswa.2017.03.028" \t "_new" </w:instrText>
      </w:r>
      <w:r>
        <w:rPr>
          <w:rFonts w:hint="default" w:ascii="Times New Roman" w:hAnsi="Times New Roman" w:cs="Times New Roman"/>
          <w:color w:val="auto"/>
        </w:rPr>
        <w:fldChar w:fldCharType="separate"/>
      </w:r>
      <w:r>
        <w:rPr>
          <w:rStyle w:val="20"/>
          <w:rFonts w:hint="default" w:ascii="Times New Roman" w:hAnsi="Times New Roman" w:cs="Times New Roman"/>
          <w:color w:val="auto"/>
        </w:rPr>
        <w:t>https://doi.org/10.1016/j.eswa.2017.03.028</w:t>
      </w:r>
      <w:r>
        <w:rPr>
          <w:rFonts w:hint="default" w:ascii="Times New Roman" w:hAnsi="Times New Roman" w:cs="Times New Roman"/>
          <w:color w:val="auto"/>
        </w:rPr>
        <w:fldChar w:fldCharType="end"/>
      </w:r>
    </w:p>
    <w:p w14:paraId="76491597">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 xml:space="preserve">Fischer, T., &amp; Krauss, C. (2018). Deep learning with long short-term memory networks </w:t>
      </w:r>
      <w:bookmarkStart w:id="0" w:name="_GoBack"/>
      <w:r>
        <w:rPr>
          <w:rFonts w:hint="default" w:ascii="Times New Roman" w:hAnsi="Times New Roman" w:cs="Times New Roman"/>
          <w:color w:val="auto"/>
        </w:rPr>
        <w:t xml:space="preserve">for financial market predictions. </w:t>
      </w:r>
      <w:r>
        <w:rPr>
          <w:rStyle w:val="17"/>
          <w:rFonts w:hint="default" w:ascii="Times New Roman" w:hAnsi="Times New Roman" w:cs="Times New Roman"/>
          <w:color w:val="auto"/>
        </w:rPr>
        <w:t>European Journal of Operational Research, 270</w:t>
      </w:r>
      <w:r>
        <w:rPr>
          <w:rFonts w:hint="default" w:ascii="Times New Roman" w:hAnsi="Times New Roman" w:cs="Times New Roman"/>
          <w:color w:val="auto"/>
        </w:rPr>
        <w:t xml:space="preserve">(2), </w:t>
      </w:r>
      <w:bookmarkEnd w:id="0"/>
      <w:r>
        <w:rPr>
          <w:rFonts w:hint="default" w:ascii="Times New Roman" w:hAnsi="Times New Roman" w:cs="Times New Roman"/>
          <w:color w:val="auto"/>
        </w:rPr>
        <w:t xml:space="preserve">654–669.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"https://doi.org/10.1016/j.ejor.2017.11.054" \t "_new" </w:instrText>
      </w:r>
      <w:r>
        <w:rPr>
          <w:rFonts w:hint="default" w:ascii="Times New Roman" w:hAnsi="Times New Roman" w:cs="Times New Roman"/>
          <w:color w:val="auto"/>
        </w:rPr>
        <w:fldChar w:fldCharType="separate"/>
      </w:r>
      <w:r>
        <w:rPr>
          <w:rStyle w:val="20"/>
          <w:rFonts w:hint="default" w:ascii="Times New Roman" w:hAnsi="Times New Roman" w:cs="Times New Roman"/>
          <w:color w:val="auto"/>
        </w:rPr>
        <w:t>https://doi.org/10.1016/j.ejor.2017.11.054</w:t>
      </w:r>
      <w:r>
        <w:rPr>
          <w:rFonts w:hint="default" w:ascii="Times New Roman" w:hAnsi="Times New Roman" w:cs="Times New Roman"/>
          <w:color w:val="auto"/>
        </w:rPr>
        <w:fldChar w:fldCharType="end"/>
      </w:r>
    </w:p>
    <w:p w14:paraId="1C2A2C02">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 xml:space="preserve">Floridi, L., &amp; Cowls, J. (2019). A unified framework of five principles for AI in society. </w:t>
      </w:r>
      <w:r>
        <w:rPr>
          <w:rStyle w:val="17"/>
          <w:rFonts w:hint="default" w:ascii="Times New Roman" w:hAnsi="Times New Roman" w:cs="Times New Roman"/>
          <w:color w:val="auto"/>
        </w:rPr>
        <w:t>Harvard Data Science Review, 1</w:t>
      </w:r>
      <w:r>
        <w:rPr>
          <w:rFonts w:hint="default" w:ascii="Times New Roman" w:hAnsi="Times New Roman" w:cs="Times New Roman"/>
          <w:color w:val="auto"/>
        </w:rPr>
        <w:t xml:space="preserve">(1).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"https://doi.org/10.1162/99608f92.8cd550d1" \t "_new" </w:instrText>
      </w:r>
      <w:r>
        <w:rPr>
          <w:rFonts w:hint="default" w:ascii="Times New Roman" w:hAnsi="Times New Roman" w:cs="Times New Roman"/>
          <w:color w:val="auto"/>
        </w:rPr>
        <w:fldChar w:fldCharType="separate"/>
      </w:r>
      <w:r>
        <w:rPr>
          <w:rStyle w:val="20"/>
          <w:rFonts w:hint="default" w:ascii="Times New Roman" w:hAnsi="Times New Roman" w:cs="Times New Roman"/>
          <w:color w:val="auto"/>
        </w:rPr>
        <w:t>https://doi.org/10.1162/99608f92.8cd550d1</w:t>
      </w:r>
      <w:r>
        <w:rPr>
          <w:rFonts w:hint="default" w:ascii="Times New Roman" w:hAnsi="Times New Roman" w:cs="Times New Roman"/>
          <w:color w:val="auto"/>
        </w:rPr>
        <w:fldChar w:fldCharType="end"/>
      </w:r>
    </w:p>
    <w:p w14:paraId="4CB2F5F4">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 xml:space="preserve">Hyndman, R. J., &amp; Athanasopoulos, G. (2018). </w:t>
      </w:r>
      <w:r>
        <w:rPr>
          <w:rStyle w:val="17"/>
          <w:rFonts w:hint="default" w:ascii="Times New Roman" w:hAnsi="Times New Roman" w:cs="Times New Roman"/>
          <w:color w:val="auto"/>
        </w:rPr>
        <w:t>Forecasting: Principles and practice</w:t>
      </w:r>
      <w:r>
        <w:rPr>
          <w:rFonts w:hint="default" w:ascii="Times New Roman" w:hAnsi="Times New Roman" w:cs="Times New Roman"/>
          <w:color w:val="auto"/>
        </w:rPr>
        <w:t xml:space="preserve"> (2nd ed.). OTexts. https://otexts.com/fpp2/</w:t>
      </w:r>
    </w:p>
    <w:p w14:paraId="77E4D318">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 xml:space="preserve">Jain, A. K. (2010). Data clustering: 50 years beyond K-means. </w:t>
      </w:r>
      <w:r>
        <w:rPr>
          <w:rStyle w:val="17"/>
          <w:rFonts w:hint="default" w:ascii="Times New Roman" w:hAnsi="Times New Roman" w:cs="Times New Roman"/>
          <w:color w:val="auto"/>
        </w:rPr>
        <w:t>Pattern Recognition Letters, 31</w:t>
      </w:r>
      <w:r>
        <w:rPr>
          <w:rFonts w:hint="default" w:ascii="Times New Roman" w:hAnsi="Times New Roman" w:cs="Times New Roman"/>
          <w:color w:val="auto"/>
        </w:rPr>
        <w:t xml:space="preserve">(8), 651–666.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"https://doi.org/10.1016/j.patrec.2009.09.011" \t "_new" </w:instrText>
      </w:r>
      <w:r>
        <w:rPr>
          <w:rFonts w:hint="default" w:ascii="Times New Roman" w:hAnsi="Times New Roman" w:cs="Times New Roman"/>
          <w:color w:val="auto"/>
        </w:rPr>
        <w:fldChar w:fldCharType="separate"/>
      </w:r>
      <w:r>
        <w:rPr>
          <w:rStyle w:val="20"/>
          <w:rFonts w:hint="default" w:ascii="Times New Roman" w:hAnsi="Times New Roman" w:cs="Times New Roman"/>
          <w:color w:val="auto"/>
        </w:rPr>
        <w:t>https://doi.org/10.1016/j.patrec.2009.09.011</w:t>
      </w:r>
      <w:r>
        <w:rPr>
          <w:rFonts w:hint="default" w:ascii="Times New Roman" w:hAnsi="Times New Roman" w:cs="Times New Roman"/>
          <w:color w:val="auto"/>
        </w:rPr>
        <w:fldChar w:fldCharType="end"/>
      </w:r>
    </w:p>
    <w:p w14:paraId="197EED78">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 xml:space="preserve">Kaggle. (2023). </w:t>
      </w:r>
      <w:r>
        <w:rPr>
          <w:rStyle w:val="17"/>
          <w:rFonts w:hint="default" w:ascii="Times New Roman" w:hAnsi="Times New Roman" w:cs="Times New Roman"/>
          <w:color w:val="auto"/>
        </w:rPr>
        <w:t>Apple stock price dataset.</w:t>
      </w:r>
      <w:r>
        <w:rPr>
          <w:rFonts w:hint="default" w:ascii="Times New Roman" w:hAnsi="Times New Roman" w:cs="Times New Roman"/>
          <w:color w:val="auto"/>
        </w:rPr>
        <w:t xml:space="preserve">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"https://www.kaggle.com/" \t "_new" </w:instrText>
      </w:r>
      <w:r>
        <w:rPr>
          <w:rFonts w:hint="default" w:ascii="Times New Roman" w:hAnsi="Times New Roman" w:cs="Times New Roman"/>
          <w:color w:val="auto"/>
        </w:rPr>
        <w:fldChar w:fldCharType="separate"/>
      </w:r>
      <w:r>
        <w:rPr>
          <w:rStyle w:val="20"/>
          <w:rFonts w:hint="default" w:ascii="Times New Roman" w:hAnsi="Times New Roman" w:cs="Times New Roman"/>
          <w:color w:val="auto"/>
        </w:rPr>
        <w:t>https://www.kaggle.com/</w:t>
      </w:r>
      <w:r>
        <w:rPr>
          <w:rFonts w:hint="default" w:ascii="Times New Roman" w:hAnsi="Times New Roman" w:cs="Times New Roman"/>
          <w:color w:val="auto"/>
        </w:rPr>
        <w:fldChar w:fldCharType="end"/>
      </w:r>
    </w:p>
    <w:p w14:paraId="638F94D5">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 xml:space="preserve">Sharda, R., Delen, D., &amp; Turban, E. (2023). </w:t>
      </w:r>
      <w:r>
        <w:rPr>
          <w:rStyle w:val="17"/>
          <w:rFonts w:hint="default" w:ascii="Times New Roman" w:hAnsi="Times New Roman" w:cs="Times New Roman"/>
          <w:color w:val="auto"/>
        </w:rPr>
        <w:t>Business analytics: Data analysis and storytelling for business.</w:t>
      </w:r>
      <w:r>
        <w:rPr>
          <w:rFonts w:hint="default" w:ascii="Times New Roman" w:hAnsi="Times New Roman" w:cs="Times New Roman"/>
          <w:color w:val="auto"/>
        </w:rPr>
        <w:t xml:space="preserve"> Pearson.</w:t>
      </w:r>
    </w:p>
    <w:p w14:paraId="02A83EE7">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The Holy Bible, New International Version. (2011). Zondervan. (Original work published 1978)</w:t>
      </w:r>
    </w:p>
    <w:p w14:paraId="7823799E">
      <w:pPr>
        <w:spacing w:line="480" w:lineRule="auto"/>
        <w:jc w:val="left"/>
        <w:rPr>
          <w:rFonts w:hint="default" w:ascii="Times New Roman" w:hAnsi="Times New Roman" w:cs="Times New Roman"/>
          <w:color w:val="auto"/>
        </w:rPr>
      </w:pPr>
      <w:r>
        <w:rPr>
          <w:rFonts w:hint="default" w:ascii="Times New Roman" w:hAnsi="Times New Roman" w:cs="Times New Roman"/>
          <w:color w:val="auto"/>
        </w:rPr>
        <w:t xml:space="preserve">Zhang, G., Patuwo, B. E., &amp; Hu, M. Y. (1998). Forecasting with artificial neural networks: The state of the art. </w:t>
      </w:r>
      <w:r>
        <w:rPr>
          <w:rStyle w:val="17"/>
          <w:rFonts w:hint="default" w:ascii="Times New Roman" w:hAnsi="Times New Roman" w:cs="Times New Roman"/>
          <w:color w:val="auto"/>
        </w:rPr>
        <w:t>International Journal of Forecasting, 14</w:t>
      </w:r>
      <w:r>
        <w:rPr>
          <w:rFonts w:hint="default" w:ascii="Times New Roman" w:hAnsi="Times New Roman" w:cs="Times New Roman"/>
          <w:color w:val="auto"/>
        </w:rPr>
        <w:t xml:space="preserve">(1), 35–62.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"https://doi.org/10.1016/S0169-2070(97)00044-7" \t "_new" </w:instrText>
      </w:r>
      <w:r>
        <w:rPr>
          <w:rFonts w:hint="default" w:ascii="Times New Roman" w:hAnsi="Times New Roman" w:cs="Times New Roman"/>
          <w:color w:val="auto"/>
        </w:rPr>
        <w:fldChar w:fldCharType="separate"/>
      </w:r>
      <w:r>
        <w:rPr>
          <w:rStyle w:val="20"/>
          <w:rFonts w:hint="default" w:ascii="Times New Roman" w:hAnsi="Times New Roman" w:cs="Times New Roman"/>
          <w:color w:val="auto"/>
        </w:rPr>
        <w:t>https://doi.org/10.1016/S0169-2070(97)00044-7</w:t>
      </w:r>
      <w:r>
        <w:rPr>
          <w:rFonts w:hint="default" w:ascii="Times New Roman" w:hAnsi="Times New Roman" w:cs="Times New Roman"/>
          <w:color w:val="auto"/>
        </w:rPr>
        <w:fldChar w:fldCharType="end"/>
      </w:r>
    </w:p>
    <w:p w14:paraId="7770F8BE">
      <w:pPr>
        <w:rPr>
          <w:rFonts w:hint="default" w:ascii="Times New Roman" w:hAnsi="Times New Roman" w:cs="Times New Roman"/>
          <w:color w:val="auto"/>
        </w:rPr>
      </w:pPr>
    </w:p>
    <w:sectPr>
      <w:headerReference r:id="rId9" w:type="first"/>
      <w:headerReference r:id="rId8"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Segoe Print"/>
    <w:panose1 w:val="00000000000000000000"/>
    <w:charset w:val="00"/>
    <w:family w:val="auto"/>
    <w:pitch w:val="default"/>
    <w:sig w:usb0="00000000" w:usb1="00000000" w:usb2="00000000" w:usb3="00000000" w:csb0="00040001"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64BD0">
    <w:pPr>
      <w:pStyle w:val="1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8E6EF">
    <w:pPr>
      <w:pStyle w:val="19"/>
      <w:jc w:val="center"/>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3CD4B3">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2A3CD4B3">
                    <w:pPr>
                      <w:pStyle w:val="19"/>
                    </w:pP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sz w:val="22"/>
      </w:rPr>
      <w:t>Forecasting Apple Inc. (AAPL) Stock Performance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01346">
    <w:pPr>
      <w:pStyle w:val="19"/>
    </w:pPr>
    <w:r>
      <w:rPr>
        <w:sz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27B356">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0427B356">
                    <w:pPr>
                      <w:pStyle w:val="19"/>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5C4D1">
    <w:pPr>
      <w:pStyle w:val="19"/>
      <w:jc w:val="center"/>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BF1AD19">
                          <w:pPr>
                            <w:pStyle w:val="1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kWIQoAgAAcAQAAA4AAABkcnMvZTJvRG9jLnhtbK1UTW/bMAy9D9h/&#10;EHRf7GRYEARxiqxBhgHBWqAddlZkORagL0hK7OzX70mO06LboYddZIqkHslH0qu7XityFj5Iayo6&#10;nZSUCMNtLc2xoj+fd58WlITITM2UNaKiFxHo3frjh1XnlmJmW6tq4QlATFh2rqJtjG5ZFIG3QrMw&#10;sU4YGBvrNYu4+mNRe9YBXatiVpbzorO+dt5yEQK028FIr4j+PYC2aSQXW8tPWpg4oHqhWERJoZUu&#10;0HXOtmkEjw9NE0QkqqKoNOYTQSAf0lmsV2x59My1kl9TYO9J4U1NmkmDoDeoLYuMnLz8C0pL7m2w&#10;TZxwq4uhkMwIqpiWb7h5apkTuRZQHdyN9PD/YPmP86MnssYkzCkxTKPjz6KP5KvtCVTgp3NhCbcn&#10;B8fYQw/fUR+gTGX3jdfpi4II7GD3cmM3ofH0aDFbLEqYOGzjBfjFy3PnQ/wmrCZJqKhH+zKr7LwP&#10;cXAdXVI0Y3dSqdxCZUhX0fnnL2V+cLMAXJnkK/IwXGFSSUPqSYr9ob/WebD1BWV6OwxKcHwnkcqe&#10;hfjIPCYD6WN34gOORlmEtFeJktb63//SJ380DFZKOkxaRQ0WixL13aCRAIyj4EfhMArmpO8tRneK&#10;nXQ8i3jgoxrFxlv9Cwu1STFgYoYjUkXjKN7HYdqxkFxsNtnp5Lw8tsMDjKFjcW+eHE9hElXBbU4R&#10;1GbGE0EDK+hUumAQc8+uS5Mm/fU9e738KN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NJWO7Q&#10;AAAABQEAAA8AAAAAAAAAAQAgAAAAIgAAAGRycy9kb3ducmV2LnhtbFBLAQIUABQAAAAIAIdO4kCv&#10;ZFiEKAIAAHAEAAAOAAAAAAAAAAEAIAAAAB8BAABkcnMvZTJvRG9jLnhtbFBLBQYAAAAABgAGAFkB&#10;AAC5BQAAAAA=&#10;">
              <v:fill on="f" focussize="0,0"/>
              <v:stroke on="f" weight="0.5pt"/>
              <v:imagedata o:title=""/>
              <o:lock v:ext="edit" aspectratio="f"/>
              <v:textbox inset="0mm,0mm,0mm,0mm" style="mso-fit-shape-to-text:t;">
                <w:txbxContent>
                  <w:p w14:paraId="0BF1AD19">
                    <w:pPr>
                      <w:pStyle w:val="19"/>
                    </w:pPr>
                    <w:r>
                      <w:fldChar w:fldCharType="begin"/>
                    </w:r>
                    <w:r>
                      <w:instrText xml:space="preserve"> PAGE  \* MERGEFORMAT </w:instrText>
                    </w:r>
                    <w:r>
                      <w:fldChar w:fldCharType="separate"/>
                    </w:r>
                    <w:r>
                      <w:t>2</w:t>
                    </w:r>
                    <w:r>
                      <w:fldChar w:fldCharType="end"/>
                    </w:r>
                  </w:p>
                </w:txbxContent>
              </v:textbox>
            </v:shape>
          </w:pict>
        </mc:Fallback>
      </mc:AlternateContent>
    </w:r>
    <w:r>
      <w:rPr>
        <w:rFonts w:ascii="Times New Roman" w:hAnsi="Times New Roman"/>
        <w:sz w:val="22"/>
      </w:rPr>
      <w:t>Forecasting Apple Inc. (AAPL) Stock Performance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E47D0">
    <w:pPr>
      <w:pStyle w:val="19"/>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6D2C424">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5B1JwoAgAAcAQAAA4AAABkcnMvZTJvRG9jLnhtbK1UTW/bMAy9D9h/&#10;EHRfnGRYFwRxiqxBhgHBWiAddlZkORagL0hK7OzX70m206HboYddZIqkHslH0qv7TityET5Ia0o6&#10;m0wpEYbbSppTSX887z4sKAmRmYopa0RJryLQ+/X7d6vWLcXcNlZVwhOAmLBsXUmbGN2yKAJvhGZh&#10;Yp0wMNbWaxZx9aei8qwFulbFfDq9K1rrK+ctFyFAu+2NdED0bwG0dS252Fp+1sLEHtULxSJKCo10&#10;ga5ztnUteHys6yAiUSVFpTGfCAL5mM5ivWLLk2eukXxIgb0lhVc1aSYNgt6gtiwycvbyLygtubfB&#10;1nHCrS76QjIjqGI2fcXNoWFO5FpAdXA30sP/g+XfL0+eyAqT8JkSwzQ6/iy6SL7YjkAFfloXlnA7&#10;ODjGDnr4jvoAZSq7q71OXxREYAe71xu7CY2nR4v5YjGFicM2XoBfvDx3PsSvwmqShJJ6tC+zyi77&#10;EHvX0SVFM3YnlcotVIa0Jb37+GmaH9wsAFcm+Yo8DANMKqlPPUmxO3ZDnUdbXVGmt/2gBMd3Eqns&#10;WYhPzGMykD52Jz7iqJVFSDtIlDTW//qXPvmjYbBS0mLSSmqwWJSobwaNBGAcBT8Kx1EwZ/1gMboz&#10;7KTjWcQDH9Uo1t7qn1ioTYoBEzMckUoaR/Eh9tOOheRis8lOZ+flqekfYAwdi3tzcDyFSVQFtzlH&#10;UJsZTwT1rKBT6YJBzD0bliZN+p/37PXyo1j/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NJWO7Q&#10;AAAABQEAAA8AAAAAAAAAAQAgAAAAIgAAAGRycy9kb3ducmV2LnhtbFBLAQIUABQAAAAIAIdO4kAO&#10;QdScKAIAAHAEAAAOAAAAAAAAAAEAIAAAAB8BAABkcnMvZTJvRG9jLnhtbFBLBQYAAAAABgAGAFkB&#10;AAC5BQAAAAA=&#10;">
              <v:fill on="f" focussize="0,0"/>
              <v:stroke on="f" weight="0.5pt"/>
              <v:imagedata o:title=""/>
              <o:lock v:ext="edit" aspectratio="f"/>
              <v:textbox inset="0mm,0mm,0mm,0mm" style="mso-fit-shape-to-text:t;">
                <w:txbxContent>
                  <w:p w14:paraId="06D2C424">
                    <w:pPr>
                      <w:pStyle w:val="19"/>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66DD1543"/>
    <w:multiLevelType w:val="singleLevel"/>
    <w:tmpl w:val="66DD1543"/>
    <w:lvl w:ilvl="0" w:tentative="0">
      <w:start w:val="1"/>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97072"/>
    <w:rsid w:val="009D0291"/>
    <w:rsid w:val="00AA1D8D"/>
    <w:rsid w:val="00B47730"/>
    <w:rsid w:val="00CB0664"/>
    <w:rsid w:val="00FC693F"/>
    <w:rsid w:val="01E7372B"/>
    <w:rsid w:val="02323BAA"/>
    <w:rsid w:val="02F83041"/>
    <w:rsid w:val="03740CC0"/>
    <w:rsid w:val="04A8657C"/>
    <w:rsid w:val="060C7D91"/>
    <w:rsid w:val="07FC09CA"/>
    <w:rsid w:val="081417E0"/>
    <w:rsid w:val="08991B01"/>
    <w:rsid w:val="091D1F66"/>
    <w:rsid w:val="0A8B76DE"/>
    <w:rsid w:val="0C0A6435"/>
    <w:rsid w:val="0C596995"/>
    <w:rsid w:val="0C7D0506"/>
    <w:rsid w:val="0D4836CA"/>
    <w:rsid w:val="0E79524F"/>
    <w:rsid w:val="10E906CD"/>
    <w:rsid w:val="11C30959"/>
    <w:rsid w:val="12500F73"/>
    <w:rsid w:val="138F3C22"/>
    <w:rsid w:val="14CF3B54"/>
    <w:rsid w:val="1682657E"/>
    <w:rsid w:val="169166B8"/>
    <w:rsid w:val="180B6093"/>
    <w:rsid w:val="18787DD4"/>
    <w:rsid w:val="18D446AE"/>
    <w:rsid w:val="1A4420FE"/>
    <w:rsid w:val="1B1C1A48"/>
    <w:rsid w:val="1BF765EF"/>
    <w:rsid w:val="1C9F5B04"/>
    <w:rsid w:val="1DB874DF"/>
    <w:rsid w:val="1F145E5B"/>
    <w:rsid w:val="1F516372"/>
    <w:rsid w:val="20256598"/>
    <w:rsid w:val="2188111A"/>
    <w:rsid w:val="21D1768A"/>
    <w:rsid w:val="22712A81"/>
    <w:rsid w:val="22B850D7"/>
    <w:rsid w:val="246D2725"/>
    <w:rsid w:val="256B4972"/>
    <w:rsid w:val="2715430C"/>
    <w:rsid w:val="27505A8D"/>
    <w:rsid w:val="27616C96"/>
    <w:rsid w:val="29672FBE"/>
    <w:rsid w:val="2ACE6CC8"/>
    <w:rsid w:val="2B754F30"/>
    <w:rsid w:val="2C0D1BD3"/>
    <w:rsid w:val="2EAA16B4"/>
    <w:rsid w:val="2EAD1707"/>
    <w:rsid w:val="2EB15167"/>
    <w:rsid w:val="31B22298"/>
    <w:rsid w:val="325E4D97"/>
    <w:rsid w:val="32D75F52"/>
    <w:rsid w:val="331865C6"/>
    <w:rsid w:val="35EE65F6"/>
    <w:rsid w:val="36AA37B1"/>
    <w:rsid w:val="3774224A"/>
    <w:rsid w:val="388B78AD"/>
    <w:rsid w:val="3A9160A5"/>
    <w:rsid w:val="3B7E5090"/>
    <w:rsid w:val="3B9A7805"/>
    <w:rsid w:val="3DED5AA7"/>
    <w:rsid w:val="3F2D1CB6"/>
    <w:rsid w:val="406546DA"/>
    <w:rsid w:val="41E32DB0"/>
    <w:rsid w:val="43CC07A7"/>
    <w:rsid w:val="441775F9"/>
    <w:rsid w:val="4659191C"/>
    <w:rsid w:val="46F522DA"/>
    <w:rsid w:val="478125F8"/>
    <w:rsid w:val="47A923AE"/>
    <w:rsid w:val="49C20652"/>
    <w:rsid w:val="4A28080D"/>
    <w:rsid w:val="4CC84B02"/>
    <w:rsid w:val="4CEB41F5"/>
    <w:rsid w:val="4CEF2847"/>
    <w:rsid w:val="4DBC6AC3"/>
    <w:rsid w:val="4F5015D8"/>
    <w:rsid w:val="4FE6773D"/>
    <w:rsid w:val="50D25FD0"/>
    <w:rsid w:val="52BC45CC"/>
    <w:rsid w:val="53217C98"/>
    <w:rsid w:val="53EF7D0D"/>
    <w:rsid w:val="5478472B"/>
    <w:rsid w:val="59841A6C"/>
    <w:rsid w:val="59AC7850"/>
    <w:rsid w:val="5AD1170E"/>
    <w:rsid w:val="5BDF32D0"/>
    <w:rsid w:val="5C0728DA"/>
    <w:rsid w:val="5C2B76EA"/>
    <w:rsid w:val="5CF1046F"/>
    <w:rsid w:val="5E096E10"/>
    <w:rsid w:val="5E3C5B01"/>
    <w:rsid w:val="5F51184B"/>
    <w:rsid w:val="5F693096"/>
    <w:rsid w:val="5FB3698D"/>
    <w:rsid w:val="5FFC7A8D"/>
    <w:rsid w:val="6104413C"/>
    <w:rsid w:val="61063C34"/>
    <w:rsid w:val="628A74A0"/>
    <w:rsid w:val="63BC6A9A"/>
    <w:rsid w:val="64060C51"/>
    <w:rsid w:val="65D07218"/>
    <w:rsid w:val="667D76C6"/>
    <w:rsid w:val="67DF08A2"/>
    <w:rsid w:val="67F215F4"/>
    <w:rsid w:val="68321B44"/>
    <w:rsid w:val="6C5B6DD1"/>
    <w:rsid w:val="6C9C3206"/>
    <w:rsid w:val="6D8E5EC9"/>
    <w:rsid w:val="6DCB7773"/>
    <w:rsid w:val="6DDB1B0C"/>
    <w:rsid w:val="6E136122"/>
    <w:rsid w:val="6E3D4159"/>
    <w:rsid w:val="6E7301AC"/>
    <w:rsid w:val="6F6849FB"/>
    <w:rsid w:val="6F7646BB"/>
    <w:rsid w:val="70C01024"/>
    <w:rsid w:val="72E84209"/>
    <w:rsid w:val="73B2537D"/>
    <w:rsid w:val="73EB3CBA"/>
    <w:rsid w:val="747C3E9C"/>
    <w:rsid w:val="74853EB9"/>
    <w:rsid w:val="74B47DEB"/>
    <w:rsid w:val="776F6DFF"/>
    <w:rsid w:val="7956496F"/>
    <w:rsid w:val="79A67270"/>
    <w:rsid w:val="7A2A5D7E"/>
    <w:rsid w:val="7C5563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480" w:lineRule="auto"/>
    </w:pPr>
    <w:rPr>
      <w:rFonts w:ascii="Times New Roman" w:hAnsi="Times New Roman" w:eastAsia="ＭＳ 明朝" w:cs="Times New Roman"/>
      <w:color w:val="000000"/>
      <w:sz w:val="24"/>
      <w:szCs w:val="22"/>
      <w:lang w:val="en-US" w:eastAsia="en-US" w:bidi="ar-SA"/>
    </w:rPr>
  </w:style>
  <w:style w:type="paragraph" w:styleId="2">
    <w:name w:val="heading 1"/>
    <w:basedOn w:val="1"/>
    <w:next w:val="1"/>
    <w:link w:val="137"/>
    <w:qFormat/>
    <w:uiPriority w:val="9"/>
    <w:pPr>
      <w:keepNext/>
      <w:keepLines/>
      <w:spacing w:before="480" w:after="0"/>
      <w:outlineLvl w:val="0"/>
    </w:pPr>
    <w:rPr>
      <w:rFonts w:ascii="Calibri" w:hAnsi="Calibri" w:eastAsia="MS Gothic" w:cs="Times New Roman"/>
      <w:b/>
      <w:bCs/>
      <w:color w:val="366091"/>
      <w:sz w:val="28"/>
      <w:szCs w:val="28"/>
    </w:rPr>
  </w:style>
  <w:style w:type="paragraph" w:styleId="3">
    <w:name w:val="heading 2"/>
    <w:basedOn w:val="1"/>
    <w:next w:val="1"/>
    <w:link w:val="138"/>
    <w:unhideWhenUsed/>
    <w:qFormat/>
    <w:uiPriority w:val="9"/>
    <w:pPr>
      <w:keepNext/>
      <w:keepLines/>
      <w:spacing w:before="200" w:after="0"/>
      <w:outlineLvl w:val="1"/>
    </w:pPr>
    <w:rPr>
      <w:rFonts w:ascii="Calibri" w:hAnsi="Calibri" w:eastAsia="MS Gothic" w:cs="Times New Roman"/>
      <w:b/>
      <w:bCs/>
      <w:color w:val="4F81BD"/>
      <w:sz w:val="26"/>
      <w:szCs w:val="26"/>
    </w:rPr>
  </w:style>
  <w:style w:type="paragraph" w:styleId="4">
    <w:name w:val="heading 3"/>
    <w:basedOn w:val="1"/>
    <w:next w:val="1"/>
    <w:link w:val="139"/>
    <w:unhideWhenUsed/>
    <w:qFormat/>
    <w:uiPriority w:val="9"/>
    <w:pPr>
      <w:keepNext/>
      <w:keepLines/>
      <w:spacing w:before="200" w:after="0"/>
      <w:outlineLvl w:val="2"/>
    </w:pPr>
    <w:rPr>
      <w:rFonts w:ascii="Calibri" w:hAnsi="Calibri" w:eastAsia="MS Gothic" w:cs="Times New Roman"/>
      <w:b/>
      <w:bCs/>
      <w:color w:val="4F81BD"/>
    </w:rPr>
  </w:style>
  <w:style w:type="paragraph" w:styleId="5">
    <w:name w:val="heading 4"/>
    <w:basedOn w:val="1"/>
    <w:next w:val="1"/>
    <w:link w:val="140"/>
    <w:unhideWhenUsed/>
    <w:qFormat/>
    <w:uiPriority w:val="9"/>
    <w:pPr>
      <w:keepNext/>
      <w:keepLines/>
      <w:spacing w:before="200" w:after="0"/>
      <w:outlineLvl w:val="3"/>
    </w:pPr>
    <w:rPr>
      <w:rFonts w:ascii="Calibri" w:hAnsi="Calibri" w:eastAsia="MS Gothic" w:cs="Times New Roman"/>
      <w:b/>
      <w:bCs/>
      <w:i/>
      <w:iCs/>
      <w:color w:val="4F81BD"/>
    </w:rPr>
  </w:style>
  <w:style w:type="paragraph" w:styleId="6">
    <w:name w:val="heading 5"/>
    <w:basedOn w:val="1"/>
    <w:next w:val="1"/>
    <w:link w:val="141"/>
    <w:unhideWhenUsed/>
    <w:qFormat/>
    <w:uiPriority w:val="9"/>
    <w:pPr>
      <w:keepNext/>
      <w:keepLines/>
      <w:spacing w:before="200" w:after="0"/>
      <w:outlineLvl w:val="4"/>
    </w:pPr>
    <w:rPr>
      <w:rFonts w:ascii="Calibri" w:hAnsi="Calibri" w:eastAsia="MS Gothic" w:cs="Times New Roman"/>
      <w:color w:val="243F61"/>
    </w:rPr>
  </w:style>
  <w:style w:type="paragraph" w:styleId="7">
    <w:name w:val="heading 6"/>
    <w:basedOn w:val="1"/>
    <w:next w:val="1"/>
    <w:link w:val="142"/>
    <w:unhideWhenUsed/>
    <w:qFormat/>
    <w:uiPriority w:val="9"/>
    <w:pPr>
      <w:keepNext/>
      <w:keepLines/>
      <w:spacing w:before="200" w:after="0"/>
      <w:outlineLvl w:val="5"/>
    </w:pPr>
    <w:rPr>
      <w:rFonts w:ascii="Calibri" w:hAnsi="Calibri" w:eastAsia="MS Gothic" w:cs="Times New Roman"/>
      <w:i/>
      <w:iCs/>
      <w:color w:val="243F61"/>
    </w:rPr>
  </w:style>
  <w:style w:type="paragraph" w:styleId="8">
    <w:name w:val="heading 7"/>
    <w:basedOn w:val="1"/>
    <w:next w:val="1"/>
    <w:link w:val="143"/>
    <w:unhideWhenUsed/>
    <w:qFormat/>
    <w:uiPriority w:val="9"/>
    <w:pPr>
      <w:keepNext/>
      <w:keepLines/>
      <w:spacing w:before="200" w:after="0"/>
      <w:outlineLvl w:val="6"/>
    </w:pPr>
    <w:rPr>
      <w:rFonts w:ascii="Calibri" w:hAnsi="Calibri" w:eastAsia="MS Gothic" w:cs="Times New Roman"/>
      <w:i/>
      <w:iCs/>
      <w:color w:val="3F3F3F"/>
    </w:rPr>
  </w:style>
  <w:style w:type="paragraph" w:styleId="9">
    <w:name w:val="heading 8"/>
    <w:basedOn w:val="1"/>
    <w:next w:val="1"/>
    <w:link w:val="144"/>
    <w:unhideWhenUsed/>
    <w:qFormat/>
    <w:uiPriority w:val="9"/>
    <w:pPr>
      <w:keepNext/>
      <w:keepLines/>
      <w:spacing w:before="200" w:after="0"/>
      <w:outlineLvl w:val="7"/>
    </w:pPr>
    <w:rPr>
      <w:rFonts w:ascii="Calibri" w:hAnsi="Calibri" w:eastAsia="MS Gothic" w:cs="Times New Roman"/>
      <w:color w:val="4F81BD"/>
      <w:sz w:val="20"/>
      <w:szCs w:val="20"/>
    </w:rPr>
  </w:style>
  <w:style w:type="paragraph" w:styleId="10">
    <w:name w:val="heading 9"/>
    <w:basedOn w:val="1"/>
    <w:next w:val="1"/>
    <w:link w:val="145"/>
    <w:unhideWhenUsed/>
    <w:qFormat/>
    <w:uiPriority w:val="9"/>
    <w:pPr>
      <w:keepNext/>
      <w:keepLines/>
      <w:spacing w:before="200" w:after="0"/>
      <w:outlineLvl w:val="8"/>
    </w:pPr>
    <w:rPr>
      <w:rFonts w:ascii="Calibri" w:hAnsi="Calibri" w:eastAsia="MS Gothic" w:cs="Times New Roman"/>
      <w:i/>
      <w:iCs/>
      <w:color w:val="3F3F3F"/>
      <w:sz w:val="20"/>
      <w:szCs w:val="20"/>
    </w:rPr>
  </w:style>
  <w:style w:type="character" w:default="1" w:styleId="11">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unhideWhenUsed/>
    <w:qFormat/>
    <w:uiPriority w:val="35"/>
    <w:pPr>
      <w:spacing w:line="240" w:lineRule="auto"/>
    </w:pPr>
    <w:rPr>
      <w:b/>
      <w:bCs/>
      <w:color w:val="4F81BD"/>
      <w:sz w:val="18"/>
      <w:szCs w:val="18"/>
    </w:rPr>
  </w:style>
  <w:style w:type="character" w:styleId="17">
    <w:name w:val="Emphasis"/>
    <w:basedOn w:val="11"/>
    <w:qFormat/>
    <w:uiPriority w:val="20"/>
    <w:rPr>
      <w:i/>
      <w:iCs/>
    </w:rPr>
  </w:style>
  <w:style w:type="paragraph" w:styleId="18">
    <w:name w:val="footer"/>
    <w:basedOn w:val="1"/>
    <w:link w:val="149"/>
    <w:unhideWhenUsed/>
    <w:qFormat/>
    <w:uiPriority w:val="99"/>
    <w:pPr>
      <w:tabs>
        <w:tab w:val="center" w:pos="4680"/>
        <w:tab w:val="right" w:pos="9360"/>
      </w:tabs>
      <w:spacing w:after="0" w:line="240" w:lineRule="auto"/>
    </w:pPr>
  </w:style>
  <w:style w:type="paragraph" w:styleId="19">
    <w:name w:val="header"/>
    <w:basedOn w:val="1"/>
    <w:link w:val="150"/>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Times New Roman"/>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52"/>
    <w:qFormat/>
    <w:uiPriority w:val="11"/>
    <w:rPr>
      <w:rFonts w:ascii="Calibri" w:hAnsi="Calibri" w:eastAsia="MS Gothic" w:cs="Times New Roman"/>
      <w:i/>
      <w:iCs/>
      <w:color w:val="4F81BD"/>
      <w:spacing w:val="15"/>
      <w:sz w:val="24"/>
      <w:szCs w:val="24"/>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53"/>
    <w:qFormat/>
    <w:uiPriority w:val="10"/>
    <w:pPr>
      <w:pBdr>
        <w:bottom w:val="single" w:color="4F81BD" w:sz="8" w:space="4"/>
      </w:pBdr>
      <w:spacing w:after="300" w:line="240" w:lineRule="auto"/>
      <w:contextualSpacing/>
    </w:pPr>
    <w:rPr>
      <w:rFonts w:ascii="Calibri" w:hAnsi="Calibri" w:eastAsia="MS Gothic" w:cs="Times New Roman"/>
      <w:color w:val="17365D"/>
      <w:spacing w:val="5"/>
      <w:kern w:val="28"/>
      <w:sz w:val="52"/>
      <w:szCs w:val="52"/>
    </w:rPr>
  </w:style>
  <w:style w:type="table" w:styleId="39">
    <w:name w:val="Light Shading"/>
    <w:basedOn w:val="12"/>
    <w:qFormat/>
    <w:uiPriority w:val="60"/>
    <w:pPr>
      <w:spacing w:after="0" w:line="240" w:lineRule="auto"/>
    </w:pPr>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BFBFBF"/>
      </w:tcPr>
    </w:tblStylePr>
    <w:tblStylePr w:type="band1Horz">
      <w:tblPr/>
      <w:tcPr>
        <w:tcBorders>
          <w:top w:val="nil"/>
          <w:left w:val="nil"/>
          <w:bottom w:val="nil"/>
          <w:right w:val="nil"/>
          <w:insideH w:val="nil"/>
          <w:insideV w:val="nil"/>
          <w:tl2br w:val="nil"/>
          <w:tr2bl w:val="nil"/>
        </w:tcBorders>
        <w:shd w:val="clear" w:color="auto" w:fill="BFBFBF"/>
      </w:tcPr>
    </w:tblStylePr>
  </w:style>
  <w:style w:type="table" w:styleId="40">
    <w:name w:val="Light Shading Accent 1"/>
    <w:basedOn w:val="12"/>
    <w:qFormat/>
    <w:uiPriority w:val="60"/>
    <w:pPr>
      <w:spacing w:after="0" w:line="240" w:lineRule="auto"/>
    </w:pPr>
    <w:rPr>
      <w:color w:val="366091"/>
    </w:rPr>
    <w:tblPr>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41">
    <w:name w:val="Light Shading Accent 2"/>
    <w:basedOn w:val="12"/>
    <w:qFormat/>
    <w:uiPriority w:val="60"/>
    <w:pPr>
      <w:spacing w:after="0" w:line="240" w:lineRule="auto"/>
    </w:pPr>
    <w:rPr>
      <w:color w:val="943734"/>
    </w:rPr>
    <w:tblPr>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3"/>
      </w:tcPr>
    </w:tblStylePr>
    <w:tblStylePr w:type="band1Horz">
      <w:tblPr/>
      <w:tcPr>
        <w:tcBorders>
          <w:top w:val="nil"/>
          <w:left w:val="nil"/>
          <w:bottom w:val="nil"/>
          <w:right w:val="nil"/>
          <w:insideH w:val="nil"/>
          <w:insideV w:val="nil"/>
          <w:tl2br w:val="nil"/>
          <w:tr2bl w:val="nil"/>
        </w:tcBorders>
        <w:shd w:val="clear" w:color="auto" w:fill="EFD3D3"/>
      </w:tcPr>
    </w:tblStylePr>
  </w:style>
  <w:style w:type="table" w:styleId="42">
    <w:name w:val="Light Shading Accent 3"/>
    <w:basedOn w:val="12"/>
    <w:qFormat/>
    <w:uiPriority w:val="60"/>
    <w:pPr>
      <w:spacing w:after="0" w:line="240" w:lineRule="auto"/>
    </w:pPr>
    <w:rPr>
      <w:color w:val="76923C"/>
    </w:rPr>
    <w:tblPr>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style>
  <w:style w:type="table" w:styleId="43">
    <w:name w:val="Light Shading Accent 4"/>
    <w:basedOn w:val="12"/>
    <w:qFormat/>
    <w:uiPriority w:val="60"/>
    <w:pPr>
      <w:spacing w:after="0" w:line="240" w:lineRule="auto"/>
    </w:pPr>
    <w:rPr>
      <w:color w:val="5F497A"/>
    </w:rPr>
    <w:tblPr>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style>
  <w:style w:type="table" w:styleId="44">
    <w:name w:val="Light Shading Accent 5"/>
    <w:basedOn w:val="12"/>
    <w:qFormat/>
    <w:uiPriority w:val="60"/>
    <w:pPr>
      <w:spacing w:after="0" w:line="240" w:lineRule="auto"/>
    </w:pPr>
    <w:rPr>
      <w:color w:val="31849B"/>
    </w:rPr>
    <w:tblPr>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0"/>
      </w:tcPr>
    </w:tblStylePr>
    <w:tblStylePr w:type="band1Horz">
      <w:tblPr/>
      <w:tcPr>
        <w:tcBorders>
          <w:top w:val="nil"/>
          <w:left w:val="nil"/>
          <w:bottom w:val="nil"/>
          <w:right w:val="nil"/>
          <w:insideH w:val="nil"/>
          <w:insideV w:val="nil"/>
          <w:tl2br w:val="nil"/>
          <w:tr2bl w:val="nil"/>
        </w:tcBorders>
        <w:shd w:val="clear" w:color="auto" w:fill="D2EAF0"/>
      </w:tcPr>
    </w:tblStylePr>
  </w:style>
  <w:style w:type="table" w:styleId="45">
    <w:name w:val="Light Shading Accent 6"/>
    <w:basedOn w:val="12"/>
    <w:qFormat/>
    <w:uiPriority w:val="60"/>
    <w:pPr>
      <w:spacing w:after="0" w:line="240" w:lineRule="auto"/>
    </w:pPr>
    <w:rPr>
      <w:color w:val="E36C09"/>
    </w:rPr>
    <w:tblPr>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DE5D1"/>
      </w:tcPr>
    </w:tblStylePr>
    <w:tblStylePr w:type="band1Horz">
      <w:tblPr/>
      <w:tcPr>
        <w:tcBorders>
          <w:top w:val="nil"/>
          <w:left w:val="nil"/>
          <w:bottom w:val="nil"/>
          <w:right w:val="nil"/>
          <w:insideH w:val="nil"/>
          <w:insideV w:val="nil"/>
          <w:tl2br w:val="nil"/>
          <w:tr2bl w:val="nil"/>
        </w:tcBorders>
        <w:shd w:val="clear" w:color="auto" w:fill="FDE5D1"/>
      </w:tcPr>
    </w:tblStylePr>
  </w:style>
  <w:style w:type="table" w:styleId="46">
    <w:name w:val="Light List"/>
    <w:basedOn w:val="12"/>
    <w:qFormat/>
    <w:uiPriority w:val="61"/>
    <w:pPr>
      <w:spacing w:after="0" w:line="240" w:lineRule="auto"/>
    </w:p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styleId="47">
    <w:name w:val="Light List Accent 1"/>
    <w:basedOn w:val="12"/>
    <w:qFormat/>
    <w:uiPriority w:val="61"/>
    <w:pPr>
      <w:spacing w:after="0" w:line="240" w:lineRule="auto"/>
    </w:p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styleId="48">
    <w:name w:val="Light List Accent 2"/>
    <w:basedOn w:val="12"/>
    <w:qFormat/>
    <w:uiPriority w:val="61"/>
    <w:pPr>
      <w:spacing w:after="0" w:line="240" w:lineRule="auto"/>
    </w:p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Horz">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style>
  <w:style w:type="table" w:styleId="49">
    <w:name w:val="Light List Accent 3"/>
    <w:basedOn w:val="12"/>
    <w:qFormat/>
    <w:uiPriority w:val="61"/>
    <w:pPr>
      <w:spacing w:after="0" w:line="240" w:lineRule="auto"/>
    </w:p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styleId="50">
    <w:name w:val="Light List Accent 4"/>
    <w:basedOn w:val="12"/>
    <w:qFormat/>
    <w:uiPriority w:val="61"/>
    <w:pPr>
      <w:spacing w:after="0" w:line="240" w:lineRule="auto"/>
    </w:p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styleId="51">
    <w:name w:val="Light List Accent 5"/>
    <w:basedOn w:val="12"/>
    <w:qFormat/>
    <w:uiPriority w:val="61"/>
    <w:pPr>
      <w:spacing w:after="0" w:line="240" w:lineRule="auto"/>
    </w:p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52">
    <w:name w:val="Light List Accent 6"/>
    <w:basedOn w:val="12"/>
    <w:qFormat/>
    <w:uiPriority w:val="61"/>
    <w:pPr>
      <w:spacing w:after="0" w:line="240" w:lineRule="auto"/>
    </w:p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Horz">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style>
  <w:style w:type="table" w:styleId="53">
    <w:name w:val="Light Grid"/>
    <w:basedOn w:val="12"/>
    <w:qFormat/>
    <w:uiPriority w:val="62"/>
    <w:pPr>
      <w:spacing w:after="0" w:line="240" w:lineRule="auto"/>
    </w:p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styleId="54">
    <w:name w:val="Light Grid Accent 1"/>
    <w:basedOn w:val="12"/>
    <w:qFormat/>
    <w:uiPriority w:val="62"/>
    <w:pPr>
      <w:spacing w:after="0" w:line="240" w:lineRule="auto"/>
    </w:p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styleId="55">
    <w:name w:val="Light Grid Accent 2"/>
    <w:basedOn w:val="12"/>
    <w:qFormat/>
    <w:uiPriority w:val="62"/>
    <w:pPr>
      <w:spacing w:after="0" w:line="240" w:lineRule="auto"/>
    </w:p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56">
    <w:name w:val="Light Grid Accent 3"/>
    <w:basedOn w:val="12"/>
    <w:qFormat/>
    <w:uiPriority w:val="62"/>
    <w:pPr>
      <w:spacing w:after="0" w:line="240" w:lineRule="auto"/>
    </w:p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styleId="57">
    <w:name w:val="Light Grid Accent 4"/>
    <w:basedOn w:val="12"/>
    <w:qFormat/>
    <w:uiPriority w:val="62"/>
    <w:pPr>
      <w:spacing w:after="0" w:line="240" w:lineRule="auto"/>
    </w:p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l2br w:val="nil"/>
          <w:tr2bl w:val="nil"/>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tcPr>
    </w:tblStylePr>
  </w:style>
  <w:style w:type="table" w:styleId="58">
    <w:name w:val="Light Grid Accent 5"/>
    <w:basedOn w:val="12"/>
    <w:qFormat/>
    <w:uiPriority w:val="62"/>
    <w:pPr>
      <w:spacing w:after="0" w:line="240" w:lineRule="auto"/>
    </w:p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59">
    <w:name w:val="Light Grid Accent 6"/>
    <w:basedOn w:val="12"/>
    <w:qFormat/>
    <w:uiPriority w:val="62"/>
    <w:pPr>
      <w:spacing w:after="0" w:line="240" w:lineRule="auto"/>
    </w:p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l2br w:val="nil"/>
          <w:tr2bl w:val="nil"/>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tcPr>
    </w:tblStylePr>
  </w:style>
  <w:style w:type="table" w:styleId="60">
    <w:name w:val="Medium Shading 1"/>
    <w:basedOn w:val="12"/>
    <w:qFormat/>
    <w:uiPriority w:val="63"/>
    <w:pPr>
      <w:spacing w:after="0" w:line="240" w:lineRule="auto"/>
    </w:pPr>
    <w:tblPr>
      <w:tblBorders>
        <w:top w:val="single" w:color="3F3F3F" w:sz="8" w:space="0"/>
        <w:left w:val="single" w:color="3F3F3F" w:sz="8" w:space="0"/>
        <w:bottom w:val="single" w:color="3F3F3F" w:sz="8" w:space="0"/>
        <w:right w:val="single" w:color="3F3F3F" w:sz="8" w:space="0"/>
        <w:insideH w:val="single" w:color="3F3F3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l2br w:val="nil"/>
          <w:tr2bl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top w:val="nil"/>
          <w:left w:val="nil"/>
          <w:bottom w:val="nil"/>
          <w:right w:val="nil"/>
          <w:insideH w:val="nil"/>
          <w:insideV w:val="nil"/>
          <w:tl2br w:val="nil"/>
          <w:tr2bl w:val="nil"/>
        </w:tcBorders>
        <w:shd w:val="clear" w:color="auto" w:fill="BFBFBF"/>
      </w:tcPr>
    </w:tblStylePr>
    <w:tblStylePr w:type="band2Horz">
      <w:tblPr/>
      <w:tcPr>
        <w:tcBorders>
          <w:top w:val="nil"/>
          <w:left w:val="nil"/>
          <w:bottom w:val="nil"/>
          <w:right w:val="nil"/>
          <w:insideH w:val="nil"/>
          <w:insideV w:val="nil"/>
          <w:tl2br w:val="nil"/>
          <w:tr2bl w:val="nil"/>
        </w:tcBorders>
      </w:tcPr>
    </w:tblStylePr>
  </w:style>
  <w:style w:type="table" w:styleId="61">
    <w:name w:val="Medium Shading 1 Accent 1"/>
    <w:basedOn w:val="12"/>
    <w:qFormat/>
    <w:uiPriority w:val="63"/>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band2Horz">
      <w:tblPr/>
      <w:tcPr>
        <w:tcBorders>
          <w:top w:val="nil"/>
          <w:left w:val="nil"/>
          <w:bottom w:val="nil"/>
          <w:right w:val="nil"/>
          <w:insideH w:val="nil"/>
          <w:insideV w:val="nil"/>
          <w:tl2br w:val="nil"/>
          <w:tr2bl w:val="nil"/>
        </w:tcBorders>
      </w:tcPr>
    </w:tblStylePr>
  </w:style>
  <w:style w:type="table" w:styleId="62">
    <w:name w:val="Medium Shading 1 Accent 2"/>
    <w:basedOn w:val="12"/>
    <w:qFormat/>
    <w:uiPriority w:val="63"/>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l2br w:val="nil"/>
          <w:tr2bl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top w:val="nil"/>
          <w:left w:val="nil"/>
          <w:bottom w:val="nil"/>
          <w:right w:val="nil"/>
          <w:insideH w:val="nil"/>
          <w:insideV w:val="nil"/>
          <w:tl2br w:val="nil"/>
          <w:tr2bl w:val="nil"/>
        </w:tcBorders>
        <w:shd w:val="clear" w:color="auto" w:fill="EFD3D3"/>
      </w:tcPr>
    </w:tblStylePr>
    <w:tblStylePr w:type="band2Horz">
      <w:tblPr/>
      <w:tcPr>
        <w:tcBorders>
          <w:top w:val="nil"/>
          <w:left w:val="nil"/>
          <w:bottom w:val="nil"/>
          <w:right w:val="nil"/>
          <w:insideH w:val="nil"/>
          <w:insideV w:val="nil"/>
          <w:tl2br w:val="nil"/>
          <w:tr2bl w:val="nil"/>
        </w:tcBorders>
      </w:tcPr>
    </w:tblStylePr>
  </w:style>
  <w:style w:type="table" w:styleId="63">
    <w:name w:val="Medium Shading 1 Accent 3"/>
    <w:basedOn w:val="12"/>
    <w:qFormat/>
    <w:uiPriority w:val="63"/>
    <w:pPr>
      <w:spacing w:after="0" w:line="240" w:lineRule="auto"/>
    </w:pPr>
    <w:tblPr>
      <w:tblBorders>
        <w:top w:val="single" w:color="B4CC82" w:sz="8" w:space="0"/>
        <w:left w:val="single" w:color="B4CC82" w:sz="8" w:space="0"/>
        <w:bottom w:val="single" w:color="B4CC82" w:sz="8" w:space="0"/>
        <w:right w:val="single" w:color="B4CC82" w:sz="8" w:space="0"/>
        <w:insideH w:val="single" w:color="B4CC82"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l2br w:val="nil"/>
          <w:tr2bl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band2Horz">
      <w:tblPr/>
      <w:tcPr>
        <w:tcBorders>
          <w:top w:val="nil"/>
          <w:left w:val="nil"/>
          <w:bottom w:val="nil"/>
          <w:right w:val="nil"/>
          <w:insideH w:val="nil"/>
          <w:insideV w:val="nil"/>
          <w:tl2br w:val="nil"/>
          <w:tr2bl w:val="nil"/>
        </w:tcBorders>
      </w:tcPr>
    </w:tblStylePr>
  </w:style>
  <w:style w:type="table" w:styleId="64">
    <w:name w:val="Medium Shading 1 Accent 4"/>
    <w:basedOn w:val="12"/>
    <w:qFormat/>
    <w:uiPriority w:val="63"/>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l2br w:val="nil"/>
          <w:tr2bl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band2Horz">
      <w:tblPr/>
      <w:tcPr>
        <w:tcBorders>
          <w:top w:val="nil"/>
          <w:left w:val="nil"/>
          <w:bottom w:val="nil"/>
          <w:right w:val="nil"/>
          <w:insideH w:val="nil"/>
          <w:insideV w:val="nil"/>
          <w:tl2br w:val="nil"/>
          <w:tr2bl w:val="nil"/>
        </w:tcBorders>
      </w:tcPr>
    </w:tblStylePr>
  </w:style>
  <w:style w:type="table" w:styleId="65">
    <w:name w:val="Medium Shading 1 Accent 5"/>
    <w:basedOn w:val="12"/>
    <w:qFormat/>
    <w:uiPriority w:val="63"/>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l2br w:val="nil"/>
          <w:tr2bl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top w:val="nil"/>
          <w:left w:val="nil"/>
          <w:bottom w:val="nil"/>
          <w:right w:val="nil"/>
          <w:insideH w:val="nil"/>
          <w:insideV w:val="nil"/>
          <w:tl2br w:val="nil"/>
          <w:tr2bl w:val="nil"/>
        </w:tcBorders>
        <w:shd w:val="clear" w:color="auto" w:fill="D2EAF0"/>
      </w:tcPr>
    </w:tblStylePr>
    <w:tblStylePr w:type="band2Horz">
      <w:tblPr/>
      <w:tcPr>
        <w:tcBorders>
          <w:top w:val="nil"/>
          <w:left w:val="nil"/>
          <w:bottom w:val="nil"/>
          <w:right w:val="nil"/>
          <w:insideH w:val="nil"/>
          <w:insideV w:val="nil"/>
          <w:tl2br w:val="nil"/>
          <w:tr2bl w:val="nil"/>
        </w:tcBorders>
      </w:tcPr>
    </w:tblStylePr>
  </w:style>
  <w:style w:type="table" w:styleId="66">
    <w:name w:val="Medium Shading 1 Accent 6"/>
    <w:basedOn w:val="12"/>
    <w:qFormat/>
    <w:uiPriority w:val="63"/>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l2br w:val="nil"/>
          <w:tr2bl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top w:val="nil"/>
          <w:left w:val="nil"/>
          <w:bottom w:val="nil"/>
          <w:right w:val="nil"/>
          <w:insideH w:val="nil"/>
          <w:insideV w:val="nil"/>
          <w:tl2br w:val="nil"/>
          <w:tr2bl w:val="nil"/>
        </w:tcBorders>
        <w:shd w:val="clear" w:color="auto" w:fill="FDE5D1"/>
      </w:tcPr>
    </w:tblStylePr>
    <w:tblStylePr w:type="band2Horz">
      <w:tblPr/>
      <w:tcPr>
        <w:tcBorders>
          <w:top w:val="nil"/>
          <w:left w:val="nil"/>
          <w:bottom w:val="nil"/>
          <w:right w:val="nil"/>
          <w:insideH w:val="nil"/>
          <w:insideV w:val="nil"/>
          <w:tl2br w:val="nil"/>
          <w:tr2bl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000000"/>
      </w:tcPr>
    </w:tblStylePr>
    <w:tblStylePr w:type="lastCol">
      <w:rPr>
        <w:b/>
        <w:bCs/>
        <w:color w:val="FFFFFF"/>
      </w:rPr>
      <w:tblPr/>
      <w:tcPr>
        <w:tcBorders>
          <w:top w:val="nil"/>
          <w:left w:val="nil"/>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C0504D"/>
      </w:tcPr>
    </w:tblStylePr>
    <w:tblStylePr w:type="lastCol">
      <w:rPr>
        <w:b/>
        <w:bCs/>
        <w:color w:val="FFFFFF"/>
      </w:rPr>
      <w:tblPr/>
      <w:tcPr>
        <w:tcBorders>
          <w:top w:val="nil"/>
          <w:left w:val="nil"/>
          <w:bottom w:val="nil"/>
          <w:right w:val="nil"/>
          <w:insideH w:val="nil"/>
          <w:insideV w:val="nil"/>
          <w:tl2br w:val="nil"/>
          <w:tr2bl w:val="nil"/>
        </w:tcBorders>
        <w:shd w:val="clear" w:color="auto" w:fill="C0504D"/>
      </w:tcPr>
    </w:tblStylePr>
    <w:tblStylePr w:type="band1Vert">
      <w:tblPr/>
      <w:tcPr>
        <w:tcBorders>
          <w:top w:val="nil"/>
          <w:left w:val="nil"/>
          <w:bottom w:val="nil"/>
          <w:right w:val="nil"/>
          <w:insideH w:val="nil"/>
          <w:insideV w:val="nil"/>
          <w:tl2br w:val="nil"/>
          <w:tr2bl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9BBB59"/>
      </w:tcPr>
    </w:tblStylePr>
    <w:tblStylePr w:type="lastCol">
      <w:rPr>
        <w:b/>
        <w:bCs/>
        <w:color w:val="FFFFFF"/>
      </w:rPr>
      <w:tblPr/>
      <w:tcPr>
        <w:tcBorders>
          <w:top w:val="nil"/>
          <w:left w:val="nil"/>
          <w:bottom w:val="nil"/>
          <w:right w:val="nil"/>
          <w:insideH w:val="nil"/>
          <w:insideV w:val="nil"/>
          <w:tl2br w:val="nil"/>
          <w:tr2bl w:val="nil"/>
        </w:tcBorders>
        <w:shd w:val="clear" w:color="auto" w:fill="9BBB59"/>
      </w:tcPr>
    </w:tblStylePr>
    <w:tblStylePr w:type="band1Vert">
      <w:tblPr/>
      <w:tcPr>
        <w:tcBorders>
          <w:top w:val="nil"/>
          <w:left w:val="nil"/>
          <w:bottom w:val="nil"/>
          <w:right w:val="nil"/>
          <w:insideH w:val="nil"/>
          <w:insideV w:val="nil"/>
          <w:tl2br w:val="nil"/>
          <w:tr2bl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8064A2"/>
      </w:tcPr>
    </w:tblStylePr>
    <w:tblStylePr w:type="lastCol">
      <w:rPr>
        <w:b/>
        <w:bCs/>
        <w:color w:val="FFFFFF"/>
      </w:rPr>
      <w:tblPr/>
      <w:tcPr>
        <w:tcBorders>
          <w:top w:val="nil"/>
          <w:left w:val="nil"/>
          <w:bottom w:val="nil"/>
          <w:right w:val="nil"/>
          <w:insideH w:val="nil"/>
          <w:insideV w:val="nil"/>
          <w:tl2br w:val="nil"/>
          <w:tr2bl w:val="nil"/>
        </w:tcBorders>
        <w:shd w:val="clear" w:color="auto" w:fill="8064A2"/>
      </w:tcPr>
    </w:tblStylePr>
    <w:tblStylePr w:type="band1Vert">
      <w:tblPr/>
      <w:tcPr>
        <w:tcBorders>
          <w:top w:val="nil"/>
          <w:left w:val="nil"/>
          <w:bottom w:val="nil"/>
          <w:right w:val="nil"/>
          <w:insideH w:val="nil"/>
          <w:insideV w:val="nil"/>
          <w:tl2br w:val="nil"/>
          <w:tr2bl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4BACC6"/>
      </w:tcPr>
    </w:tblStylePr>
    <w:tblStylePr w:type="lastCol">
      <w:rPr>
        <w:b/>
        <w:bCs/>
        <w:color w:val="FFFFFF"/>
      </w:rPr>
      <w:tblPr/>
      <w:tcPr>
        <w:tcBorders>
          <w:top w:val="nil"/>
          <w:left w:val="nil"/>
          <w:bottom w:val="nil"/>
          <w:right w:val="nil"/>
          <w:insideH w:val="nil"/>
          <w:insideV w:val="nil"/>
          <w:tl2br w:val="nil"/>
          <w:tr2bl w:val="nil"/>
        </w:tcBorders>
        <w:shd w:val="clear" w:color="auto" w:fill="4BACC6"/>
      </w:tcPr>
    </w:tblStylePr>
    <w:tblStylePr w:type="band1Vert">
      <w:tblPr/>
      <w:tcPr>
        <w:tcBorders>
          <w:top w:val="nil"/>
          <w:left w:val="nil"/>
          <w:bottom w:val="nil"/>
          <w:right w:val="nil"/>
          <w:insideH w:val="nil"/>
          <w:insideV w:val="nil"/>
          <w:tl2br w:val="nil"/>
          <w:tr2bl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F79646"/>
      </w:tcPr>
    </w:tblStylePr>
    <w:tblStylePr w:type="lastCol">
      <w:rPr>
        <w:b/>
        <w:bCs/>
        <w:color w:val="FFFFFF"/>
      </w:rPr>
      <w:tblPr/>
      <w:tcPr>
        <w:tcBorders>
          <w:top w:val="nil"/>
          <w:left w:val="nil"/>
          <w:bottom w:val="nil"/>
          <w:right w:val="nil"/>
          <w:insideH w:val="nil"/>
          <w:insideV w:val="nil"/>
          <w:tl2br w:val="nil"/>
          <w:tr2bl w:val="nil"/>
        </w:tcBorders>
        <w:shd w:val="clear" w:color="auto" w:fill="F79646"/>
      </w:tcPr>
    </w:tblStylePr>
    <w:tblStylePr w:type="band1Vert">
      <w:tblPr/>
      <w:tcPr>
        <w:tcBorders>
          <w:top w:val="nil"/>
          <w:left w:val="nil"/>
          <w:bottom w:val="nil"/>
          <w:right w:val="nil"/>
          <w:insideH w:val="nil"/>
          <w:insideV w:val="nil"/>
          <w:tl2br w:val="nil"/>
          <w:tr2bl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74">
    <w:name w:val="Medium List 1"/>
    <w:basedOn w:val="12"/>
    <w:qFormat/>
    <w:uiPriority w:val="65"/>
    <w:pPr>
      <w:spacing w:after="0" w:line="240" w:lineRule="auto"/>
    </w:pPr>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left w:val="nil"/>
          <w:bottom w:val="single" w:color="000000" w:sz="8" w:space="0"/>
          <w:right w:val="nil"/>
          <w:insideH w:val="nil"/>
          <w:insideV w:val="nil"/>
          <w:tl2br w:val="nil"/>
          <w:tr2bl w:val="nil"/>
        </w:tcBorders>
      </w:tcPr>
    </w:tblStylePr>
    <w:tblStylePr w:type="lastRow">
      <w:rPr>
        <w:b/>
        <w:bCs/>
        <w:color w:val="1F497D"/>
      </w:rPr>
      <w:tbl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Pr/>
      <w:tcPr>
        <w:tcBorders>
          <w:top w:val="single" w:color="000000" w:sz="8" w:space="0"/>
          <w:left w:val="nil"/>
          <w:bottom w:val="single" w:color="000000" w:sz="8" w:space="0"/>
          <w:right w:val="nil"/>
          <w:insideH w:val="nil"/>
          <w:insideV w:val="nil"/>
          <w:tl2br w:val="nil"/>
          <w:tr2bl w:val="nil"/>
        </w:tcBorders>
      </w:tcPr>
    </w:tblStylePr>
    <w:tblStylePr w:type="band1Vert">
      <w:tblPr/>
      <w:tcPr>
        <w:shd w:val="clear" w:color="auto" w:fill="BFBFBF"/>
      </w:tcPr>
    </w:tblStylePr>
    <w:tblStylePr w:type="band1Horz">
      <w:tblPr/>
      <w:tcPr>
        <w:shd w:val="clear" w:color="auto" w:fill="BFBFBF"/>
      </w:tcPr>
    </w:tblStylePr>
  </w:style>
  <w:style w:type="table" w:styleId="75">
    <w:name w:val="Medium List 1 Accent 1"/>
    <w:basedOn w:val="12"/>
    <w:qFormat/>
    <w:uiPriority w:val="65"/>
    <w:pPr>
      <w:spacing w:after="0" w:line="240" w:lineRule="auto"/>
    </w:pPr>
    <w:rPr>
      <w:color w:val="000000"/>
    </w:rPr>
    <w:tblPr>
      <w:tblBorders>
        <w:top w:val="single" w:color="4F81BD" w:sz="8" w:space="0"/>
        <w:bottom w:val="single" w:color="4F81BD"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left w:val="nil"/>
          <w:bottom w:val="single" w:color="4F81BD" w:sz="8" w:space="0"/>
          <w:right w:val="nil"/>
          <w:insideH w:val="nil"/>
          <w:insideV w:val="nil"/>
          <w:tl2br w:val="nil"/>
          <w:tr2bl w:val="nil"/>
        </w:tcBorders>
      </w:tcPr>
    </w:tblStylePr>
    <w:tblStylePr w:type="lastRow">
      <w:rPr>
        <w:b/>
        <w:bCs/>
        <w:color w:val="1F497D"/>
      </w:rPr>
      <w:tbl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Pr/>
      <w:tcPr>
        <w:tcBorders>
          <w:top w:val="single" w:color="4F81BD" w:sz="8" w:space="0"/>
          <w:left w:val="nil"/>
          <w:bottom w:val="single" w:color="4F81BD" w:sz="8" w:space="0"/>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styleId="76">
    <w:name w:val="Medium List 1 Accent 2"/>
    <w:basedOn w:val="12"/>
    <w:qFormat/>
    <w:uiPriority w:val="65"/>
    <w:pPr>
      <w:spacing w:after="0" w:line="240" w:lineRule="auto"/>
    </w:pPr>
    <w:rPr>
      <w:color w:val="000000"/>
    </w:rPr>
    <w:tblPr>
      <w:tblBorders>
        <w:top w:val="single" w:color="C0504D" w:sz="8" w:space="0"/>
        <w:bottom w:val="single" w:color="C0504D"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left w:val="nil"/>
          <w:bottom w:val="single" w:color="C0504D" w:sz="8" w:space="0"/>
          <w:right w:val="nil"/>
          <w:insideH w:val="nil"/>
          <w:insideV w:val="nil"/>
          <w:tl2br w:val="nil"/>
          <w:tr2bl w:val="nil"/>
        </w:tcBorders>
      </w:tcPr>
    </w:tblStylePr>
    <w:tblStylePr w:type="lastRow">
      <w:rPr>
        <w:b/>
        <w:bCs/>
        <w:color w:val="1F497D"/>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Pr/>
      <w:tcPr>
        <w:tcBorders>
          <w:top w:val="single" w:color="C0504D" w:sz="8" w:space="0"/>
          <w:left w:val="nil"/>
          <w:bottom w:val="single" w:color="C0504D" w:sz="8" w:space="0"/>
          <w:right w:val="nil"/>
          <w:insideH w:val="nil"/>
          <w:insideV w:val="nil"/>
          <w:tl2br w:val="nil"/>
          <w:tr2bl w:val="nil"/>
        </w:tcBorders>
      </w:tcPr>
    </w:tblStylePr>
    <w:tblStylePr w:type="band1Vert">
      <w:tblPr/>
      <w:tcPr>
        <w:shd w:val="clear" w:color="auto" w:fill="EFD3D3"/>
      </w:tcPr>
    </w:tblStylePr>
    <w:tblStylePr w:type="band1Horz">
      <w:tblPr/>
      <w:tcPr>
        <w:shd w:val="clear" w:color="auto" w:fill="EFD3D3"/>
      </w:tcPr>
    </w:tblStylePr>
  </w:style>
  <w:style w:type="table" w:styleId="77">
    <w:name w:val="Medium List 1 Accent 3"/>
    <w:basedOn w:val="12"/>
    <w:qFormat/>
    <w:uiPriority w:val="65"/>
    <w:pPr>
      <w:spacing w:after="0" w:line="240" w:lineRule="auto"/>
    </w:pPr>
    <w:rPr>
      <w:color w:val="000000"/>
    </w:rPr>
    <w:tblPr>
      <w:tblBorders>
        <w:top w:val="single" w:color="9BBB59" w:sz="8" w:space="0"/>
        <w:bottom w:val="single" w:color="9BBB59"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left w:val="nil"/>
          <w:bottom w:val="single" w:color="9BBB59" w:sz="8" w:space="0"/>
          <w:right w:val="nil"/>
          <w:insideH w:val="nil"/>
          <w:insideV w:val="nil"/>
          <w:tl2br w:val="nil"/>
          <w:tr2bl w:val="nil"/>
        </w:tcBorders>
      </w:tcPr>
    </w:tblStylePr>
    <w:tblStylePr w:type="lastRow">
      <w:rPr>
        <w:b/>
        <w:bCs/>
        <w:color w:val="1F497D"/>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Pr/>
      <w:tcPr>
        <w:tcBorders>
          <w:top w:val="single" w:color="9BBB59" w:sz="8" w:space="0"/>
          <w:left w:val="nil"/>
          <w:bottom w:val="single" w:color="9BBB59" w:sz="8" w:space="0"/>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78">
    <w:name w:val="Medium List 1 Accent 4"/>
    <w:basedOn w:val="12"/>
    <w:qFormat/>
    <w:uiPriority w:val="65"/>
    <w:pPr>
      <w:spacing w:after="0" w:line="240" w:lineRule="auto"/>
    </w:pPr>
    <w:rPr>
      <w:color w:val="000000"/>
    </w:rPr>
    <w:tblPr>
      <w:tblBorders>
        <w:top w:val="single" w:color="8064A2" w:sz="8" w:space="0"/>
        <w:bottom w:val="single" w:color="8064A2"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left w:val="nil"/>
          <w:bottom w:val="single" w:color="8064A2" w:sz="8" w:space="0"/>
          <w:right w:val="nil"/>
          <w:insideH w:val="nil"/>
          <w:insideV w:val="nil"/>
          <w:tl2br w:val="nil"/>
          <w:tr2bl w:val="nil"/>
        </w:tcBorders>
      </w:tcPr>
    </w:tblStylePr>
    <w:tblStylePr w:type="lastRow">
      <w:rPr>
        <w:b/>
        <w:bCs/>
        <w:color w:val="1F497D"/>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Pr/>
      <w:tcPr>
        <w:tcBorders>
          <w:top w:val="single" w:color="8064A2" w:sz="8" w:space="0"/>
          <w:left w:val="nil"/>
          <w:bottom w:val="single" w:color="8064A2" w:sz="8" w:space="0"/>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79">
    <w:name w:val="Medium List 1 Accent 5"/>
    <w:basedOn w:val="12"/>
    <w:qFormat/>
    <w:uiPriority w:val="65"/>
    <w:pPr>
      <w:spacing w:after="0" w:line="240" w:lineRule="auto"/>
    </w:pPr>
    <w:rPr>
      <w:color w:val="000000"/>
    </w:rPr>
    <w:tblPr>
      <w:tblBorders>
        <w:top w:val="single" w:color="4BACC6" w:sz="8" w:space="0"/>
        <w:bottom w:val="single" w:color="4BACC6"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left w:val="nil"/>
          <w:bottom w:val="single" w:color="4BACC6" w:sz="8" w:space="0"/>
          <w:right w:val="nil"/>
          <w:insideH w:val="nil"/>
          <w:insideV w:val="nil"/>
          <w:tl2br w:val="nil"/>
          <w:tr2bl w:val="nil"/>
        </w:tcBorders>
      </w:tcPr>
    </w:tblStylePr>
    <w:tblStylePr w:type="lastRow">
      <w:rPr>
        <w:b/>
        <w:bCs/>
        <w:color w:val="1F497D"/>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Pr/>
      <w:tcPr>
        <w:tcBorders>
          <w:top w:val="single" w:color="4BACC6" w:sz="8" w:space="0"/>
          <w:left w:val="nil"/>
          <w:bottom w:val="single" w:color="4BACC6" w:sz="8" w:space="0"/>
          <w:right w:val="nil"/>
          <w:insideH w:val="nil"/>
          <w:insideV w:val="nil"/>
          <w:tl2br w:val="nil"/>
          <w:tr2bl w:val="nil"/>
        </w:tcBorders>
      </w:tcPr>
    </w:tblStylePr>
    <w:tblStylePr w:type="band1Vert">
      <w:tblPr/>
      <w:tcPr>
        <w:shd w:val="clear" w:color="auto" w:fill="D2EAF0"/>
      </w:tcPr>
    </w:tblStylePr>
    <w:tblStylePr w:type="band1Horz">
      <w:tblPr/>
      <w:tcPr>
        <w:shd w:val="clear" w:color="auto" w:fill="D2EAF0"/>
      </w:tcPr>
    </w:tblStylePr>
  </w:style>
  <w:style w:type="table" w:styleId="80">
    <w:name w:val="Medium List 1 Accent 6"/>
    <w:basedOn w:val="12"/>
    <w:qFormat/>
    <w:uiPriority w:val="65"/>
    <w:pPr>
      <w:spacing w:after="0" w:line="240" w:lineRule="auto"/>
    </w:pPr>
    <w:rPr>
      <w:color w:val="000000"/>
    </w:rPr>
    <w:tblPr>
      <w:tblBorders>
        <w:top w:val="single" w:color="F79646" w:sz="8" w:space="0"/>
        <w:bottom w:val="single" w:color="F79646"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left w:val="nil"/>
          <w:bottom w:val="single" w:color="F79646" w:sz="8" w:space="0"/>
          <w:right w:val="nil"/>
          <w:insideH w:val="nil"/>
          <w:insideV w:val="nil"/>
          <w:tl2br w:val="nil"/>
          <w:tr2bl w:val="nil"/>
        </w:tcBorders>
      </w:tcPr>
    </w:tblStylePr>
    <w:tblStylePr w:type="lastRow">
      <w:rPr>
        <w:b/>
        <w:bCs/>
        <w:color w:val="1F497D"/>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Pr/>
      <w:tcPr>
        <w:tcBorders>
          <w:top w:val="single" w:color="F79646" w:sz="8" w:space="0"/>
          <w:left w:val="nil"/>
          <w:bottom w:val="single" w:color="F79646" w:sz="8" w:space="0"/>
          <w:right w:val="nil"/>
          <w:insideH w:val="nil"/>
          <w:insideV w:val="nil"/>
          <w:tl2br w:val="nil"/>
          <w:tr2bl w:val="nil"/>
        </w:tcBorders>
      </w:tcPr>
    </w:tblStylePr>
    <w:tblStylePr w:type="band1Vert">
      <w:tblPr/>
      <w:tcPr>
        <w:shd w:val="clear" w:color="auto" w:fill="FDE5D1"/>
      </w:tcPr>
    </w:tblStylePr>
    <w:tblStylePr w:type="band1Horz">
      <w:tblPr/>
      <w:tcPr>
        <w:shd w:val="clear" w:color="auto" w:fill="FDE5D1"/>
      </w:tcPr>
    </w:tblStylePr>
  </w:style>
  <w:style w:type="table" w:styleId="81">
    <w:name w:val="Medium List 2"/>
    <w:basedOn w:val="12"/>
    <w:qFormat/>
    <w:uiPriority w:val="66"/>
    <w:pPr>
      <w:spacing w:after="0" w:line="240" w:lineRule="auto"/>
    </w:pPr>
    <w:rPr>
      <w:rFonts w:ascii="Calibri" w:hAnsi="Calibri" w:eastAsia="MS Gothic" w:cs="Times New Roman"/>
      <w:color w:val="000000"/>
    </w:r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l2br w:val="nil"/>
          <w:tr2bl w:val="nil"/>
        </w:tcBorders>
        <w:shd w:val="clear" w:color="auto" w:fill="FFFFFF"/>
      </w:tcPr>
    </w:tblStylePr>
    <w:tblStylePr w:type="lastRow">
      <w:tblPr/>
      <w:tcPr>
        <w:tcBorders>
          <w:top w:val="single" w:color="000000"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000000" w:sz="8" w:space="0"/>
          <w:insideH w:val="nil"/>
          <w:insideV w:val="nil"/>
          <w:tl2br w:val="nil"/>
          <w:tr2bl w:val="nil"/>
        </w:tcBorders>
        <w:shd w:val="clear" w:color="auto" w:fill="FFFFFF"/>
      </w:tcPr>
    </w:tblStylePr>
    <w:tblStylePr w:type="lastCol">
      <w:tblPr/>
      <w:tcPr>
        <w:tcBorders>
          <w:top w:val="nil"/>
          <w:left w:val="single" w:color="000000" w:sz="8" w:space="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BFBFBF"/>
      </w:tcPr>
    </w:tblStylePr>
    <w:tblStylePr w:type="band1Horz">
      <w:tblPr/>
      <w:tcPr>
        <w:tcBorders>
          <w:top w:val="nil"/>
          <w:left w:val="nil"/>
          <w:bottom w:val="nil"/>
          <w:right w:val="nil"/>
          <w:insideH w:val="nil"/>
          <w:insideV w:val="nil"/>
          <w:tl2br w:val="nil"/>
          <w:tr2bl w:val="nil"/>
        </w:tcBorders>
        <w:shd w:val="clear" w:color="auto" w:fill="BFBFBF"/>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82">
    <w:name w:val="Medium List 2 Accent 1"/>
    <w:basedOn w:val="12"/>
    <w:qFormat/>
    <w:uiPriority w:val="66"/>
    <w:pPr>
      <w:spacing w:after="0" w:line="240" w:lineRule="auto"/>
    </w:pPr>
    <w:rPr>
      <w:rFonts w:ascii="Calibri" w:hAnsi="Calibri" w:eastAsia="MS Gothic" w:cs="Times New Roman"/>
      <w:color w:val="000000"/>
    </w:r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l2br w:val="nil"/>
          <w:tr2bl w:val="nil"/>
        </w:tcBorders>
        <w:shd w:val="clear" w:color="auto" w:fill="FFFFFF"/>
      </w:tcPr>
    </w:tblStylePr>
    <w:tblStylePr w:type="lastRow">
      <w:tblPr/>
      <w:tcPr>
        <w:tcBorders>
          <w:top w:val="single" w:color="4F81B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F81BD" w:sz="8" w:space="0"/>
          <w:insideH w:val="nil"/>
          <w:insideV w:val="nil"/>
          <w:tl2br w:val="nil"/>
          <w:tr2bl w:val="nil"/>
        </w:tcBorders>
        <w:shd w:val="clear" w:color="auto" w:fill="FFFFFF"/>
      </w:tcPr>
    </w:tblStylePr>
    <w:tblStylePr w:type="lastCol">
      <w:tblPr/>
      <w:tcPr>
        <w:tcBorders>
          <w:top w:val="nil"/>
          <w:left w:val="single" w:color="4F81BD" w:sz="8" w:space="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83">
    <w:name w:val="Medium List 2 Accent 2"/>
    <w:basedOn w:val="12"/>
    <w:qFormat/>
    <w:uiPriority w:val="66"/>
    <w:pPr>
      <w:spacing w:after="0" w:line="240" w:lineRule="auto"/>
    </w:pPr>
    <w:rPr>
      <w:rFonts w:ascii="Calibri" w:hAnsi="Calibri" w:eastAsia="MS Gothic" w:cs="Times New Roman"/>
      <w:color w:val="000000"/>
    </w:r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l2br w:val="nil"/>
          <w:tr2bl w:val="nil"/>
        </w:tcBorders>
        <w:shd w:val="clear" w:color="auto" w:fill="FFFFFF"/>
      </w:tcPr>
    </w:tblStylePr>
    <w:tblStylePr w:type="lastRow">
      <w:tblPr/>
      <w:tcPr>
        <w:tcBorders>
          <w:top w:val="single" w:color="C0504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C0504D" w:sz="8" w:space="0"/>
          <w:insideH w:val="nil"/>
          <w:insideV w:val="nil"/>
          <w:tl2br w:val="nil"/>
          <w:tr2bl w:val="nil"/>
        </w:tcBorders>
        <w:shd w:val="clear" w:color="auto" w:fill="FFFFFF"/>
      </w:tcPr>
    </w:tblStylePr>
    <w:tblStylePr w:type="lastCol">
      <w:tblPr/>
      <w:tcPr>
        <w:tcBorders>
          <w:top w:val="nil"/>
          <w:left w:val="single" w:color="C0504D" w:sz="8" w:space="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FD3D3"/>
      </w:tcPr>
    </w:tblStylePr>
    <w:tblStylePr w:type="band1Horz">
      <w:tblPr/>
      <w:tcPr>
        <w:tcBorders>
          <w:top w:val="nil"/>
          <w:left w:val="nil"/>
          <w:bottom w:val="nil"/>
          <w:right w:val="nil"/>
          <w:insideH w:val="nil"/>
          <w:insideV w:val="nil"/>
          <w:tl2br w:val="nil"/>
          <w:tr2bl w:val="nil"/>
        </w:tcBorders>
        <w:shd w:val="clear" w:color="auto" w:fill="EFD3D3"/>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84">
    <w:name w:val="Medium List 2 Accent 3"/>
    <w:basedOn w:val="12"/>
    <w:qFormat/>
    <w:uiPriority w:val="66"/>
    <w:pPr>
      <w:spacing w:after="0" w:line="240" w:lineRule="auto"/>
    </w:pPr>
    <w:rPr>
      <w:rFonts w:ascii="Calibri" w:hAnsi="Calibri" w:eastAsia="MS Gothic" w:cs="Times New Roman"/>
      <w:color w:val="000000"/>
    </w:r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l2br w:val="nil"/>
          <w:tr2bl w:val="nil"/>
        </w:tcBorders>
        <w:shd w:val="clear" w:color="auto" w:fill="FFFFFF"/>
      </w:tcPr>
    </w:tblStylePr>
    <w:tblStylePr w:type="lastRow">
      <w:tblPr/>
      <w:tcPr>
        <w:tcBorders>
          <w:top w:val="single" w:color="9BBB59"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9BBB59" w:sz="8" w:space="0"/>
          <w:insideH w:val="nil"/>
          <w:insideV w:val="nil"/>
          <w:tl2br w:val="nil"/>
          <w:tr2bl w:val="nil"/>
        </w:tcBorders>
        <w:shd w:val="clear" w:color="auto" w:fill="FFFFFF"/>
      </w:tcPr>
    </w:tblStylePr>
    <w:tblStylePr w:type="lastCol">
      <w:tblPr/>
      <w:tcPr>
        <w:tcBorders>
          <w:top w:val="nil"/>
          <w:left w:val="single" w:color="9BBB59" w:sz="8" w:space="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85">
    <w:name w:val="Medium List 2 Accent 4"/>
    <w:basedOn w:val="12"/>
    <w:qFormat/>
    <w:uiPriority w:val="66"/>
    <w:pPr>
      <w:spacing w:after="0" w:line="240" w:lineRule="auto"/>
    </w:pPr>
    <w:rPr>
      <w:rFonts w:ascii="Calibri" w:hAnsi="Calibri" w:eastAsia="MS Gothic" w:cs="Times New Roman"/>
      <w:color w:val="000000"/>
    </w:r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l2br w:val="nil"/>
          <w:tr2bl w:val="nil"/>
        </w:tcBorders>
        <w:shd w:val="clear" w:color="auto" w:fill="FFFFFF"/>
      </w:tcPr>
    </w:tblStylePr>
    <w:tblStylePr w:type="lastRow">
      <w:tblPr/>
      <w:tcPr>
        <w:tcBorders>
          <w:top w:val="single" w:color="8064A2"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8064A2" w:sz="8" w:space="0"/>
          <w:insideH w:val="nil"/>
          <w:insideV w:val="nil"/>
          <w:tl2br w:val="nil"/>
          <w:tr2bl w:val="nil"/>
        </w:tcBorders>
        <w:shd w:val="clear" w:color="auto" w:fill="FFFFFF"/>
      </w:tcPr>
    </w:tblStylePr>
    <w:tblStylePr w:type="lastCol">
      <w:tblPr/>
      <w:tcPr>
        <w:tcBorders>
          <w:top w:val="nil"/>
          <w:left w:val="single" w:color="8064A2" w:sz="8" w:space="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86">
    <w:name w:val="Medium List 2 Accent 5"/>
    <w:basedOn w:val="12"/>
    <w:qFormat/>
    <w:uiPriority w:val="66"/>
    <w:pPr>
      <w:spacing w:after="0" w:line="240" w:lineRule="auto"/>
    </w:pPr>
    <w:rPr>
      <w:rFonts w:ascii="Calibri" w:hAnsi="Calibri" w:eastAsia="MS Gothic" w:cs="Times New Roman"/>
      <w:color w:val="000000"/>
    </w:r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l2br w:val="nil"/>
          <w:tr2bl w:val="nil"/>
        </w:tcBorders>
        <w:shd w:val="clear" w:color="auto" w:fill="FFFFFF"/>
      </w:tcPr>
    </w:tblStylePr>
    <w:tblStylePr w:type="lastRow">
      <w:tblPr/>
      <w:tcPr>
        <w:tcBorders>
          <w:top w:val="single" w:color="4BACC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BACC6" w:sz="8" w:space="0"/>
          <w:insideH w:val="nil"/>
          <w:insideV w:val="nil"/>
          <w:tl2br w:val="nil"/>
          <w:tr2bl w:val="nil"/>
        </w:tcBorders>
        <w:shd w:val="clear" w:color="auto" w:fill="FFFFFF"/>
      </w:tcPr>
    </w:tblStylePr>
    <w:tblStylePr w:type="lastCol">
      <w:tblPr/>
      <w:tcPr>
        <w:tcBorders>
          <w:top w:val="nil"/>
          <w:left w:val="single" w:color="4BACC6" w:sz="8" w:space="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2EAF0"/>
      </w:tcPr>
    </w:tblStylePr>
    <w:tblStylePr w:type="band1Horz">
      <w:tblPr/>
      <w:tcPr>
        <w:tcBorders>
          <w:top w:val="nil"/>
          <w:left w:val="nil"/>
          <w:bottom w:val="nil"/>
          <w:right w:val="nil"/>
          <w:insideH w:val="nil"/>
          <w:insideV w:val="nil"/>
          <w:tl2br w:val="nil"/>
          <w:tr2bl w:val="nil"/>
        </w:tcBorders>
        <w:shd w:val="clear" w:color="auto" w:fill="D2EAF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87">
    <w:name w:val="Medium List 2 Accent 6"/>
    <w:basedOn w:val="12"/>
    <w:qFormat/>
    <w:uiPriority w:val="66"/>
    <w:pPr>
      <w:spacing w:after="0" w:line="240" w:lineRule="auto"/>
    </w:pPr>
    <w:rPr>
      <w:rFonts w:ascii="Calibri" w:hAnsi="Calibri" w:eastAsia="MS Gothic" w:cs="Times New Roman"/>
      <w:color w:val="000000"/>
    </w:r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l2br w:val="nil"/>
          <w:tr2bl w:val="nil"/>
        </w:tcBorders>
        <w:shd w:val="clear" w:color="auto" w:fill="FFFFFF"/>
      </w:tcPr>
    </w:tblStylePr>
    <w:tblStylePr w:type="lastRow">
      <w:tblPr/>
      <w:tcPr>
        <w:tcBorders>
          <w:top w:val="single" w:color="F7964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F79646" w:sz="8" w:space="0"/>
          <w:insideH w:val="nil"/>
          <w:insideV w:val="nil"/>
          <w:tl2br w:val="nil"/>
          <w:tr2bl w:val="nil"/>
        </w:tcBorders>
        <w:shd w:val="clear" w:color="auto" w:fill="FFFFFF"/>
      </w:tcPr>
    </w:tblStylePr>
    <w:tblStylePr w:type="lastCol">
      <w:tblPr/>
      <w:tcPr>
        <w:tcBorders>
          <w:top w:val="nil"/>
          <w:left w:val="single" w:color="F79646" w:sz="8" w:space="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FDE5D1"/>
      </w:tcPr>
    </w:tblStylePr>
    <w:tblStylePr w:type="band1Horz">
      <w:tblPr/>
      <w:tcPr>
        <w:tcBorders>
          <w:top w:val="nil"/>
          <w:left w:val="nil"/>
          <w:bottom w:val="nil"/>
          <w:right w:val="nil"/>
          <w:insideH w:val="nil"/>
          <w:insideV w:val="nil"/>
          <w:tl2br w:val="nil"/>
          <w:tr2bl w:val="nil"/>
        </w:tcBorders>
        <w:shd w:val="clear" w:color="auto" w:fill="FDE5D1"/>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88">
    <w:name w:val="Medium Grid 1"/>
    <w:basedOn w:val="12"/>
    <w:qFormat/>
    <w:uiPriority w:val="67"/>
    <w:pPr>
      <w:spacing w:after="0" w:line="240" w:lineRule="auto"/>
    </w:pPr>
    <w:tblPr>
      <w:tblBorders>
        <w:top w:val="single" w:color="3F3F3F" w:sz="8" w:space="0"/>
        <w:left w:val="single" w:color="3F3F3F" w:sz="8" w:space="0"/>
        <w:bottom w:val="single" w:color="3F3F3F" w:sz="8" w:space="0"/>
        <w:right w:val="single" w:color="3F3F3F" w:sz="8" w:space="0"/>
        <w:insideH w:val="single" w:color="3F3F3F" w:sz="8" w:space="0"/>
        <w:insideV w:val="single" w:color="3F3F3F" w:sz="8" w:space="0"/>
      </w:tblBorders>
      <w:tblCellMar>
        <w:top w:w="0" w:type="dxa"/>
        <w:left w:w="108" w:type="dxa"/>
        <w:bottom w:w="0" w:type="dxa"/>
        <w:right w:w="108" w:type="dxa"/>
      </w:tblCellMar>
    </w:tblPr>
    <w:tcPr>
      <w:shd w:val="clear" w:color="auto" w:fill="BFBFBF"/>
    </w:tcPr>
    <w:tblStylePr w:type="firstRow">
      <w:rPr>
        <w:b/>
        <w:bCs/>
      </w:rPr>
    </w:tblStylePr>
    <w:tblStylePr w:type="lastRow">
      <w:rPr>
        <w:b/>
        <w:bCs/>
      </w:rPr>
      <w:tblPr/>
      <w:tcPr>
        <w:tcBorders>
          <w:top w:val="single" w:color="3F3F3F"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9">
    <w:name w:val="Medium Grid 1 Accent 1"/>
    <w:basedOn w:val="12"/>
    <w:qFormat/>
    <w:uiPriority w:val="67"/>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color="7BA0CD"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90">
    <w:name w:val="Medium Grid 1 Accent 2"/>
    <w:basedOn w:val="12"/>
    <w:qFormat/>
    <w:uiPriority w:val="67"/>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3"/>
    </w:tcPr>
    <w:tblStylePr w:type="firstRow">
      <w:rPr>
        <w:b/>
        <w:bCs/>
      </w:rPr>
    </w:tblStylePr>
    <w:tblStylePr w:type="lastRow">
      <w:rPr>
        <w:b/>
        <w:bCs/>
      </w:rPr>
      <w:tblPr/>
      <w:tcPr>
        <w:tcBorders>
          <w:top w:val="single" w:color="CF7B7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91">
    <w:name w:val="Medium Grid 1 Accent 3"/>
    <w:basedOn w:val="12"/>
    <w:qFormat/>
    <w:uiPriority w:val="67"/>
    <w:pPr>
      <w:spacing w:after="0" w:line="240" w:lineRule="auto"/>
    </w:pPr>
    <w:tblPr>
      <w:tblBorders>
        <w:top w:val="single" w:color="B4CC82" w:sz="8" w:space="0"/>
        <w:left w:val="single" w:color="B4CC82" w:sz="8" w:space="0"/>
        <w:bottom w:val="single" w:color="B4CC82" w:sz="8" w:space="0"/>
        <w:right w:val="single" w:color="B4CC82" w:sz="8" w:space="0"/>
        <w:insideH w:val="single" w:color="B4CC82" w:sz="8" w:space="0"/>
        <w:insideV w:val="single" w:color="B4CC82" w:sz="8" w:space="0"/>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color="B4CC82"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92">
    <w:name w:val="Medium Grid 1 Accent 4"/>
    <w:basedOn w:val="12"/>
    <w:qFormat/>
    <w:uiPriority w:val="67"/>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color="9F8AB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93">
    <w:name w:val="Medium Grid 1 Accent 5"/>
    <w:basedOn w:val="12"/>
    <w:qFormat/>
    <w:uiPriority w:val="67"/>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0"/>
    </w:tcPr>
    <w:tblStylePr w:type="firstRow">
      <w:rPr>
        <w:b/>
        <w:bCs/>
      </w:rPr>
    </w:tblStylePr>
    <w:tblStylePr w:type="lastRow">
      <w:rPr>
        <w:b/>
        <w:bCs/>
      </w:rPr>
      <w:tblPr/>
      <w:tcPr>
        <w:tcBorders>
          <w:top w:val="single" w:color="78C0D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4">
    <w:name w:val="Medium Grid 1 Accent 6"/>
    <w:basedOn w:val="12"/>
    <w:qFormat/>
    <w:uiPriority w:val="67"/>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5D1"/>
    </w:tcPr>
    <w:tblStylePr w:type="firstRow">
      <w:rPr>
        <w:b/>
        <w:bCs/>
      </w:rPr>
    </w:tblStylePr>
    <w:tblStylePr w:type="lastRow">
      <w:rPr>
        <w:b/>
        <w:bCs/>
      </w:rPr>
      <w:tblPr/>
      <w:tcPr>
        <w:tcBorders>
          <w:top w:val="single" w:color="F9B07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5">
    <w:name w:val="Medium Grid 2"/>
    <w:basedOn w:val="12"/>
    <w:qFormat/>
    <w:uiPriority w:val="68"/>
    <w:pPr>
      <w:spacing w:after="0" w:line="240" w:lineRule="auto"/>
    </w:pPr>
    <w:rPr>
      <w:rFonts w:ascii="Calibri" w:hAnsi="Calibri" w:eastAsia="MS Gothic"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CCCCCC"/>
      </w:tcPr>
    </w:tblStylePr>
    <w:tblStylePr w:type="band1Vert">
      <w:tblPr/>
      <w:tcPr>
        <w:shd w:val="clear" w:color="auto" w:fill="7F7F7F"/>
      </w:tcPr>
    </w:tblStylePr>
    <w:tblStylePr w:type="band1Horz">
      <w:tblPr/>
      <w:tcPr>
        <w:tcBorders>
          <w:top w:val="nil"/>
          <w:left w:val="nil"/>
          <w:bottom w:val="nil"/>
          <w:right w:val="nil"/>
          <w:insideH w:val="single" w:sz="6" w:space="0"/>
          <w:insideV w:val="single" w:sz="6" w:space="0"/>
          <w:tl2br w:val="nil"/>
          <w:tr2bl w:val="nil"/>
        </w:tcBorders>
        <w:shd w:val="clear" w:color="auto" w:fill="7F7F7F"/>
      </w:tcPr>
    </w:tblStylePr>
    <w:tblStylePr w:type="nwCell">
      <w:tblPr/>
      <w:tcPr>
        <w:shd w:val="clear" w:color="auto" w:fill="FFFFFF"/>
      </w:tcPr>
    </w:tblStylePr>
  </w:style>
  <w:style w:type="table" w:styleId="96">
    <w:name w:val="Medium Grid 2 Accent 1"/>
    <w:basedOn w:val="12"/>
    <w:qFormat/>
    <w:uiPriority w:val="68"/>
    <w:pPr>
      <w:spacing w:after="0" w:line="240" w:lineRule="auto"/>
    </w:pPr>
    <w:rPr>
      <w:rFonts w:ascii="Calibri" w:hAnsi="Calibri" w:eastAsia="MS Gothic"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BE5F1"/>
      </w:tcPr>
    </w:tblStylePr>
    <w:tblStylePr w:type="band1Vert">
      <w:tblPr/>
      <w:tcPr>
        <w:shd w:val="clear" w:color="auto" w:fill="A7C0DE"/>
      </w:tcPr>
    </w:tblStylePr>
    <w:tblStylePr w:type="band1Horz">
      <w:tblPr/>
      <w:tcPr>
        <w:tcBorders>
          <w:top w:val="nil"/>
          <w:left w:val="nil"/>
          <w:bottom w:val="nil"/>
          <w:right w:val="nil"/>
          <w:insideH w:val="single" w:sz="6" w:space="0"/>
          <w:insideV w:val="single" w:sz="6" w:space="0"/>
          <w:tl2br w:val="nil"/>
          <w:tr2bl w:val="nil"/>
        </w:tcBorders>
        <w:shd w:val="clear" w:color="auto" w:fill="A7C0DE"/>
      </w:tcPr>
    </w:tblStylePr>
    <w:tblStylePr w:type="nwCell">
      <w:tblPr/>
      <w:tcPr>
        <w:shd w:val="clear" w:color="auto" w:fill="FFFFFF"/>
      </w:tcPr>
    </w:tblStylePr>
  </w:style>
  <w:style w:type="table" w:styleId="97">
    <w:name w:val="Medium Grid 2 Accent 2"/>
    <w:basedOn w:val="12"/>
    <w:qFormat/>
    <w:uiPriority w:val="68"/>
    <w:pPr>
      <w:spacing w:after="0" w:line="240" w:lineRule="auto"/>
    </w:pPr>
    <w:rPr>
      <w:rFonts w:ascii="Calibri" w:hAnsi="Calibri" w:eastAsia="MS Gothic"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cPr>
      <w:shd w:val="clear" w:color="auto" w:fill="EFD3D3"/>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insideV w:val="single" w:sz="6" w:space="0"/>
          <w:tl2br w:val="nil"/>
          <w:tr2bl w:val="nil"/>
        </w:tcBorders>
        <w:shd w:val="clear" w:color="auto" w:fill="DFA7A6"/>
      </w:tcPr>
    </w:tblStylePr>
    <w:tblStylePr w:type="nwCell">
      <w:tblPr/>
      <w:tcPr>
        <w:shd w:val="clear" w:color="auto" w:fill="FFFFFF"/>
      </w:tcPr>
    </w:tblStylePr>
  </w:style>
  <w:style w:type="table" w:styleId="98">
    <w:name w:val="Medium Grid 2 Accent 3"/>
    <w:basedOn w:val="12"/>
    <w:qFormat/>
    <w:uiPriority w:val="68"/>
    <w:pPr>
      <w:spacing w:after="0" w:line="240" w:lineRule="auto"/>
    </w:pPr>
    <w:rPr>
      <w:rFonts w:ascii="Calibri" w:hAnsi="Calibri" w:eastAsia="MS Gothic"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insideV w:val="single" w:sz="6" w:space="0"/>
          <w:tl2br w:val="nil"/>
          <w:tr2bl w:val="nil"/>
        </w:tcBorders>
        <w:shd w:val="clear" w:color="auto" w:fill="CDDDAC"/>
      </w:tcPr>
    </w:tblStylePr>
    <w:tblStylePr w:type="nwCell">
      <w:tblPr/>
      <w:tcPr>
        <w:shd w:val="clear" w:color="auto" w:fill="FFFFFF"/>
      </w:tcPr>
    </w:tblStylePr>
  </w:style>
  <w:style w:type="table" w:styleId="99">
    <w:name w:val="Medium Grid 2 Accent 4"/>
    <w:basedOn w:val="12"/>
    <w:qFormat/>
    <w:uiPriority w:val="68"/>
    <w:pPr>
      <w:spacing w:after="0" w:line="240" w:lineRule="auto"/>
    </w:pPr>
    <w:rPr>
      <w:rFonts w:ascii="Calibri" w:hAnsi="Calibri" w:eastAsia="MS Gothic"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insideV w:val="single" w:sz="6" w:space="0"/>
          <w:tl2br w:val="nil"/>
          <w:tr2bl w:val="nil"/>
        </w:tcBorders>
        <w:shd w:val="clear" w:color="auto" w:fill="BFB1D0"/>
      </w:tcPr>
    </w:tblStylePr>
    <w:tblStylePr w:type="nwCell">
      <w:tblPr/>
      <w:tcPr>
        <w:shd w:val="clear" w:color="auto" w:fill="FFFFFF"/>
      </w:tcPr>
    </w:tblStylePr>
  </w:style>
  <w:style w:type="table" w:styleId="100">
    <w:name w:val="Medium Grid 2 Accent 5"/>
    <w:basedOn w:val="12"/>
    <w:qFormat/>
    <w:uiPriority w:val="68"/>
    <w:pPr>
      <w:spacing w:after="0" w:line="240" w:lineRule="auto"/>
    </w:pPr>
    <w:rPr>
      <w:rFonts w:ascii="Calibri" w:hAnsi="Calibri" w:eastAsia="MS Gothic"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cPr>
      <w:shd w:val="clear" w:color="auto" w:fill="D2EAF0"/>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insideV w:val="single" w:sz="6" w:space="0"/>
          <w:tl2br w:val="nil"/>
          <w:tr2bl w:val="nil"/>
        </w:tcBorders>
        <w:shd w:val="clear" w:color="auto" w:fill="A5D5E2"/>
      </w:tcPr>
    </w:tblStylePr>
    <w:tblStylePr w:type="nwCell">
      <w:tblPr/>
      <w:tcPr>
        <w:shd w:val="clear" w:color="auto" w:fill="FFFFFF"/>
      </w:tcPr>
    </w:tblStylePr>
  </w:style>
  <w:style w:type="table" w:styleId="101">
    <w:name w:val="Medium Grid 2 Accent 6"/>
    <w:basedOn w:val="12"/>
    <w:qFormat/>
    <w:uiPriority w:val="68"/>
    <w:pPr>
      <w:spacing w:after="0" w:line="240" w:lineRule="auto"/>
    </w:pPr>
    <w:rPr>
      <w:rFonts w:ascii="Calibri" w:hAnsi="Calibri" w:eastAsia="MS Gothic"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cPr>
      <w:shd w:val="clear" w:color="auto" w:fill="FDE5D1"/>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insideV w:val="single" w:sz="6" w:space="0"/>
          <w:tl2br w:val="nil"/>
          <w:tr2bl w:val="nil"/>
        </w:tcBorders>
        <w:shd w:val="clear" w:color="auto" w:fill="FBCAA2"/>
      </w:tcPr>
    </w:tblStylePr>
    <w:tblStylePr w:type="nwCell">
      <w:tblPr/>
      <w:tcPr>
        <w:shd w:val="clear" w:color="auto" w:fill="FFFFFF"/>
      </w:tcPr>
    </w:tblStylePr>
  </w:style>
  <w:style w:type="table" w:styleId="102">
    <w:name w:val="Medium Grid 3"/>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BFBFB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000000"/>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7F7F7F"/>
      </w:tcPr>
    </w:tblStylePr>
  </w:style>
  <w:style w:type="table" w:styleId="103">
    <w:name w:val="Medium Grid 3 Accent 1"/>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C0DE"/>
      </w:tcPr>
    </w:tblStylePr>
  </w:style>
  <w:style w:type="table" w:styleId="104">
    <w:name w:val="Medium Grid 3 Accent 2"/>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3"/>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C0504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DFA7A6"/>
      </w:tcPr>
    </w:tblStylePr>
  </w:style>
  <w:style w:type="table" w:styleId="105">
    <w:name w:val="Medium Grid 3 Accent 3"/>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9BBB59"/>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CDDDAC"/>
      </w:tcPr>
    </w:tblStylePr>
  </w:style>
  <w:style w:type="table" w:styleId="106">
    <w:name w:val="Medium Grid 3 Accent 4"/>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8064A2"/>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BFB1D0"/>
      </w:tcPr>
    </w:tblStylePr>
  </w:style>
  <w:style w:type="table" w:styleId="107">
    <w:name w:val="Medium Grid 3 Accent 5"/>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BACC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5D5E2"/>
      </w:tcPr>
    </w:tblStylePr>
  </w:style>
  <w:style w:type="table" w:styleId="108">
    <w:name w:val="Medium Grid 3 Accent 6"/>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5D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F7964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FBCAA2"/>
      </w:tcPr>
    </w:tblStylePr>
  </w:style>
  <w:style w:type="table" w:styleId="109">
    <w:name w:val="Dark List"/>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000000"/>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color="FFFFFF" w:sz="18" w:space="0"/>
          <w:insideH w:val="nil"/>
          <w:insideV w:val="nil"/>
          <w:tl2br w:val="nil"/>
          <w:tr2bl w:val="nil"/>
        </w:tcBorders>
        <w:shd w:val="clear" w:color="auto" w:fill="000000"/>
      </w:tcPr>
    </w:tblStylePr>
    <w:tblStylePr w:type="lastCol">
      <w:tblPr/>
      <w:tcPr>
        <w:tcBorders>
          <w:top w:val="nil"/>
          <w:left w:val="single" w:color="FFFFFF" w:sz="18" w:space="0"/>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000000"/>
      </w:tcPr>
    </w:tblStylePr>
    <w:tblStylePr w:type="band1Horz">
      <w:tblPr/>
      <w:tcPr>
        <w:tcBorders>
          <w:top w:val="nil"/>
          <w:left w:val="nil"/>
          <w:bottom w:val="nil"/>
          <w:right w:val="nil"/>
          <w:insideH w:val="nil"/>
          <w:insideV w:val="nil"/>
          <w:tl2br w:val="nil"/>
          <w:tr2bl w:val="nil"/>
        </w:tcBorders>
        <w:shd w:val="clear" w:color="auto" w:fill="000000"/>
      </w:tcPr>
    </w:tblStylePr>
  </w:style>
  <w:style w:type="table" w:styleId="110">
    <w:name w:val="Dark List Accent 1"/>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4F81B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43F61"/>
      </w:tcPr>
    </w:tblStylePr>
    <w:tblStylePr w:type="firstCol">
      <w:tblPr/>
      <w:tcPr>
        <w:tcBorders>
          <w:top w:val="nil"/>
          <w:left w:val="nil"/>
          <w:bottom w:val="nil"/>
          <w:right w:val="single" w:color="FFFFFF" w:sz="18" w:space="0"/>
          <w:insideH w:val="nil"/>
          <w:insideV w:val="nil"/>
          <w:tl2br w:val="nil"/>
          <w:tr2bl w:val="nil"/>
        </w:tcBorders>
        <w:shd w:val="clear" w:color="auto" w:fill="366091"/>
      </w:tcPr>
    </w:tblStylePr>
    <w:tblStylePr w:type="lastCol">
      <w:tblPr/>
      <w:tcPr>
        <w:tcBorders>
          <w:top w:val="nil"/>
          <w:left w:val="single" w:color="FFFFFF" w:sz="18" w:space="0"/>
          <w:bottom w:val="nil"/>
          <w:right w:val="nil"/>
          <w:insideH w:val="nil"/>
          <w:insideV w:val="nil"/>
          <w:tl2br w:val="nil"/>
          <w:tr2bl w:val="nil"/>
        </w:tcBorders>
        <w:shd w:val="clear" w:color="auto" w:fill="366091"/>
      </w:tcPr>
    </w:tblStylePr>
    <w:tblStylePr w:type="band1Vert">
      <w:tblPr/>
      <w:tcPr>
        <w:tcBorders>
          <w:top w:val="nil"/>
          <w:left w:val="nil"/>
          <w:bottom w:val="nil"/>
          <w:right w:val="nil"/>
          <w:insideH w:val="nil"/>
          <w:insideV w:val="nil"/>
          <w:tl2br w:val="nil"/>
          <w:tr2bl w:val="nil"/>
        </w:tcBorders>
        <w:shd w:val="clear" w:color="auto" w:fill="366091"/>
      </w:tcPr>
    </w:tblStylePr>
    <w:tblStylePr w:type="band1Horz">
      <w:tblPr/>
      <w:tcPr>
        <w:tcBorders>
          <w:top w:val="nil"/>
          <w:left w:val="nil"/>
          <w:bottom w:val="nil"/>
          <w:right w:val="nil"/>
          <w:insideH w:val="nil"/>
          <w:insideV w:val="nil"/>
          <w:tl2br w:val="nil"/>
          <w:tr2bl w:val="nil"/>
        </w:tcBorders>
        <w:shd w:val="clear" w:color="auto" w:fill="366091"/>
      </w:tcPr>
    </w:tblStylePr>
  </w:style>
  <w:style w:type="table" w:styleId="111">
    <w:name w:val="Dark List Accent 2"/>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C0504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color="FFFFFF" w:sz="18" w:space="0"/>
          <w:insideH w:val="nil"/>
          <w:insideV w:val="nil"/>
          <w:tl2br w:val="nil"/>
          <w:tr2bl w:val="nil"/>
        </w:tcBorders>
        <w:shd w:val="clear" w:color="auto" w:fill="943734"/>
      </w:tcPr>
    </w:tblStylePr>
    <w:tblStylePr w:type="lastCol">
      <w:tblPr/>
      <w:tcPr>
        <w:tcBorders>
          <w:top w:val="nil"/>
          <w:left w:val="single" w:color="FFFFFF" w:sz="18" w:space="0"/>
          <w:bottom w:val="nil"/>
          <w:right w:val="nil"/>
          <w:insideH w:val="nil"/>
          <w:insideV w:val="nil"/>
          <w:tl2br w:val="nil"/>
          <w:tr2bl w:val="nil"/>
        </w:tcBorders>
        <w:shd w:val="clear" w:color="auto" w:fill="943734"/>
      </w:tcPr>
    </w:tblStylePr>
    <w:tblStylePr w:type="band1Vert">
      <w:tblPr/>
      <w:tcPr>
        <w:tcBorders>
          <w:top w:val="nil"/>
          <w:left w:val="nil"/>
          <w:bottom w:val="nil"/>
          <w:right w:val="nil"/>
          <w:insideH w:val="nil"/>
          <w:insideV w:val="nil"/>
          <w:tl2br w:val="nil"/>
          <w:tr2bl w:val="nil"/>
        </w:tcBorders>
        <w:shd w:val="clear" w:color="auto" w:fill="943734"/>
      </w:tcPr>
    </w:tblStylePr>
    <w:tblStylePr w:type="band1Horz">
      <w:tblPr/>
      <w:tcPr>
        <w:tcBorders>
          <w:top w:val="nil"/>
          <w:left w:val="nil"/>
          <w:bottom w:val="nil"/>
          <w:right w:val="nil"/>
          <w:insideH w:val="nil"/>
          <w:insideV w:val="nil"/>
          <w:tl2br w:val="nil"/>
          <w:tr2bl w:val="nil"/>
        </w:tcBorders>
        <w:shd w:val="clear" w:color="auto" w:fill="943734"/>
      </w:tcPr>
    </w:tblStylePr>
  </w:style>
  <w:style w:type="table" w:styleId="112">
    <w:name w:val="Dark List Accent 3"/>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9BBB59"/>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4E6127"/>
      </w:tcPr>
    </w:tblStylePr>
    <w:tblStylePr w:type="firstCol">
      <w:tblPr/>
      <w:tcPr>
        <w:tcBorders>
          <w:top w:val="nil"/>
          <w:left w:val="nil"/>
          <w:bottom w:val="nil"/>
          <w:right w:val="single" w:color="FFFFFF" w:sz="18" w:space="0"/>
          <w:insideH w:val="nil"/>
          <w:insideV w:val="nil"/>
          <w:tl2br w:val="nil"/>
          <w:tr2bl w:val="nil"/>
        </w:tcBorders>
        <w:shd w:val="clear" w:color="auto" w:fill="76923C"/>
      </w:tcPr>
    </w:tblStylePr>
    <w:tblStylePr w:type="lastCol">
      <w:tblPr/>
      <w:tcPr>
        <w:tcBorders>
          <w:top w:val="nil"/>
          <w:left w:val="single" w:color="FFFFFF" w:sz="18" w:space="0"/>
          <w:bottom w:val="nil"/>
          <w:right w:val="nil"/>
          <w:insideH w:val="nil"/>
          <w:insideV w:val="nil"/>
          <w:tl2br w:val="nil"/>
          <w:tr2bl w:val="nil"/>
        </w:tcBorders>
        <w:shd w:val="clear" w:color="auto" w:fill="76923C"/>
      </w:tcPr>
    </w:tblStylePr>
    <w:tblStylePr w:type="band1Vert">
      <w:tblPr/>
      <w:tcPr>
        <w:tcBorders>
          <w:top w:val="nil"/>
          <w:left w:val="nil"/>
          <w:bottom w:val="nil"/>
          <w:right w:val="nil"/>
          <w:insideH w:val="nil"/>
          <w:insideV w:val="nil"/>
          <w:tl2br w:val="nil"/>
          <w:tr2bl w:val="nil"/>
        </w:tcBorders>
        <w:shd w:val="clear" w:color="auto" w:fill="76923C"/>
      </w:tcPr>
    </w:tblStylePr>
    <w:tblStylePr w:type="band1Horz">
      <w:tblPr/>
      <w:tcPr>
        <w:tcBorders>
          <w:top w:val="nil"/>
          <w:left w:val="nil"/>
          <w:bottom w:val="nil"/>
          <w:right w:val="nil"/>
          <w:insideH w:val="nil"/>
          <w:insideV w:val="nil"/>
          <w:tl2br w:val="nil"/>
          <w:tr2bl w:val="nil"/>
        </w:tcBorders>
        <w:shd w:val="clear" w:color="auto" w:fill="76923C"/>
      </w:tcPr>
    </w:tblStylePr>
  </w:style>
  <w:style w:type="table" w:styleId="113">
    <w:name w:val="Dark List Accent 4"/>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8064A2"/>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3F3051"/>
      </w:tcPr>
    </w:tblStylePr>
    <w:tblStylePr w:type="firstCol">
      <w:tblPr/>
      <w:tcPr>
        <w:tcBorders>
          <w:top w:val="nil"/>
          <w:left w:val="nil"/>
          <w:bottom w:val="nil"/>
          <w:right w:val="single" w:color="FFFFFF" w:sz="18" w:space="0"/>
          <w:insideH w:val="nil"/>
          <w:insideV w:val="nil"/>
          <w:tl2br w:val="nil"/>
          <w:tr2bl w:val="nil"/>
        </w:tcBorders>
        <w:shd w:val="clear" w:color="auto" w:fill="5F497A"/>
      </w:tcPr>
    </w:tblStylePr>
    <w:tblStylePr w:type="lastCol">
      <w:tblPr/>
      <w:tcPr>
        <w:tcBorders>
          <w:top w:val="nil"/>
          <w:left w:val="single" w:color="FFFFFF" w:sz="18" w:space="0"/>
          <w:bottom w:val="nil"/>
          <w:right w:val="nil"/>
          <w:insideH w:val="nil"/>
          <w:insideV w:val="nil"/>
          <w:tl2br w:val="nil"/>
          <w:tr2bl w:val="nil"/>
        </w:tcBorders>
        <w:shd w:val="clear" w:color="auto" w:fill="5F497A"/>
      </w:tcPr>
    </w:tblStylePr>
    <w:tblStylePr w:type="band1Vert">
      <w:tblPr/>
      <w:tcPr>
        <w:tcBorders>
          <w:top w:val="nil"/>
          <w:left w:val="nil"/>
          <w:bottom w:val="nil"/>
          <w:right w:val="nil"/>
          <w:insideH w:val="nil"/>
          <w:insideV w:val="nil"/>
          <w:tl2br w:val="nil"/>
          <w:tr2bl w:val="nil"/>
        </w:tcBorders>
        <w:shd w:val="clear" w:color="auto" w:fill="5F497A"/>
      </w:tcPr>
    </w:tblStylePr>
    <w:tblStylePr w:type="band1Horz">
      <w:tblPr/>
      <w:tcPr>
        <w:tcBorders>
          <w:top w:val="nil"/>
          <w:left w:val="nil"/>
          <w:bottom w:val="nil"/>
          <w:right w:val="nil"/>
          <w:insideH w:val="nil"/>
          <w:insideV w:val="nil"/>
          <w:tl2br w:val="nil"/>
          <w:tr2bl w:val="nil"/>
        </w:tcBorders>
        <w:shd w:val="clear" w:color="auto" w:fill="5F497A"/>
      </w:tcPr>
    </w:tblStylePr>
  </w:style>
  <w:style w:type="table" w:styleId="114">
    <w:name w:val="Dark List Accent 5"/>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4BACC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color="FFFFFF" w:sz="18" w:space="0"/>
          <w:insideH w:val="nil"/>
          <w:insideV w:val="nil"/>
          <w:tl2br w:val="nil"/>
          <w:tr2bl w:val="nil"/>
        </w:tcBorders>
        <w:shd w:val="clear" w:color="auto" w:fill="31849B"/>
      </w:tcPr>
    </w:tblStylePr>
    <w:tblStylePr w:type="lastCol">
      <w:tblPr/>
      <w:tcPr>
        <w:tcBorders>
          <w:top w:val="nil"/>
          <w:left w:val="single" w:color="FFFFFF" w:sz="18" w:space="0"/>
          <w:bottom w:val="nil"/>
          <w:right w:val="nil"/>
          <w:insideH w:val="nil"/>
          <w:insideV w:val="nil"/>
          <w:tl2br w:val="nil"/>
          <w:tr2bl w:val="nil"/>
        </w:tcBorders>
        <w:shd w:val="clear" w:color="auto" w:fill="31849B"/>
      </w:tcPr>
    </w:tblStylePr>
    <w:tblStylePr w:type="band1Vert">
      <w:tblPr/>
      <w:tcPr>
        <w:tcBorders>
          <w:top w:val="nil"/>
          <w:left w:val="nil"/>
          <w:bottom w:val="nil"/>
          <w:right w:val="nil"/>
          <w:insideH w:val="nil"/>
          <w:insideV w:val="nil"/>
          <w:tl2br w:val="nil"/>
          <w:tr2bl w:val="nil"/>
        </w:tcBorders>
        <w:shd w:val="clear" w:color="auto" w:fill="31849B"/>
      </w:tcPr>
    </w:tblStylePr>
    <w:tblStylePr w:type="band1Horz">
      <w:tblPr/>
      <w:tcPr>
        <w:tcBorders>
          <w:top w:val="nil"/>
          <w:left w:val="nil"/>
          <w:bottom w:val="nil"/>
          <w:right w:val="nil"/>
          <w:insideH w:val="nil"/>
          <w:insideV w:val="nil"/>
          <w:tl2br w:val="nil"/>
          <w:tr2bl w:val="nil"/>
        </w:tcBorders>
        <w:shd w:val="clear" w:color="auto" w:fill="31849B"/>
      </w:tcPr>
    </w:tblStylePr>
  </w:style>
  <w:style w:type="table" w:styleId="115">
    <w:name w:val="Dark List Accent 6"/>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F7964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color="FFFFFF" w:sz="18" w:space="0"/>
          <w:insideH w:val="nil"/>
          <w:insideV w:val="nil"/>
          <w:tl2br w:val="nil"/>
          <w:tr2bl w:val="nil"/>
        </w:tcBorders>
        <w:shd w:val="clear" w:color="auto" w:fill="E36C09"/>
      </w:tcPr>
    </w:tblStylePr>
    <w:tblStylePr w:type="lastCol">
      <w:tblPr/>
      <w:tcPr>
        <w:tcBorders>
          <w:top w:val="nil"/>
          <w:left w:val="single" w:color="FFFFFF" w:sz="18" w:space="0"/>
          <w:bottom w:val="nil"/>
          <w:right w:val="nil"/>
          <w:insideH w:val="nil"/>
          <w:insideV w:val="nil"/>
          <w:tl2br w:val="nil"/>
          <w:tr2bl w:val="nil"/>
        </w:tcBorders>
        <w:shd w:val="clear" w:color="auto" w:fill="E36C09"/>
      </w:tcPr>
    </w:tblStylePr>
    <w:tblStylePr w:type="band1Vert">
      <w:tblPr/>
      <w:tcPr>
        <w:tcBorders>
          <w:top w:val="nil"/>
          <w:left w:val="nil"/>
          <w:bottom w:val="nil"/>
          <w:right w:val="nil"/>
          <w:insideH w:val="nil"/>
          <w:insideV w:val="nil"/>
          <w:tl2br w:val="nil"/>
          <w:tr2bl w:val="nil"/>
        </w:tcBorders>
        <w:shd w:val="clear" w:color="auto" w:fill="E36C09"/>
      </w:tcPr>
    </w:tblStylePr>
    <w:tblStylePr w:type="band1Horz">
      <w:tblPr/>
      <w:tcPr>
        <w:tcBorders>
          <w:top w:val="nil"/>
          <w:left w:val="nil"/>
          <w:bottom w:val="nil"/>
          <w:right w:val="nil"/>
          <w:insideH w:val="nil"/>
          <w:insideV w:val="nil"/>
          <w:tl2br w:val="nil"/>
          <w:tr2bl w:val="nil"/>
        </w:tcBorders>
        <w:shd w:val="clear" w:color="auto" w:fill="E36C09"/>
      </w:tcPr>
    </w:tblStylePr>
  </w:style>
  <w:style w:type="table" w:styleId="116">
    <w:name w:val="Colorful Shading"/>
    <w:basedOn w:val="12"/>
    <w:qFormat/>
    <w:uiPriority w:val="71"/>
    <w:pPr>
      <w:spacing w:after="0" w:line="240" w:lineRule="auto"/>
    </w:pPr>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5E5E5"/>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insideV w:val="nil"/>
          <w:tl2br w:val="nil"/>
          <w:tr2bl w:val="nil"/>
        </w:tcBorders>
        <w:shd w:val="clear" w:color="auto" w:fill="000000"/>
      </w:tcPr>
    </w:tblStylePr>
    <w:tblStylePr w:type="lastCol">
      <w:rPr>
        <w:color w:val="FFFFFF"/>
      </w:rPr>
      <w:tblPr/>
      <w:tcPr>
        <w:tcBorders>
          <w:top w:val="nil"/>
          <w:left w:val="nil"/>
          <w:bottom w:val="nil"/>
          <w:right w:val="nil"/>
          <w:insideH w:val="nil"/>
          <w:insideV w:val="nil"/>
          <w:tl2br w:val="nil"/>
          <w:tr2bl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table" w:styleId="117">
    <w:name w:val="Colorful Shading Accent 1"/>
    <w:basedOn w:val="12"/>
    <w:qFormat/>
    <w:uiPriority w:val="71"/>
    <w:pPr>
      <w:spacing w:after="0" w:line="240" w:lineRule="auto"/>
    </w:pPr>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B4D74"/>
      </w:tcPr>
    </w:tblStylePr>
    <w:tblStylePr w:type="firstCol">
      <w:rPr>
        <w:color w:val="FFFFFF"/>
      </w:rPr>
      <w:tblPr/>
      <w:tcPr>
        <w:tcBorders>
          <w:top w:val="nil"/>
          <w:left w:val="nil"/>
          <w:bottom w:val="nil"/>
          <w:right w:val="nil"/>
          <w:insideH w:val="single" w:sz="4" w:space="0"/>
          <w:insideV w:val="nil"/>
          <w:tl2br w:val="nil"/>
          <w:tr2bl w:val="nil"/>
        </w:tcBorders>
        <w:shd w:val="clear" w:color="auto" w:fill="2B4D74"/>
      </w:tcPr>
    </w:tblStylePr>
    <w:tblStylePr w:type="lastCol">
      <w:rPr>
        <w:color w:val="FFFFFF"/>
      </w:rPr>
      <w:tblPr/>
      <w:tcPr>
        <w:tcBorders>
          <w:top w:val="nil"/>
          <w:left w:val="nil"/>
          <w:bottom w:val="nil"/>
          <w:right w:val="nil"/>
          <w:insideH w:val="nil"/>
          <w:insideV w:val="nil"/>
          <w:tl2br w:val="nil"/>
          <w:tr2bl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8">
    <w:name w:val="Colorful Shading Accent 2"/>
    <w:basedOn w:val="12"/>
    <w:qFormat/>
    <w:uiPriority w:val="71"/>
    <w:pPr>
      <w:spacing w:after="0" w:line="240" w:lineRule="auto"/>
    </w:pPr>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insideV w:val="nil"/>
          <w:tl2br w:val="nil"/>
          <w:tr2bl w:val="nil"/>
        </w:tcBorders>
        <w:shd w:val="clear" w:color="auto" w:fill="772C2A"/>
      </w:tcPr>
    </w:tblStylePr>
    <w:tblStylePr w:type="lastCol">
      <w:rPr>
        <w:color w:val="FFFFFF"/>
      </w:rPr>
      <w:tblPr/>
      <w:tcPr>
        <w:tcBorders>
          <w:top w:val="nil"/>
          <w:left w:val="nil"/>
          <w:bottom w:val="nil"/>
          <w:right w:val="nil"/>
          <w:insideH w:val="nil"/>
          <w:insideV w:val="nil"/>
          <w:tl2br w:val="nil"/>
          <w:tr2bl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9">
    <w:name w:val="Colorful Shading Accent 3"/>
    <w:basedOn w:val="12"/>
    <w:qFormat/>
    <w:uiPriority w:val="71"/>
    <w:pPr>
      <w:spacing w:after="0" w:line="240" w:lineRule="auto"/>
    </w:pPr>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color="8064A2"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insideV w:val="nil"/>
          <w:tl2br w:val="nil"/>
          <w:tr2bl w:val="nil"/>
        </w:tcBorders>
        <w:shd w:val="clear" w:color="auto" w:fill="5E7530"/>
      </w:tcPr>
    </w:tblStylePr>
    <w:tblStylePr w:type="lastCol">
      <w:rPr>
        <w:color w:val="FFFFFF"/>
      </w:rPr>
      <w:tblPr/>
      <w:tcPr>
        <w:tcBorders>
          <w:top w:val="nil"/>
          <w:left w:val="nil"/>
          <w:bottom w:val="nil"/>
          <w:right w:val="nil"/>
          <w:insideH w:val="nil"/>
          <w:insideV w:val="nil"/>
          <w:tl2br w:val="nil"/>
          <w:tr2bl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20">
    <w:name w:val="Colorful Shading Accent 4"/>
    <w:basedOn w:val="12"/>
    <w:qFormat/>
    <w:uiPriority w:val="71"/>
    <w:pPr>
      <w:spacing w:after="0" w:line="240" w:lineRule="auto"/>
    </w:pPr>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5"/>
    </w:tcPr>
    <w:tblStylePr w:type="firstRow">
      <w:rPr>
        <w:b/>
        <w:bCs/>
      </w:rPr>
      <w:tblPr/>
      <w:tcPr>
        <w:tcBorders>
          <w:top w:val="nil"/>
          <w:left w:val="nil"/>
          <w:bottom w:val="single" w:color="9BBB59"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4C3A62"/>
      </w:tcPr>
    </w:tblStylePr>
    <w:tblStylePr w:type="firstCol">
      <w:rPr>
        <w:color w:val="FFFFFF"/>
      </w:rPr>
      <w:tblPr/>
      <w:tcPr>
        <w:tcBorders>
          <w:top w:val="nil"/>
          <w:left w:val="nil"/>
          <w:bottom w:val="nil"/>
          <w:right w:val="nil"/>
          <w:insideH w:val="single" w:sz="4" w:space="0"/>
          <w:insideV w:val="nil"/>
          <w:tl2br w:val="nil"/>
          <w:tr2bl w:val="nil"/>
        </w:tcBorders>
        <w:shd w:val="clear" w:color="auto" w:fill="4C3A62"/>
      </w:tcPr>
    </w:tblStylePr>
    <w:tblStylePr w:type="lastCol">
      <w:rPr>
        <w:color w:val="FFFFFF"/>
      </w:rPr>
      <w:tblPr/>
      <w:tcPr>
        <w:tcBorders>
          <w:top w:val="nil"/>
          <w:left w:val="nil"/>
          <w:bottom w:val="nil"/>
          <w:right w:val="nil"/>
          <w:insideH w:val="nil"/>
          <w:insideV w:val="nil"/>
          <w:tl2br w:val="nil"/>
          <w:tr2bl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21">
    <w:name w:val="Colorful Shading Accent 5"/>
    <w:basedOn w:val="12"/>
    <w:qFormat/>
    <w:uiPriority w:val="71"/>
    <w:pPr>
      <w:spacing w:after="0" w:line="240" w:lineRule="auto"/>
    </w:pPr>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cPr>
        <w:tcBorders>
          <w:top w:val="nil"/>
          <w:left w:val="nil"/>
          <w:bottom w:val="nil"/>
          <w:right w:val="nil"/>
          <w:insideH w:val="nil"/>
          <w:insideV w:val="nil"/>
          <w:tl2br w:val="nil"/>
          <w:tr2bl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22">
    <w:name w:val="Colorful Shading Accent 6"/>
    <w:basedOn w:val="12"/>
    <w:qFormat/>
    <w:uiPriority w:val="71"/>
    <w:pPr>
      <w:spacing w:after="0" w:line="240" w:lineRule="auto"/>
    </w:pPr>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color="4BACC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B65607"/>
      </w:tcPr>
    </w:tblStylePr>
    <w:tblStylePr w:type="firstCol">
      <w:rPr>
        <w:color w:val="FFFFFF"/>
      </w:rPr>
      <w:tblPr/>
      <w:tcPr>
        <w:tcBorders>
          <w:top w:val="nil"/>
          <w:left w:val="nil"/>
          <w:bottom w:val="nil"/>
          <w:right w:val="nil"/>
          <w:insideH w:val="single" w:sz="4" w:space="0"/>
          <w:insideV w:val="nil"/>
          <w:tl2br w:val="nil"/>
          <w:tr2bl w:val="nil"/>
        </w:tcBorders>
        <w:shd w:val="clear" w:color="auto" w:fill="B65607"/>
      </w:tcPr>
    </w:tblStylePr>
    <w:tblStylePr w:type="lastCol">
      <w:rPr>
        <w:color w:val="FFFFFF"/>
      </w:rPr>
      <w:tblPr/>
      <w:tcPr>
        <w:tcBorders>
          <w:top w:val="nil"/>
          <w:left w:val="nil"/>
          <w:bottom w:val="nil"/>
          <w:right w:val="nil"/>
          <w:insideH w:val="nil"/>
          <w:insideV w:val="nil"/>
          <w:tl2br w:val="nil"/>
          <w:tr2bl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23">
    <w:name w:val="Colorful List"/>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E5E5E5"/>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BFBFBF"/>
      </w:tcPr>
    </w:tblStylePr>
    <w:tblStylePr w:type="band1Horz">
      <w:tblPr/>
      <w:tcPr>
        <w:shd w:val="clear" w:color="auto" w:fill="CCCCCC"/>
      </w:tcPr>
    </w:tblStylePr>
  </w:style>
  <w:style w:type="table" w:styleId="124">
    <w:name w:val="Colorful List Accent 1"/>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EDF2F8"/>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styleId="125">
    <w:name w:val="Colorful List Accent 2"/>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F8EDED"/>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3"/>
      </w:tcPr>
    </w:tblStylePr>
    <w:tblStylePr w:type="band1Horz">
      <w:tblPr/>
      <w:tcPr>
        <w:shd w:val="clear" w:color="auto" w:fill="F2DBDB"/>
      </w:tcPr>
    </w:tblStylePr>
  </w:style>
  <w:style w:type="table" w:styleId="126">
    <w:name w:val="Colorful List Accent 3"/>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F5F8EE"/>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664E82"/>
      </w:tcPr>
    </w:tblStylePr>
    <w:tblStylePr w:type="lastRow">
      <w:rPr>
        <w:b/>
        <w:bCs/>
        <w:color w:val="664E82"/>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shd w:val="clear" w:color="auto" w:fill="EAF1DD"/>
      </w:tcPr>
    </w:tblStylePr>
  </w:style>
  <w:style w:type="table" w:styleId="127">
    <w:name w:val="Colorful List Accent 4"/>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F2EFF5"/>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7E9C40"/>
      </w:tcPr>
    </w:tblStylePr>
    <w:tblStylePr w:type="lastRow">
      <w:rPr>
        <w:b/>
        <w:bCs/>
        <w:color w:val="7E9C4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shd w:val="clear" w:color="auto" w:fill="E5DFEC"/>
      </w:tcPr>
    </w:tblStylePr>
  </w:style>
  <w:style w:type="table" w:styleId="128">
    <w:name w:val="Colorful List Accent 5"/>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EDF6F9"/>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F3730A"/>
      </w:tcPr>
    </w:tblStylePr>
    <w:tblStylePr w:type="lastRow">
      <w:rPr>
        <w:b/>
        <w:bCs/>
        <w:color w:val="F3730A"/>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0"/>
      </w:tcPr>
    </w:tblStylePr>
    <w:tblStylePr w:type="band1Horz">
      <w:tblPr/>
      <w:tcPr>
        <w:shd w:val="clear" w:color="auto" w:fill="DAEEF3"/>
      </w:tcPr>
    </w:tblStylePr>
  </w:style>
  <w:style w:type="table" w:styleId="129">
    <w:name w:val="Colorful List Accent 6"/>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FEF4EC"/>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348DA5"/>
      </w:tcPr>
    </w:tblStylePr>
    <w:tblStylePr w:type="lastRow">
      <w:rPr>
        <w:b/>
        <w:bCs/>
        <w:color w:val="348DA5"/>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DE5D1"/>
      </w:tcPr>
    </w:tblStylePr>
    <w:tblStylePr w:type="band1Horz">
      <w:tblPr/>
      <w:tcPr>
        <w:shd w:val="clear" w:color="auto" w:fill="FDE9D9"/>
      </w:tcPr>
    </w:tblStylePr>
  </w:style>
  <w:style w:type="table" w:styleId="130">
    <w:name w:val="Colorful Grid"/>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31">
    <w:name w:val="Colorful Grid Accent 1"/>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32">
    <w:name w:val="Colorful Grid Accent 2"/>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33">
    <w:name w:val="Colorful Grid Accent 3"/>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4">
    <w:name w:val="Colorful Grid Accent 4"/>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5">
    <w:name w:val="Colorful Grid Accent 5"/>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6">
    <w:name w:val="Colorful Grid Accent 6"/>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customStyle="1" w:styleId="137">
    <w:name w:val="Heading 1 Char"/>
    <w:basedOn w:val="11"/>
    <w:link w:val="2"/>
    <w:qFormat/>
    <w:uiPriority w:val="9"/>
    <w:rPr>
      <w:rFonts w:ascii="Calibri" w:hAnsi="Calibri" w:eastAsia="MS Gothic" w:cs="Times New Roman"/>
      <w:b/>
      <w:bCs/>
      <w:color w:val="366091"/>
      <w:sz w:val="28"/>
      <w:szCs w:val="28"/>
    </w:rPr>
  </w:style>
  <w:style w:type="character" w:customStyle="1" w:styleId="138">
    <w:name w:val="Heading 2 Char"/>
    <w:basedOn w:val="11"/>
    <w:link w:val="3"/>
    <w:qFormat/>
    <w:uiPriority w:val="9"/>
    <w:rPr>
      <w:rFonts w:ascii="Calibri" w:hAnsi="Calibri" w:eastAsia="MS Gothic" w:cs="Times New Roman"/>
      <w:b/>
      <w:bCs/>
      <w:color w:val="4F81BD"/>
      <w:sz w:val="26"/>
      <w:szCs w:val="26"/>
    </w:rPr>
  </w:style>
  <w:style w:type="character" w:customStyle="1" w:styleId="139">
    <w:name w:val="Heading 3 Char"/>
    <w:basedOn w:val="11"/>
    <w:link w:val="4"/>
    <w:qFormat/>
    <w:uiPriority w:val="9"/>
    <w:rPr>
      <w:rFonts w:ascii="Calibri" w:hAnsi="Calibri" w:eastAsia="MS Gothic" w:cs="Times New Roman"/>
      <w:b/>
      <w:bCs/>
      <w:color w:val="4F81BD"/>
    </w:rPr>
  </w:style>
  <w:style w:type="character" w:customStyle="1" w:styleId="140">
    <w:name w:val="Heading 4 Char"/>
    <w:basedOn w:val="11"/>
    <w:link w:val="5"/>
    <w:semiHidden/>
    <w:qFormat/>
    <w:uiPriority w:val="9"/>
    <w:rPr>
      <w:rFonts w:ascii="Calibri" w:hAnsi="Calibri" w:eastAsia="MS Gothic" w:cs="Times New Roman"/>
      <w:b/>
      <w:bCs/>
      <w:i/>
      <w:iCs/>
      <w:color w:val="4F81BD"/>
    </w:rPr>
  </w:style>
  <w:style w:type="character" w:customStyle="1" w:styleId="141">
    <w:name w:val="Heading 5 Char"/>
    <w:basedOn w:val="11"/>
    <w:link w:val="6"/>
    <w:semiHidden/>
    <w:qFormat/>
    <w:uiPriority w:val="9"/>
    <w:rPr>
      <w:rFonts w:ascii="Calibri" w:hAnsi="Calibri" w:eastAsia="MS Gothic" w:cs="Times New Roman"/>
      <w:color w:val="243F61"/>
    </w:rPr>
  </w:style>
  <w:style w:type="character" w:customStyle="1" w:styleId="142">
    <w:name w:val="Heading 6 Char"/>
    <w:basedOn w:val="11"/>
    <w:link w:val="7"/>
    <w:semiHidden/>
    <w:qFormat/>
    <w:uiPriority w:val="9"/>
    <w:rPr>
      <w:rFonts w:ascii="Calibri" w:hAnsi="Calibri" w:eastAsia="MS Gothic" w:cs="Times New Roman"/>
      <w:i/>
      <w:iCs/>
      <w:color w:val="243F61"/>
    </w:rPr>
  </w:style>
  <w:style w:type="character" w:customStyle="1" w:styleId="143">
    <w:name w:val="Heading 7 Char"/>
    <w:basedOn w:val="11"/>
    <w:link w:val="8"/>
    <w:semiHidden/>
    <w:qFormat/>
    <w:uiPriority w:val="9"/>
    <w:rPr>
      <w:rFonts w:ascii="Calibri" w:hAnsi="Calibri" w:eastAsia="MS Gothic" w:cs="Times New Roman"/>
      <w:i/>
      <w:iCs/>
      <w:color w:val="3F3F3F"/>
    </w:rPr>
  </w:style>
  <w:style w:type="character" w:customStyle="1" w:styleId="144">
    <w:name w:val="Heading 8 Char"/>
    <w:basedOn w:val="11"/>
    <w:link w:val="9"/>
    <w:semiHidden/>
    <w:qFormat/>
    <w:uiPriority w:val="9"/>
    <w:rPr>
      <w:rFonts w:ascii="Calibri" w:hAnsi="Calibri" w:eastAsia="MS Gothic" w:cs="Times New Roman"/>
      <w:color w:val="4F81BD"/>
      <w:sz w:val="20"/>
      <w:szCs w:val="20"/>
    </w:rPr>
  </w:style>
  <w:style w:type="character" w:customStyle="1" w:styleId="145">
    <w:name w:val="Heading 9 Char"/>
    <w:basedOn w:val="11"/>
    <w:link w:val="10"/>
    <w:semiHidden/>
    <w:qFormat/>
    <w:uiPriority w:val="9"/>
    <w:rPr>
      <w:rFonts w:ascii="Calibri" w:hAnsi="Calibri" w:eastAsia="MS Gothic" w:cs="Times New Roman"/>
      <w:i/>
      <w:iCs/>
      <w:color w:val="3F3F3F"/>
      <w:sz w:val="20"/>
      <w:szCs w:val="20"/>
    </w:r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Footer Char"/>
    <w:basedOn w:val="11"/>
    <w:link w:val="18"/>
    <w:qFormat/>
    <w:uiPriority w:val="99"/>
  </w:style>
  <w:style w:type="character" w:customStyle="1" w:styleId="150">
    <w:name w:val="Header Char"/>
    <w:basedOn w:val="11"/>
    <w:link w:val="19"/>
    <w:qFormat/>
    <w:uiPriority w:val="99"/>
  </w:style>
  <w:style w:type="character" w:customStyle="1" w:styleId="151">
    <w:name w:val="Macro Text Char"/>
    <w:basedOn w:val="11"/>
    <w:link w:val="33"/>
    <w:qFormat/>
    <w:uiPriority w:val="99"/>
    <w:rPr>
      <w:rFonts w:ascii="Courier" w:hAnsi="Courier"/>
      <w:sz w:val="20"/>
      <w:szCs w:val="20"/>
    </w:rPr>
  </w:style>
  <w:style w:type="character" w:customStyle="1" w:styleId="152">
    <w:name w:val="Subtitle Char"/>
    <w:basedOn w:val="11"/>
    <w:link w:val="36"/>
    <w:qFormat/>
    <w:uiPriority w:val="11"/>
    <w:rPr>
      <w:rFonts w:ascii="Calibri" w:hAnsi="Calibri" w:eastAsia="MS Gothic" w:cs="Times New Roman"/>
      <w:i/>
      <w:iCs/>
      <w:color w:val="4F81BD"/>
      <w:spacing w:val="15"/>
      <w:sz w:val="24"/>
      <w:szCs w:val="24"/>
    </w:rPr>
  </w:style>
  <w:style w:type="character" w:customStyle="1" w:styleId="153">
    <w:name w:val="Title Char"/>
    <w:basedOn w:val="11"/>
    <w:link w:val="38"/>
    <w:qFormat/>
    <w:uiPriority w:val="10"/>
    <w:rPr>
      <w:rFonts w:ascii="Calibri" w:hAnsi="Calibri" w:eastAsia="MS Gothic" w:cs="Times New Roman"/>
      <w:color w:val="17365D"/>
      <w:spacing w:val="5"/>
      <w:kern w:val="28"/>
      <w:sz w:val="52"/>
      <w:szCs w:val="52"/>
    </w:rPr>
  </w:style>
  <w:style w:type="paragraph" w:styleId="154">
    <w:name w:val="No Spacing"/>
    <w:qFormat/>
    <w:uiPriority w:val="1"/>
    <w:pPr>
      <w:spacing w:after="0" w:line="240" w:lineRule="auto"/>
    </w:pPr>
    <w:rPr>
      <w:rFonts w:ascii="Cambria" w:hAnsi="Cambria" w:eastAsia="ＭＳ 明朝" w:cs="Times New Roman"/>
      <w:sz w:val="22"/>
      <w:szCs w:val="22"/>
      <w:lang w:val="en-US" w:eastAsia="en-US" w:bidi="ar-SA"/>
    </w:rPr>
  </w:style>
  <w:style w:type="paragraph" w:styleId="155">
    <w:name w:val="List Paragraph"/>
    <w:basedOn w:val="1"/>
    <w:qFormat/>
    <w:uiPriority w:val="34"/>
    <w:pPr>
      <w:ind w:left="720"/>
      <w:contextualSpacing/>
    </w:pPr>
  </w:style>
  <w:style w:type="paragraph" w:styleId="156">
    <w:name w:val="Quote"/>
    <w:basedOn w:val="1"/>
    <w:next w:val="1"/>
    <w:link w:val="157"/>
    <w:qFormat/>
    <w:uiPriority w:val="29"/>
    <w:rPr>
      <w:i/>
      <w:iCs/>
      <w:color w:val="000000"/>
    </w:rPr>
  </w:style>
  <w:style w:type="character" w:customStyle="1" w:styleId="157">
    <w:name w:val="Quote Char"/>
    <w:basedOn w:val="11"/>
    <w:link w:val="156"/>
    <w:qFormat/>
    <w:uiPriority w:val="29"/>
    <w:rPr>
      <w:i/>
      <w:iCs/>
      <w:color w:val="000000"/>
    </w:rPr>
  </w:style>
  <w:style w:type="paragraph" w:styleId="158">
    <w:name w:val="Intense Quote"/>
    <w:basedOn w:val="1"/>
    <w:next w:val="1"/>
    <w:link w:val="159"/>
    <w:qFormat/>
    <w:uiPriority w:val="30"/>
    <w:pPr>
      <w:pBdr>
        <w:bottom w:val="single" w:color="4F81BD" w:sz="4" w:space="4"/>
      </w:pBdr>
      <w:spacing w:before="200" w:after="280"/>
      <w:ind w:left="936" w:right="936"/>
    </w:pPr>
    <w:rPr>
      <w:b/>
      <w:bCs/>
      <w:i/>
      <w:iCs/>
      <w:color w:val="4F81BD"/>
    </w:rPr>
  </w:style>
  <w:style w:type="character" w:customStyle="1" w:styleId="159">
    <w:name w:val="Intense Quote Char"/>
    <w:basedOn w:val="11"/>
    <w:link w:val="158"/>
    <w:qFormat/>
    <w:uiPriority w:val="30"/>
    <w:rPr>
      <w:b/>
      <w:bCs/>
      <w:i/>
      <w:iCs/>
      <w:color w:val="4F81BD"/>
    </w:rPr>
  </w:style>
  <w:style w:type="character" w:customStyle="1" w:styleId="160">
    <w:name w:val="Subtle Emphasis"/>
    <w:basedOn w:val="11"/>
    <w:qFormat/>
    <w:uiPriority w:val="19"/>
    <w:rPr>
      <w:i/>
      <w:iCs/>
      <w:color w:val="7F7F7F"/>
    </w:rPr>
  </w:style>
  <w:style w:type="character" w:customStyle="1" w:styleId="161">
    <w:name w:val="Intense Emphasis"/>
    <w:basedOn w:val="11"/>
    <w:qFormat/>
    <w:uiPriority w:val="21"/>
    <w:rPr>
      <w:b/>
      <w:bCs/>
      <w:i/>
      <w:iCs/>
      <w:color w:val="4F81BD"/>
    </w:rPr>
  </w:style>
  <w:style w:type="character" w:customStyle="1" w:styleId="162">
    <w:name w:val="Subtle Reference"/>
    <w:basedOn w:val="11"/>
    <w:qFormat/>
    <w:uiPriority w:val="31"/>
    <w:rPr>
      <w:smallCaps/>
      <w:color w:val="C0504D"/>
      <w:u w:val="single"/>
    </w:rPr>
  </w:style>
  <w:style w:type="character" w:customStyle="1" w:styleId="163">
    <w:name w:val="Intense Reference"/>
    <w:basedOn w:val="11"/>
    <w:qFormat/>
    <w:uiPriority w:val="32"/>
    <w:rPr>
      <w:b/>
      <w:bCs/>
      <w:smallCaps/>
      <w:color w:val="C0504D"/>
      <w:spacing w:val="5"/>
      <w:u w:val="single"/>
    </w:rPr>
  </w:style>
  <w:style w:type="character" w:customStyle="1" w:styleId="164">
    <w:name w:val="Book Title"/>
    <w:basedOn w:val="11"/>
    <w:qFormat/>
    <w:uiPriority w:val="33"/>
    <w:rPr>
      <w:b/>
      <w:bCs/>
      <w:smallCaps/>
      <w:spacing w:val="5"/>
    </w:rPr>
  </w:style>
  <w:style w:type="paragraph" w:customStyle="1" w:styleId="165">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32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Teju Polishetty</cp:lastModifiedBy>
  <dcterms:modified xsi:type="dcterms:W3CDTF">2025-10-18T18:38:02Z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2C2EE40DA6604B1382E46880317840A7_13</vt:lpwstr>
  </property>
</Properties>
</file>