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rPr>
          <w:rFonts w:ascii="Arial" w:cs="Arial" w:eastAsia="Arial" w:hAnsi="Arial"/>
        </w:rPr>
        <w:t xml:space="preserve"/>
      </w:r>
    </w:p>
    <w:p>
      <w:pPr>
        <w:jc w:val="center"/>
      </w:pPr>
      <w:r>
        <w:rPr>
          <w:rFonts w:ascii="Arial" w:cs="Arial" w:eastAsia="Arial" w:hAnsi="Arial"/>
          <w:b/>
          <w:bCs/>
          <w:color w:val="1A1A2E"/>
          <w:sz w:val="52"/>
          <w:szCs w:val="52"/>
        </w:rPr>
        <w:t xml:space="preserve">THE DAILY GRIND COFFEE</w:t>
      </w:r>
    </w:p>
    <w:p>
      <w:pPr>
        <w:pBdr>
          <w:bottom w:val="single" w:color="E94560" w:sz="8" w:space="6"/>
        </w:pBdr>
        <w:spacing w:after="240"/>
        <w:jc w:val="center"/>
      </w:pPr>
      <w:r>
        <w:rPr>
          <w:rFonts w:ascii="Arial" w:cs="Arial" w:eastAsia="Arial" w:hAnsi="Arial"/>
          <w:b w:val="false"/>
          <w:bCs w:val="false"/>
          <w:color w:val="00B4D8"/>
          <w:sz w:val="32"/>
          <w:szCs w:val="32"/>
        </w:rPr>
        <w:t xml:space="preserve">Sales &amp; Pricing Analysis  —  2023 to 2025</w:t>
      </w:r>
    </w:p>
    <w:p>
      <w:pPr>
        <w:spacing w:before="12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0F3460"/>
                <w:sz w:val="20"/>
                <w:szCs w:val="20"/>
              </w:rPr>
              <w:t xml:space="preserve">Analysis Period</w:t>
            </w:r>
          </w:p>
          <w:p>
            <w:pPr>
              <w:jc w:val="center"/>
            </w:pPr>
            <w:r>
              <w:rPr>
                <w:rFonts w:ascii="Arial" w:cs="Arial" w:eastAsia="Arial" w:hAnsi="Arial"/>
                <w:sz w:val="20"/>
                <w:szCs w:val="20"/>
              </w:rPr>
              <w:t xml:space="preserve">Jan 2023 – Nov 2025</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0F3460"/>
                <w:sz w:val="20"/>
                <w:szCs w:val="20"/>
              </w:rPr>
              <w:t xml:space="preserve">Total Orders</w:t>
            </w:r>
          </w:p>
          <w:p>
            <w:pPr>
              <w:jc w:val="center"/>
            </w:pPr>
            <w:r>
              <w:rPr>
                <w:rFonts w:ascii="Arial" w:cs="Arial" w:eastAsia="Arial" w:hAnsi="Arial"/>
                <w:sz w:val="20"/>
                <w:szCs w:val="20"/>
              </w:rPr>
              <w:t xml:space="preserve">4,456 transactions</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0F3460"/>
                <w:sz w:val="20"/>
                <w:szCs w:val="20"/>
              </w:rPr>
              <w:t xml:space="preserve">Products Tracked</w:t>
            </w:r>
          </w:p>
          <w:p>
            <w:pPr>
              <w:jc w:val="center"/>
            </w:pPr>
            <w:r>
              <w:rPr>
                <w:rFonts w:ascii="Arial" w:cs="Arial" w:eastAsia="Arial" w:hAnsi="Arial"/>
                <w:sz w:val="20"/>
                <w:szCs w:val="20"/>
              </w:rPr>
              <w:t xml:space="preserve">25 unique SKUs</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0F3460"/>
                <w:sz w:val="20"/>
                <w:szCs w:val="20"/>
              </w:rPr>
              <w:t xml:space="preserve">Regions Covered</w:t>
            </w:r>
          </w:p>
          <w:p>
            <w:pPr>
              <w:jc w:val="center"/>
            </w:pPr>
            <w:r>
              <w:rPr>
                <w:rFonts w:ascii="Arial" w:cs="Arial" w:eastAsia="Arial" w:hAnsi="Arial"/>
                <w:sz w:val="20"/>
                <w:szCs w:val="20"/>
              </w:rPr>
              <w:t xml:space="preserve">East, West, North, South</w:t>
            </w:r>
          </w:p>
        </w:tc>
      </w:tr>
    </w:tbl>
    <w:p>
      <w:pPr>
        <w:spacing w:before="240" w:after="0"/>
      </w:pPr>
      <w:r>
        <w:rPr>
          <w:rFonts w:ascii="Arial" w:cs="Arial" w:eastAsia="Arial" w:hAnsi="Arial"/>
        </w:rPr>
        <w:t xml:space="preserve"/>
      </w:r>
    </w:p>
    <w:p>
      <w:pPr>
        <w:jc w:val="center"/>
      </w:pPr>
      <w:r>
        <w:rPr>
          <w:rFonts w:ascii="Arial" w:cs="Arial" w:eastAsia="Arial" w:hAnsi="Arial"/>
          <w:color w:val="888888"/>
          <w:sz w:val="20"/>
          <w:szCs w:val="20"/>
        </w:rPr>
        <w:t xml:space="preserve">Prepared for: Operations Leadership Team</w:t>
      </w:r>
    </w:p>
    <w:p>
      <w:pPr>
        <w:jc w:val="center"/>
      </w:pPr>
      <w:r>
        <w:rPr>
          <w:rFonts w:ascii="Arial" w:cs="Arial" w:eastAsia="Arial" w:hAnsi="Arial"/>
          <w:color w:val="888888"/>
          <w:sz w:val="20"/>
          <w:szCs w:val="20"/>
        </w:rPr>
        <w:t xml:space="preserve">Classification: Confidential — Internal Use Only</w:t>
      </w:r>
    </w:p>
    <w:p>
      <w:pPr>
        <w:spacing w:before="600" w:after="0"/>
      </w:pPr>
      <w:r>
        <w:rPr>
          <w:rFonts w:ascii="Arial" w:cs="Arial" w:eastAsia="Arial" w:hAnsi="Arial"/>
        </w:rPr>
        <w:t xml:space="preserve"/>
      </w:r>
    </w:p>
    <w:p>
      <w:pPr>
        <w:pStyle w:val="Heading1"/>
        <w:spacing w:before="360" w:after="180"/>
      </w:pPr>
      <w:r>
        <w:rPr>
          <w:rFonts w:ascii="Arial" w:cs="Arial" w:eastAsia="Arial" w:hAnsi="Arial"/>
          <w:b/>
          <w:bCs/>
          <w:color w:val="1A1A2E"/>
          <w:sz w:val="36"/>
          <w:szCs w:val="36"/>
        </w:rPr>
        <w:t xml:space="preserve">1. Project Overview</w:t>
      </w:r>
    </w:p>
    <w:p>
      <w:pPr>
        <w:spacing w:before="80" w:after="80"/>
      </w:pPr>
      <w:r>
        <w:rPr>
          <w:rFonts w:ascii="Arial" w:cs="Arial" w:eastAsia="Arial" w:hAnsi="Arial"/>
          <w:color w:val="4A5568"/>
          <w:sz w:val="22"/>
          <w:szCs w:val="22"/>
        </w:rPr>
        <w:t xml:space="preserve">The Daily Grind Coffee is a specialty retail coffee brand operating across four U.S. regions. Between 2023 and 2025, leadership detected a steady decline in the company’s overall profit margin. With rising costs of goods, supply chain pressures, and shifting tariff environments, the Operations team launched a formal pricing review to identify where margin was eroding and what to do about it.</w:t>
      </w:r>
    </w:p>
    <w:p>
      <w:pPr>
        <w:spacing w:before="60" w:after="0"/>
      </w:pPr>
      <w:r>
        <w:rPr>
          <w:rFonts w:ascii="Arial" w:cs="Arial" w:eastAsia="Arial" w:hAnsi="Arial"/>
        </w:rPr>
        <w:t xml:space="preserve"/>
      </w:r>
    </w:p>
    <w:p>
      <w:pPr>
        <w:spacing w:before="80" w:after="80"/>
      </w:pPr>
      <w:r>
        <w:rPr>
          <w:rFonts w:ascii="Arial" w:cs="Arial" w:eastAsia="Arial" w:hAnsi="Arial"/>
          <w:color w:val="4A5568"/>
          <w:sz w:val="22"/>
          <w:szCs w:val="22"/>
        </w:rPr>
        <w:t xml:space="preserve">This project consolidates three years of order data, customer records, and product cost information into a single, unified analytical dataset. It then uses that dataset to power a Power BI dashboard and produce this written report—both designed to translate financial data into clear, actionable business decisions.</w:t>
      </w:r>
    </w:p>
    <w:p>
      <w:pPr>
        <w:spacing w:before="12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F12" w:sz="12"/>
              <w:left w:val="single" w:color="7B4F12" w:sz="12"/>
              <w:bottom w:val="single" w:color="CCCCCC" w:sz="1"/>
              <w:right w:val="single" w:color="CCCCCC" w:sz="1"/>
            </w:tcBorders>
            <w:shd w:fill="FFF3CD" w:val="clear"/>
            <w:tcMar>
              <w:top w:type="dxa" w:w="120"/>
              <w:left w:type="dxa" w:w="200"/>
              <w:bottom w:type="dxa" w:w="120"/>
              <w:right w:type="dxa" w:w="200"/>
            </w:tcMar>
          </w:tcPr>
          <w:p>
            <w:r>
              <w:rPr>
                <w:rFonts w:ascii="Arial" w:cs="Arial" w:eastAsia="Arial" w:hAnsi="Arial"/>
                <w:b/>
                <w:bCs/>
                <w:color w:val="7B4F12"/>
                <w:sz w:val="20"/>
                <w:szCs w:val="20"/>
              </w:rPr>
              <w:t xml:space="preserve">☕ Why This Matters</w:t>
            </w:r>
          </w:p>
          <w:p>
            <w:r>
              <w:rPr>
                <w:rFonts w:ascii="Arial" w:cs="Arial" w:eastAsia="Arial" w:hAnsi="Arial"/>
                <w:color w:val="4A5568"/>
                <w:sz w:val="20"/>
                <w:szCs w:val="20"/>
              </w:rPr>
              <w:t xml:space="preserve">A drop in gross margin — even a few percentage points — has an outsized impact on profitability. When costs rise faster than prices, every dollar of revenue generates less cash to cover operations, marketing, and growth. Left unchecked, margin erosion quietly drains the business even when sales appear healthy.</w:t>
            </w:r>
          </w:p>
        </w:tc>
      </w:tr>
    </w:tbl>
    <w:p>
      <w:pPr>
        <w:spacing w:before="120" w:after="0"/>
      </w:pPr>
      <w:r>
        <w:rPr>
          <w:rFonts w:ascii="Arial" w:cs="Arial" w:eastAsia="Arial" w:hAnsi="Arial"/>
        </w:rPr>
        <w:t xml:space="preserve"/>
      </w:r>
    </w:p>
    <w:p>
      <w:pPr>
        <w:pStyle w:val="Heading2"/>
        <w:pBdr>
          <w:bottom w:val="single" w:color="00B4D8" w:sz="4" w:space="4"/>
        </w:pBdr>
        <w:spacing w:before="300" w:after="120"/>
      </w:pPr>
      <w:r>
        <w:rPr>
          <w:rFonts w:ascii="Arial" w:cs="Arial" w:eastAsia="Arial" w:hAnsi="Arial"/>
          <w:b/>
          <w:bCs/>
          <w:color w:val="0F3460"/>
          <w:sz w:val="28"/>
          <w:szCs w:val="28"/>
        </w:rPr>
        <w:t xml:space="preserve">1.1 Business Goals</w:t>
      </w:r>
    </w:p>
    <w:p>
      <w:pPr>
        <w:spacing w:before="80" w:after="80"/>
      </w:pPr>
      <w:r>
        <w:rPr>
          <w:rFonts w:ascii="Arial" w:cs="Arial" w:eastAsia="Arial" w:hAnsi="Arial"/>
          <w:color w:val="4A5568"/>
          <w:sz w:val="22"/>
          <w:szCs w:val="22"/>
        </w:rPr>
        <w:t xml:space="preserve">Operations issued four clear priorities for this engagement:</w:t>
      </w:r>
    </w:p>
    <w:p>
      <w:pPr>
        <w:pStyle w:val="ListParagraph"/>
        <w:numPr>
          <w:ilvl w:val="0"/>
          <w:numId w:val="2"/>
        </w:numPr>
        <w:spacing w:before="60" w:after="60"/>
      </w:pPr>
      <w:r>
        <w:rPr>
          <w:rFonts w:ascii="Arial" w:cs="Arial" w:eastAsia="Arial" w:hAnsi="Arial"/>
          <w:color w:val="4A5568"/>
          <w:sz w:val="22"/>
          <w:szCs w:val="22"/>
        </w:rPr>
        <w:t xml:space="preserve">Detect which products and regions are driving margin erosion, and put a dollar figure on the ‘profit at risk’</w:t>
      </w:r>
    </w:p>
    <w:p>
      <w:pPr>
        <w:pStyle w:val="ListParagraph"/>
        <w:numPr>
          <w:ilvl w:val="0"/>
          <w:numId w:val="2"/>
        </w:numPr>
        <w:spacing w:before="60" w:after="60"/>
      </w:pPr>
      <w:r>
        <w:rPr>
          <w:rFonts w:ascii="Arial" w:cs="Arial" w:eastAsia="Arial" w:hAnsi="Arial"/>
          <w:color w:val="4A5568"/>
          <w:sz w:val="22"/>
          <w:szCs w:val="22"/>
        </w:rPr>
        <w:t xml:space="preserve">Recommend specific price increases to bring low-margin items back above the 35% gross margin target</w:t>
      </w:r>
    </w:p>
    <w:p>
      <w:pPr>
        <w:pStyle w:val="ListParagraph"/>
        <w:numPr>
          <w:ilvl w:val="0"/>
          <w:numId w:val="2"/>
        </w:numPr>
        <w:spacing w:before="60" w:after="60"/>
      </w:pPr>
      <w:r>
        <w:rPr>
          <w:rFonts w:ascii="Arial" w:cs="Arial" w:eastAsia="Arial" w:hAnsi="Arial"/>
          <w:color w:val="4A5568"/>
          <w:sz w:val="22"/>
          <w:szCs w:val="22"/>
        </w:rPr>
        <w:t xml:space="preserve">Flag products for discontinuation where a price increase is either impractical or would damage the brand</w:t>
      </w:r>
    </w:p>
    <w:p>
      <w:pPr>
        <w:pStyle w:val="ListParagraph"/>
        <w:numPr>
          <w:ilvl w:val="0"/>
          <w:numId w:val="2"/>
        </w:numPr>
        <w:spacing w:before="60" w:after="60"/>
      </w:pPr>
      <w:r>
        <w:rPr>
          <w:rFonts w:ascii="Arial" w:cs="Arial" w:eastAsia="Arial" w:hAnsi="Arial"/>
          <w:color w:val="4A5568"/>
          <w:sz w:val="22"/>
          <w:szCs w:val="22"/>
        </w:rPr>
        <w:t xml:space="preserve">Establish measurable success criteria: a higher blended gross margin and fewer items below 30% GMP within one quarter of implementation</w:t>
      </w:r>
    </w:p>
    <w:p>
      <w:pPr>
        <w:spacing w:before="120" w:after="0"/>
      </w:pPr>
      <w:r>
        <w:rPr>
          <w:rFonts w:ascii="Arial" w:cs="Arial" w:eastAsia="Arial" w:hAnsi="Arial"/>
        </w:rPr>
        <w:t xml:space="preserve"/>
      </w:r>
    </w:p>
    <w:p>
      <w:pPr>
        <w:pStyle w:val="Heading2"/>
        <w:pBdr>
          <w:bottom w:val="single" w:color="00B4D8" w:sz="4" w:space="4"/>
        </w:pBdr>
        <w:spacing w:before="300" w:after="120"/>
      </w:pPr>
      <w:r>
        <w:rPr>
          <w:rFonts w:ascii="Arial" w:cs="Arial" w:eastAsia="Arial" w:hAnsi="Arial"/>
          <w:b/>
          <w:bCs/>
          <w:color w:val="0F3460"/>
          <w:sz w:val="28"/>
          <w:szCs w:val="28"/>
        </w:rPr>
        <w:t xml:space="preserve">1.2 Key Performance Indicators (KPIs)</w:t>
      </w:r>
    </w:p>
    <w:p>
      <w:pPr>
        <w:spacing w:before="80" w:after="80"/>
      </w:pPr>
      <w:r>
        <w:rPr>
          <w:rFonts w:ascii="Arial" w:cs="Arial" w:eastAsia="Arial" w:hAnsi="Arial"/>
          <w:color w:val="4A5568"/>
          <w:sz w:val="22"/>
          <w:szCs w:val="22"/>
        </w:rPr>
        <w:t xml:space="preserve">Four financial metrics anchor every decision in this analysis:</w:t>
      </w:r>
    </w:p>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KPI</w:t>
            </w:r>
          </w:p>
        </w:tc>
        <w:tc>
          <w:tcPr>
            <w:tcW w:type="dxa" w:w="360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Formula / Definition</w:t>
            </w:r>
          </w:p>
        </w:tc>
        <w:tc>
          <w:tcPr>
            <w:tcW w:type="dxa" w:w="296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Why It Matters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Gross Margin % (GMP)</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(Revenue − COGS) ÷ Revenue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A5568"/>
                <w:sz w:val="20"/>
                <w:szCs w:val="20"/>
              </w:rPr>
              <w:t xml:space="preserve">The core health metric: what share of every dollar sold becomes profit after direct product costs</w:t>
            </w:r>
          </w:p>
        </w:tc>
      </w:tr>
      <w:tr>
        <w:tc>
          <w:tcPr>
            <w:tcW w:type="dxa" w:w="2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b/>
                <w:bCs/>
                <w:color w:val="1A1A2E"/>
                <w:sz w:val="20"/>
                <w:szCs w:val="20"/>
              </w:rPr>
              <w:t xml:space="preserve">YoY GMP Δ</w:t>
            </w:r>
          </w:p>
        </w:tc>
        <w:tc>
          <w:tcPr>
            <w:tcW w:type="dxa" w:w="36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pPr>
              <w:jc w:val="center"/>
            </w:pPr>
            <w:r>
              <w:rPr>
                <w:rFonts w:ascii="Arial" w:cs="Arial" w:eastAsia="Arial" w:hAnsi="Arial"/>
                <w:color w:val="4A5568"/>
                <w:sz w:val="20"/>
                <w:szCs w:val="20"/>
              </w:rPr>
              <w:t xml:space="preserve">Current Year GMP − Prior Year GMP</w:t>
            </w:r>
          </w:p>
        </w:tc>
        <w:tc>
          <w:tcPr>
            <w:tcW w:type="dxa" w:w="296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pPr>
              <w:jc w:val="left"/>
            </w:pPr>
            <w:r>
              <w:rPr>
                <w:rFonts w:ascii="Arial" w:cs="Arial" w:eastAsia="Arial" w:hAnsi="Arial"/>
                <w:color w:val="4A5568"/>
                <w:sz w:val="20"/>
                <w:szCs w:val="20"/>
              </w:rPr>
              <w:t xml:space="preserve">Shows whether margin is improving or deteriorating over time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Profit at Risk</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Revenue × (Target GMP − Current GMP)</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A5568"/>
                <w:sz w:val="20"/>
                <w:szCs w:val="20"/>
              </w:rPr>
              <w:t xml:space="preserve">The dollar gap between where we are and where we need to be — the cost of inaction</w:t>
            </w:r>
          </w:p>
        </w:tc>
      </w:tr>
      <w:tr>
        <w:tc>
          <w:tcPr>
            <w:tcW w:type="dxa" w:w="2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b/>
                <w:bCs/>
                <w:color w:val="1A1A2E"/>
                <w:sz w:val="20"/>
                <w:szCs w:val="20"/>
              </w:rPr>
              <w:t xml:space="preserve">Target Price</w:t>
            </w:r>
          </w:p>
        </w:tc>
        <w:tc>
          <w:tcPr>
            <w:tcW w:type="dxa" w:w="36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pPr>
              <w:jc w:val="center"/>
            </w:pPr>
            <w:r>
              <w:rPr>
                <w:rFonts w:ascii="Arial" w:cs="Arial" w:eastAsia="Arial" w:hAnsi="Arial"/>
                <w:color w:val="4A5568"/>
                <w:sz w:val="20"/>
                <w:szCs w:val="20"/>
              </w:rPr>
              <w:t xml:space="preserve">COGS ÷ (1 − Target GMP)</w:t>
            </w:r>
          </w:p>
        </w:tc>
        <w:tc>
          <w:tcPr>
            <w:tcW w:type="dxa" w:w="296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pPr>
              <w:jc w:val="left"/>
            </w:pPr>
            <w:r>
              <w:rPr>
                <w:rFonts w:ascii="Arial" w:cs="Arial" w:eastAsia="Arial" w:hAnsi="Arial"/>
                <w:color w:val="4A5568"/>
                <w:sz w:val="20"/>
                <w:szCs w:val="20"/>
              </w:rPr>
              <w:t xml:space="preserve">The minimum price a product must sell at to hit the 35% margin target</w:t>
            </w:r>
          </w:p>
        </w:tc>
      </w:tr>
    </w:tbl>
    <w:p>
      <w:pPr>
        <w:spacing w:before="120" w:after="0"/>
      </w:pPr>
      <w:r>
        <w:rPr>
          <w:rFonts w:ascii="Arial" w:cs="Arial" w:eastAsia="Arial" w:hAnsi="Arial"/>
        </w:rPr>
        <w:t xml:space="preserve"/>
      </w:r>
    </w:p>
    <w:p>
      <w:pPr>
        <w:pStyle w:val="Heading1"/>
        <w:spacing w:before="360" w:after="180"/>
      </w:pPr>
      <w:r>
        <w:rPr>
          <w:rFonts w:ascii="Arial" w:cs="Arial" w:eastAsia="Arial" w:hAnsi="Arial"/>
          <w:b/>
          <w:bCs/>
          <w:color w:val="1A1A2E"/>
          <w:sz w:val="36"/>
          <w:szCs w:val="36"/>
        </w:rPr>
        <w:t xml:space="preserve">2. Data Sources &amp; Preparation</w:t>
      </w:r>
    </w:p>
    <w:p>
      <w:pPr>
        <w:spacing w:before="80" w:after="80"/>
      </w:pPr>
      <w:r>
        <w:rPr>
          <w:rFonts w:ascii="Arial" w:cs="Arial" w:eastAsia="Arial" w:hAnsi="Arial"/>
          <w:color w:val="4A5568"/>
          <w:sz w:val="22"/>
          <w:szCs w:val="22"/>
        </w:rPr>
        <w:t xml:space="preserve">This project draws from five source files, each covering a distinct piece of the business puzzle. All files were validated for completeness, joined on shared identifiers, and enriched with calculated margin fields before analysis.</w:t>
      </w:r>
    </w:p>
    <w:p>
      <w:pPr>
        <w:spacing w:before="12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File</w:t>
            </w:r>
          </w:p>
        </w:tc>
        <w:tc>
          <w:tcPr>
            <w:tcW w:type="dxa" w:w="160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Records</w:t>
            </w:r>
          </w:p>
        </w:tc>
        <w:tc>
          <w:tcPr>
            <w:tcW w:type="dxa" w:w="516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 Fields &amp; Purpose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Orders_2023.csv</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1,603 orders</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A5568"/>
                <w:sz w:val="20"/>
                <w:szCs w:val="20"/>
              </w:rPr>
              <w:t xml:space="preserve">OrderID, CustomerID, ProductID, OrderDate, Quantity, Revenue, COGS — the transaction backbone for Year 1</w:t>
            </w:r>
          </w:p>
        </w:tc>
      </w:tr>
      <w:tr>
        <w:tc>
          <w:tcPr>
            <w:tcW w:type="dxa" w:w="26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b/>
                <w:bCs/>
                <w:color w:val="1A1A2E"/>
                <w:sz w:val="20"/>
                <w:szCs w:val="20"/>
              </w:rPr>
              <w:t xml:space="preserve">Orders_2024.csv</w:t>
            </w:r>
          </w:p>
        </w:tc>
        <w:tc>
          <w:tcPr>
            <w:tcW w:type="dxa" w:w="16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pPr>
              <w:jc w:val="center"/>
            </w:pPr>
            <w:r>
              <w:rPr>
                <w:rFonts w:ascii="Arial" w:cs="Arial" w:eastAsia="Arial" w:hAnsi="Arial"/>
                <w:color w:val="4A5568"/>
                <w:sz w:val="20"/>
                <w:szCs w:val="20"/>
              </w:rPr>
              <w:t xml:space="preserve">1,570 orders</w:t>
            </w:r>
          </w:p>
        </w:tc>
        <w:tc>
          <w:tcPr>
            <w:tcW w:type="dxa" w:w="516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pPr>
              <w:jc w:val="left"/>
            </w:pPr>
            <w:r>
              <w:rPr>
                <w:rFonts w:ascii="Arial" w:cs="Arial" w:eastAsia="Arial" w:hAnsi="Arial"/>
                <w:color w:val="4A5568"/>
                <w:sz w:val="20"/>
                <w:szCs w:val="20"/>
              </w:rPr>
              <w:t xml:space="preserve">Same schema as 2023 — Year 2 transaction data enabling year-over-year comparisons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Orders_2025.csv</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1,283 orders</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A5568"/>
                <w:sz w:val="20"/>
                <w:szCs w:val="20"/>
              </w:rPr>
              <w:t xml:space="preserve">Jan – Nov 2025 transactions; partial year used for trend detection and Q3 2025 margin audit</w:t>
            </w:r>
          </w:p>
        </w:tc>
      </w:tr>
      <w:tr>
        <w:tc>
          <w:tcPr>
            <w:tcW w:type="dxa" w:w="26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b/>
                <w:bCs/>
                <w:color w:val="1A1A2E"/>
                <w:sz w:val="20"/>
                <w:szCs w:val="20"/>
              </w:rPr>
              <w:t xml:space="preserve">products.csv</w:t>
            </w:r>
          </w:p>
        </w:tc>
        <w:tc>
          <w:tcPr>
            <w:tcW w:type="dxa" w:w="16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pPr>
              <w:jc w:val="center"/>
            </w:pPr>
            <w:r>
              <w:rPr>
                <w:rFonts w:ascii="Arial" w:cs="Arial" w:eastAsia="Arial" w:hAnsi="Arial"/>
                <w:color w:val="4A5568"/>
                <w:sz w:val="20"/>
                <w:szCs w:val="20"/>
              </w:rPr>
              <w:t xml:space="preserve">50 product rows (25 unique SKUs)</w:t>
            </w:r>
          </w:p>
        </w:tc>
        <w:tc>
          <w:tcPr>
            <w:tcW w:type="dxa" w:w="516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pPr>
              <w:jc w:val="left"/>
            </w:pPr>
            <w:r>
              <w:rPr>
                <w:rFonts w:ascii="Arial" w:cs="Arial" w:eastAsia="Arial" w:hAnsi="Arial"/>
                <w:color w:val="4A5568"/>
                <w:sz w:val="20"/>
                <w:szCs w:val="20"/>
              </w:rPr>
              <w:t xml:space="preserve">ProductID, ProductName, Category, Price, Base_Cost — the cost structure behind every sale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customers.csv</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200 customers</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A5568"/>
                <w:sz w:val="20"/>
                <w:szCs w:val="20"/>
              </w:rPr>
              <w:t xml:space="preserve">CustomerID, Region, CustomerJoinDate — enables regional performance breakdowns</w:t>
            </w:r>
          </w:p>
        </w:tc>
      </w:tr>
    </w:tbl>
    <w:p>
      <w:pPr>
        <w:spacing w:before="12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D8" w:sz="12"/>
              <w:left w:val="single" w:color="00B4D8" w:sz="12"/>
              <w:bottom w:val="single" w:color="CCCCCC" w:sz="1"/>
              <w:right w:val="single" w:color="CCCCCC" w:sz="1"/>
            </w:tcBorders>
            <w:shd w:fill="F0F4F8" w:val="clear"/>
            <w:tcMar>
              <w:top w:type="dxa" w:w="120"/>
              <w:left w:type="dxa" w:w="200"/>
              <w:bottom w:type="dxa" w:w="120"/>
              <w:right w:type="dxa" w:w="200"/>
            </w:tcMar>
          </w:tcPr>
          <w:p>
            <w:r>
              <w:rPr>
                <w:rFonts w:ascii="Arial" w:cs="Arial" w:eastAsia="Arial" w:hAnsi="Arial"/>
                <w:b/>
                <w:bCs/>
                <w:color w:val="00B4D8"/>
                <w:sz w:val="20"/>
                <w:szCs w:val="20"/>
              </w:rPr>
              <w:t xml:space="preserve">🔍 Data Quality Note</w:t>
            </w:r>
          </w:p>
          <w:p>
            <w:r>
              <w:rPr>
                <w:rFonts w:ascii="Arial" w:cs="Arial" w:eastAsia="Arial" w:hAnsi="Arial"/>
                <w:color w:val="4A5568"/>
                <w:sz w:val="20"/>
                <w:szCs w:val="20"/>
              </w:rPr>
              <w:t xml:space="preserve">The 2025 dataset covers January through November (11 months). Revenue figures are presented as actuals for the partial year. Where year-over-year comparisons are made, context is provided. The products file contains 50 rows representing 25 unique SKUs duplicated across two product ID ranges (1001–1025 and 1026–1050) — both sets carry identical names and cost structures and are treated as the same products in this analysis.</w:t>
            </w:r>
          </w:p>
        </w:tc>
      </w:tr>
    </w:tbl>
    <w:p>
      <w:pPr>
        <w:spacing w:before="120" w:after="0"/>
      </w:pPr>
      <w:r>
        <w:rPr>
          <w:rFonts w:ascii="Arial" w:cs="Arial" w:eastAsia="Arial" w:hAnsi="Arial"/>
        </w:rPr>
        <w:t xml:space="preserve"/>
      </w:r>
    </w:p>
    <w:p>
      <w:pPr>
        <w:pStyle w:val="Heading2"/>
        <w:pBdr>
          <w:bottom w:val="single" w:color="00B4D8" w:sz="4" w:space="4"/>
        </w:pBdr>
        <w:spacing w:before="300" w:after="120"/>
      </w:pPr>
      <w:r>
        <w:rPr>
          <w:rFonts w:ascii="Arial" w:cs="Arial" w:eastAsia="Arial" w:hAnsi="Arial"/>
          <w:b/>
          <w:bCs/>
          <w:color w:val="0F3460"/>
          <w:sz w:val="28"/>
          <w:szCs w:val="28"/>
        </w:rPr>
        <w:t xml:space="preserve">2.1 How the Data Was Connected</w:t>
      </w:r>
    </w:p>
    <w:p>
      <w:pPr>
        <w:spacing w:before="80" w:after="80"/>
      </w:pPr>
      <w:r>
        <w:rPr>
          <w:rFonts w:ascii="Arial" w:cs="Arial" w:eastAsia="Arial" w:hAnsi="Arial"/>
          <w:color w:val="4A5568"/>
          <w:sz w:val="22"/>
          <w:szCs w:val="22"/>
        </w:rPr>
        <w:t xml:space="preserve">Orders were linked to product cost data via ProductID, and to regional customer data via CustomerID. This three-way join created a master analytical table with every order enriched by its product category, unit cost, and customer region — making it possible to slice margin performance any way leadership needs.</w:t>
      </w:r>
    </w:p>
    <w:p>
      <w:pPr>
        <w:pStyle w:val="ListParagraph"/>
        <w:numPr>
          <w:ilvl w:val="0"/>
          <w:numId w:val="2"/>
        </w:numPr>
        <w:spacing w:before="60" w:after="60"/>
      </w:pPr>
      <w:r>
        <w:rPr>
          <w:rFonts w:ascii="Arial" w:cs="Arial" w:eastAsia="Arial" w:hAnsi="Arial"/>
          <w:color w:val="4A5568"/>
          <w:sz w:val="22"/>
          <w:szCs w:val="22"/>
        </w:rPr>
        <w:t xml:space="preserve">Orders → Products joined on ProductID (adds category, price, base cost)</w:t>
      </w:r>
    </w:p>
    <w:p>
      <w:pPr>
        <w:pStyle w:val="ListParagraph"/>
        <w:numPr>
          <w:ilvl w:val="0"/>
          <w:numId w:val="2"/>
        </w:numPr>
        <w:spacing w:before="60" w:after="60"/>
      </w:pPr>
      <w:r>
        <w:rPr>
          <w:rFonts w:ascii="Arial" w:cs="Arial" w:eastAsia="Arial" w:hAnsi="Arial"/>
          <w:color w:val="4A5568"/>
          <w:sz w:val="22"/>
          <w:szCs w:val="22"/>
        </w:rPr>
        <w:t xml:space="preserve">Orders → Customers joined on CustomerID (adds region and join date)</w:t>
      </w:r>
    </w:p>
    <w:p>
      <w:pPr>
        <w:pStyle w:val="ListParagraph"/>
        <w:numPr>
          <w:ilvl w:val="0"/>
          <w:numId w:val="2"/>
        </w:numPr>
        <w:spacing w:before="60" w:after="60"/>
      </w:pPr>
      <w:r>
        <w:rPr>
          <w:rFonts w:ascii="Arial" w:cs="Arial" w:eastAsia="Arial" w:hAnsi="Arial"/>
          <w:color w:val="4A5568"/>
          <w:sz w:val="22"/>
          <w:szCs w:val="22"/>
        </w:rPr>
        <w:t xml:space="preserve">Gross Margin % calculated for every individual order row</w:t>
      </w:r>
    </w:p>
    <w:p>
      <w:pPr>
        <w:pStyle w:val="ListParagraph"/>
        <w:numPr>
          <w:ilvl w:val="0"/>
          <w:numId w:val="2"/>
        </w:numPr>
        <w:spacing w:before="60" w:after="60"/>
      </w:pPr>
      <w:r>
        <w:rPr>
          <w:rFonts w:ascii="Arial" w:cs="Arial" w:eastAsia="Arial" w:hAnsi="Arial"/>
          <w:color w:val="4A5568"/>
          <w:sz w:val="22"/>
          <w:szCs w:val="22"/>
        </w:rPr>
        <w:t xml:space="preserve">Year and Quarter extracted from OrderDate for time-based grouping</w:t>
      </w:r>
    </w:p>
    <w:p>
      <w:pPr>
        <w:spacing w:before="120" w:after="0"/>
      </w:pPr>
      <w:r>
        <w:rPr>
          <w:rFonts w:ascii="Arial" w:cs="Arial" w:eastAsia="Arial" w:hAnsi="Arial"/>
        </w:rPr>
        <w:t xml:space="preserve"/>
      </w:r>
    </w:p>
    <w:p>
      <w:pPr>
        <w:pStyle w:val="Heading1"/>
        <w:spacing w:before="360" w:after="180"/>
      </w:pPr>
      <w:r>
        <w:rPr>
          <w:rFonts w:ascii="Arial" w:cs="Arial" w:eastAsia="Arial" w:hAnsi="Arial"/>
          <w:b/>
          <w:bCs/>
          <w:color w:val="1A1A2E"/>
          <w:sz w:val="36"/>
          <w:szCs w:val="36"/>
        </w:rPr>
        <w:t xml:space="preserve">3. Power BI Dashboard</w:t>
      </w:r>
    </w:p>
    <w:p>
      <w:pPr>
        <w:spacing w:before="80" w:after="80"/>
      </w:pPr>
      <w:r>
        <w:rPr>
          <w:rFonts w:ascii="Arial" w:cs="Arial" w:eastAsia="Arial" w:hAnsi="Arial"/>
          <w:color w:val="4A5568"/>
          <w:sz w:val="22"/>
          <w:szCs w:val="22"/>
        </w:rPr>
        <w:t xml:space="preserve">The Pricing Analysis Dashboard (Pricing_Analysis_Dashboard.pbix) is the operational hub of this project. It translates the underlying data into interactive visuals that leadership can filter, drill into, and act on without needing to open a spreadsheet.</w:t>
      </w:r>
    </w:p>
    <w:p>
      <w:pPr>
        <w:spacing w:before="80" w:after="0"/>
      </w:pPr>
      <w:r>
        <w:rPr>
          <w:rFonts w:ascii="Arial" w:cs="Arial" w:eastAsia="Arial" w:hAnsi="Arial"/>
        </w:rPr>
        <w:t xml:space="preserve"/>
      </w:r>
    </w:p>
    <w:p>
      <w:pPr>
        <w:pStyle w:val="Heading2"/>
        <w:pBdr>
          <w:bottom w:val="single" w:color="00B4D8" w:sz="4" w:space="4"/>
        </w:pBdr>
        <w:spacing w:before="300" w:after="120"/>
      </w:pPr>
      <w:r>
        <w:rPr>
          <w:rFonts w:ascii="Arial" w:cs="Arial" w:eastAsia="Arial" w:hAnsi="Arial"/>
          <w:b/>
          <w:bCs/>
          <w:color w:val="0F3460"/>
          <w:sz w:val="28"/>
          <w:szCs w:val="28"/>
        </w:rPr>
        <w:t xml:space="preserve">3.1 Dashboard Structure</w:t>
      </w:r>
    </w:p>
    <w:p>
      <w:pPr>
        <w:spacing w:before="80" w:after="80"/>
      </w:pPr>
      <w:r>
        <w:rPr>
          <w:rFonts w:ascii="Arial" w:cs="Arial" w:eastAsia="Arial" w:hAnsi="Arial"/>
          <w:color w:val="4A5568"/>
          <w:sz w:val="22"/>
          <w:szCs w:val="22"/>
        </w:rPr>
        <w:t xml:space="preserve">The dashboard is organized into three analytical layers, each answering a different strategic question:</w:t>
      </w:r>
    </w:p>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Dashboard Tab</w:t>
            </w:r>
          </w:p>
        </w:tc>
        <w:tc>
          <w:tcPr>
            <w:tcW w:type="dxa" w:w="320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It Shows</w:t>
            </w:r>
          </w:p>
        </w:tc>
        <w:tc>
          <w:tcPr>
            <w:tcW w:type="dxa" w:w="376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Business Question Answered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Executive Summary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A5568"/>
                <w:sz w:val="20"/>
                <w:szCs w:val="20"/>
              </w:rPr>
              <w:t xml:space="preserve">Blended GMP trend, total revenue, and gross profit by year</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A5568"/>
                <w:sz w:val="20"/>
                <w:szCs w:val="20"/>
              </w:rPr>
              <w:t xml:space="preserve">Is the business getting more or less profitable overall?</w:t>
            </w:r>
          </w:p>
        </w:tc>
      </w:tr>
      <w:tr>
        <w:tc>
          <w:tcPr>
            <w:tcW w:type="dxa" w:w="24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b/>
                <w:bCs/>
                <w:color w:val="1A1A2E"/>
                <w:sz w:val="20"/>
                <w:szCs w:val="20"/>
              </w:rPr>
              <w:t xml:space="preserve">Category &amp; Product Drill-Down</w:t>
            </w:r>
          </w:p>
        </w:tc>
        <w:tc>
          <w:tcPr>
            <w:tcW w:type="dxa" w:w="3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pPr>
              <w:jc w:val="left"/>
            </w:pPr>
            <w:r>
              <w:rPr>
                <w:rFonts w:ascii="Arial" w:cs="Arial" w:eastAsia="Arial" w:hAnsi="Arial"/>
                <w:color w:val="4A5568"/>
                <w:sz w:val="20"/>
                <w:szCs w:val="20"/>
              </w:rPr>
              <w:t xml:space="preserve">YoY GMP and revenue by category and individual SKU</w:t>
            </w:r>
          </w:p>
        </w:tc>
        <w:tc>
          <w:tcPr>
            <w:tcW w:type="dxa" w:w="376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pPr>
              <w:jc w:val="left"/>
            </w:pPr>
            <w:r>
              <w:rPr>
                <w:rFonts w:ascii="Arial" w:cs="Arial" w:eastAsia="Arial" w:hAnsi="Arial"/>
                <w:color w:val="4A5568"/>
                <w:sz w:val="20"/>
                <w:szCs w:val="20"/>
              </w:rPr>
              <w:t xml:space="preserve">Which product lines and specific items are dragging down margin?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Regional Performance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A5568"/>
                <w:sz w:val="20"/>
                <w:szCs w:val="20"/>
              </w:rPr>
              <w:t xml:space="preserve">GMP and revenue by region across all three years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A5568"/>
                <w:sz w:val="20"/>
                <w:szCs w:val="20"/>
              </w:rPr>
              <w:t xml:space="preserve">Are certain geographies performing worse than others?</w:t>
            </w:r>
          </w:p>
        </w:tc>
      </w:tr>
    </w:tbl>
    <w:p>
      <w:pPr>
        <w:spacing w:before="120" w:after="0"/>
      </w:pPr>
      <w:r>
        <w:rPr>
          <w:rFonts w:ascii="Arial" w:cs="Arial" w:eastAsia="Arial" w:hAnsi="Arial"/>
        </w:rPr>
        <w:t xml:space="preserve"/>
      </w:r>
    </w:p>
    <w:p>
      <w:pPr>
        <w:pStyle w:val="Heading2"/>
        <w:pBdr>
          <w:bottom w:val="single" w:color="00B4D8" w:sz="4" w:space="4"/>
        </w:pBdr>
        <w:spacing w:before="300" w:after="120"/>
      </w:pPr>
      <w:r>
        <w:rPr>
          <w:rFonts w:ascii="Arial" w:cs="Arial" w:eastAsia="Arial" w:hAnsi="Arial"/>
          <w:b/>
          <w:bCs/>
          <w:color w:val="0F3460"/>
          <w:sz w:val="28"/>
          <w:szCs w:val="28"/>
        </w:rPr>
        <w:t xml:space="preserve">3.2 Key Dashboard Features</w:t>
      </w:r>
    </w:p>
    <w:p>
      <w:pPr>
        <w:pStyle w:val="ListParagraph"/>
        <w:numPr>
          <w:ilvl w:val="0"/>
          <w:numId w:val="2"/>
        </w:numPr>
        <w:spacing w:before="60" w:after="60"/>
      </w:pPr>
      <w:r>
        <w:rPr>
          <w:rFonts w:ascii="Arial" w:cs="Arial" w:eastAsia="Arial" w:hAnsi="Arial"/>
          <w:color w:val="4A5568"/>
          <w:sz w:val="22"/>
          <w:szCs w:val="22"/>
        </w:rPr>
        <w:t xml:space="preserve">Interactive slicers for Year, Quarter, Category, and Region — allowing leadership to isolate any combination instantly</w:t>
      </w:r>
    </w:p>
    <w:p>
      <w:pPr>
        <w:pStyle w:val="ListParagraph"/>
        <w:numPr>
          <w:ilvl w:val="0"/>
          <w:numId w:val="2"/>
        </w:numPr>
        <w:spacing w:before="60" w:after="60"/>
      </w:pPr>
      <w:r>
        <w:rPr>
          <w:rFonts w:ascii="Arial" w:cs="Arial" w:eastAsia="Arial" w:hAnsi="Arial"/>
          <w:color w:val="4A5568"/>
          <w:sz w:val="22"/>
          <w:szCs w:val="22"/>
        </w:rPr>
        <w:t xml:space="preserve">Color-coded margin indicators: products below 30% GMP flagged in red, 30–35% in amber, above 35% in green</w:t>
      </w:r>
    </w:p>
    <w:p>
      <w:pPr>
        <w:pStyle w:val="ListParagraph"/>
        <w:numPr>
          <w:ilvl w:val="0"/>
          <w:numId w:val="2"/>
        </w:numPr>
        <w:spacing w:before="60" w:after="60"/>
      </w:pPr>
      <w:r>
        <w:rPr>
          <w:rFonts w:ascii="Arial" w:cs="Arial" w:eastAsia="Arial" w:hAnsi="Arial"/>
          <w:color w:val="4A5568"/>
          <w:sz w:val="22"/>
          <w:szCs w:val="22"/>
        </w:rPr>
        <w:t xml:space="preserve">Profit at Risk metric card showing the total dollar impact of sub-target margins</w:t>
      </w:r>
    </w:p>
    <w:p>
      <w:pPr>
        <w:pStyle w:val="ListParagraph"/>
        <w:numPr>
          <w:ilvl w:val="0"/>
          <w:numId w:val="2"/>
        </w:numPr>
        <w:spacing w:before="60" w:after="60"/>
      </w:pPr>
      <w:r>
        <w:rPr>
          <w:rFonts w:ascii="Arial" w:cs="Arial" w:eastAsia="Arial" w:hAnsi="Arial"/>
          <w:color w:val="4A5568"/>
          <w:sz w:val="22"/>
          <w:szCs w:val="22"/>
        </w:rPr>
        <w:t xml:space="preserve">Target Price column showing the exact price each SKU must reach to hit 35% GMP</w:t>
      </w:r>
    </w:p>
    <w:p>
      <w:pPr>
        <w:pStyle w:val="ListParagraph"/>
        <w:numPr>
          <w:ilvl w:val="0"/>
          <w:numId w:val="2"/>
        </w:numPr>
        <w:spacing w:before="60" w:after="60"/>
      </w:pPr>
      <w:r>
        <w:rPr>
          <w:rFonts w:ascii="Arial" w:cs="Arial" w:eastAsia="Arial" w:hAnsi="Arial"/>
          <w:color w:val="4A5568"/>
          <w:sz w:val="22"/>
          <w:szCs w:val="22"/>
        </w:rPr>
        <w:t xml:space="preserve">YoY delta columns with directional arrows to make trend direction immediately visible</w:t>
      </w:r>
    </w:p>
    <w:p>
      <w:pPr>
        <w:spacing w:before="120" w:after="0"/>
      </w:pPr>
      <w:r>
        <w:rPr>
          <w:rFonts w:ascii="Arial" w:cs="Arial" w:eastAsia="Arial" w:hAnsi="Arial"/>
        </w:rPr>
        <w:t xml:space="preserve"/>
      </w:r>
    </w:p>
    <w:p>
      <w:pPr>
        <w:pStyle w:val="Heading1"/>
        <w:spacing w:before="360" w:after="180"/>
      </w:pPr>
      <w:r>
        <w:rPr>
          <w:rFonts w:ascii="Arial" w:cs="Arial" w:eastAsia="Arial" w:hAnsi="Arial"/>
          <w:b/>
          <w:bCs/>
          <w:color w:val="1A1A2E"/>
          <w:sz w:val="36"/>
          <w:szCs w:val="36"/>
        </w:rPr>
        <w:t xml:space="preserve">4. Analysis &amp; Key Findings</w:t>
      </w:r>
    </w:p>
    <w:p>
      <w:pPr>
        <w:spacing w:before="80" w:after="80"/>
      </w:pPr>
      <w:r>
        <w:rPr>
          <w:rFonts w:ascii="Arial" w:cs="Arial" w:eastAsia="Arial" w:hAnsi="Arial"/>
          <w:color w:val="4A5568"/>
          <w:sz w:val="22"/>
          <w:szCs w:val="22"/>
        </w:rPr>
        <w:t xml:space="preserve">The analysis covers three interconnected dimensions: overall business health, category-level performance, and regional performance. Together they paint a clear picture of where margin is leaking and why it matters.</w:t>
      </w:r>
    </w:p>
    <w:p>
      <w:pPr>
        <w:spacing w:before="120" w:after="0"/>
      </w:pPr>
      <w:r>
        <w:rPr>
          <w:rFonts w:ascii="Arial" w:cs="Arial" w:eastAsia="Arial" w:hAnsi="Arial"/>
        </w:rPr>
        <w:t xml:space="preserve"/>
      </w:r>
    </w:p>
    <w:p>
      <w:pPr>
        <w:pStyle w:val="Heading2"/>
        <w:pBdr>
          <w:bottom w:val="single" w:color="00B4D8" w:sz="4" w:space="4"/>
        </w:pBdr>
        <w:spacing w:before="300" w:after="120"/>
      </w:pPr>
      <w:r>
        <w:rPr>
          <w:rFonts w:ascii="Arial" w:cs="Arial" w:eastAsia="Arial" w:hAnsi="Arial"/>
          <w:b/>
          <w:bCs/>
          <w:color w:val="0F3460"/>
          <w:sz w:val="28"/>
          <w:szCs w:val="28"/>
        </w:rPr>
        <w:t xml:space="preserve">4.1 Overall Business Performance (2023–2025)</w:t>
      </w:r>
    </w:p>
    <w:p>
      <w:pPr>
        <w:spacing w:before="80" w:after="80"/>
      </w:pPr>
      <w:r>
        <w:rPr>
          <w:rFonts w:ascii="Arial" w:cs="Arial" w:eastAsia="Arial" w:hAnsi="Arial"/>
          <w:color w:val="4A5568"/>
          <w:sz w:val="22"/>
          <w:szCs w:val="22"/>
        </w:rPr>
        <w:t xml:space="preserve">The headline finding is straightforward: The Daily Grind is generating more revenue over time, but keeping less of it as profit. This is the hallmark of margin compression — a business growing its top line while its cost structure quietly erodes the bottom line.</w:t>
      </w:r>
    </w:p>
    <w:p>
      <w:pPr>
        <w:spacing w:before="12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Metric</w:t>
            </w:r>
          </w:p>
        </w:tc>
        <w:tc>
          <w:tcPr>
            <w:tcW w:type="dxa" w:w="156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2023</w:t>
            </w:r>
          </w:p>
        </w:tc>
        <w:tc>
          <w:tcPr>
            <w:tcW w:type="dxa" w:w="156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2024</w:t>
            </w:r>
          </w:p>
        </w:tc>
        <w:tc>
          <w:tcPr>
            <w:tcW w:type="dxa" w:w="156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2025 (Jan–Nov)</w:t>
            </w:r>
          </w:p>
        </w:tc>
        <w:tc>
          <w:tcPr>
            <w:tcW w:type="dxa" w:w="234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Trend</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Total Revenue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$303,157</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$313,183</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$254,990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A5568"/>
                <w:sz w:val="20"/>
                <w:szCs w:val="20"/>
              </w:rPr>
              <w:t xml:space="preserve">▲ +3.3% (2023→24); annualized 2025 projects ~−11%</w:t>
            </w:r>
          </w:p>
        </w:tc>
      </w:tr>
      <w:tr>
        <w:tc>
          <w:tcPr>
            <w:tcW w:type="dxa" w:w="234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b/>
                <w:bCs/>
                <w:color w:val="1A1A2E"/>
                <w:sz w:val="20"/>
                <w:szCs w:val="20"/>
              </w:rPr>
              <w:t xml:space="preserve">Total COGS</w:t>
            </w:r>
          </w:p>
        </w:tc>
        <w:tc>
          <w:tcPr>
            <w:tcW w:type="dxa" w:w="156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pPr>
              <w:jc w:val="center"/>
            </w:pPr>
            <w:r>
              <w:rPr>
                <w:rFonts w:ascii="Arial" w:cs="Arial" w:eastAsia="Arial" w:hAnsi="Arial"/>
                <w:color w:val="4A5568"/>
                <w:sz w:val="20"/>
                <w:szCs w:val="20"/>
              </w:rPr>
              <w:t xml:space="preserve">$133,008</w:t>
            </w:r>
          </w:p>
        </w:tc>
        <w:tc>
          <w:tcPr>
            <w:tcW w:type="dxa" w:w="156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pPr>
              <w:jc w:val="center"/>
            </w:pPr>
            <w:r>
              <w:rPr>
                <w:rFonts w:ascii="Arial" w:cs="Arial" w:eastAsia="Arial" w:hAnsi="Arial"/>
                <w:color w:val="4A5568"/>
                <w:sz w:val="20"/>
                <w:szCs w:val="20"/>
              </w:rPr>
              <w:t xml:space="preserve">$141,401</w:t>
            </w:r>
          </w:p>
        </w:tc>
        <w:tc>
          <w:tcPr>
            <w:tcW w:type="dxa" w:w="156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pPr>
              <w:jc w:val="center"/>
            </w:pPr>
            <w:r>
              <w:rPr>
                <w:rFonts w:ascii="Arial" w:cs="Arial" w:eastAsia="Arial" w:hAnsi="Arial"/>
                <w:color w:val="4A5568"/>
                <w:sz w:val="20"/>
                <w:szCs w:val="20"/>
              </w:rPr>
              <w:t xml:space="preserve">$122,387</w:t>
            </w:r>
          </w:p>
        </w:tc>
        <w:tc>
          <w:tcPr>
            <w:tcW w:type="dxa" w:w="234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pPr>
              <w:jc w:val="left"/>
            </w:pPr>
            <w:r>
              <w:rPr>
                <w:rFonts w:ascii="Arial" w:cs="Arial" w:eastAsia="Arial" w:hAnsi="Arial"/>
                <w:color w:val="4A5568"/>
                <w:sz w:val="20"/>
                <w:szCs w:val="20"/>
              </w:rPr>
              <w:t xml:space="preserve">COGS growing faster than revenue in 2024 — the root of margin erosion</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Gross Profit</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$171,642</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$172,465</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$133,514</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A5568"/>
                <w:sz w:val="20"/>
                <w:szCs w:val="20"/>
              </w:rPr>
              <w:t xml:space="preserve">Nearly flat 2023→24 despite higher revenue — cost increases ate the gain</w:t>
            </w:r>
          </w:p>
        </w:tc>
      </w:tr>
      <w:tr>
        <w:tc>
          <w:tcPr>
            <w:tcW w:type="dxa" w:w="234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b/>
                <w:bCs/>
                <w:color w:val="1A1A2E"/>
                <w:sz w:val="20"/>
                <w:szCs w:val="20"/>
              </w:rPr>
              <w:t xml:space="preserve">Blended GMP</w:t>
            </w:r>
          </w:p>
        </w:tc>
        <w:tc>
          <w:tcPr>
            <w:tcW w:type="dxa" w:w="1560"/>
            <w:tcBorders>
              <w:top w:val="single" w:color="DDDDDD" w:sz="1"/>
              <w:left w:val="single" w:color="DDDDDD" w:sz="1"/>
              <w:bottom w:val="single" w:color="DDDDDD" w:sz="1"/>
              <w:right w:val="single" w:color="DDDDDD" w:sz="1"/>
            </w:tcBorders>
            <w:shd w:fill="D8F3DC" w:val="clear"/>
            <w:tcMar>
              <w:top w:type="dxa" w:w="80"/>
              <w:left w:type="dxa" w:w="120"/>
              <w:bottom w:type="dxa" w:w="80"/>
              <w:right w:type="dxa" w:w="120"/>
            </w:tcMar>
          </w:tcPr>
          <w:p>
            <w:pPr>
              <w:jc w:val="center"/>
            </w:pPr>
            <w:r>
              <w:rPr>
                <w:rFonts w:ascii="Arial" w:cs="Arial" w:eastAsia="Arial" w:hAnsi="Arial"/>
                <w:color w:val="2D6A4F"/>
                <w:sz w:val="20"/>
                <w:szCs w:val="20"/>
              </w:rPr>
              <w:t xml:space="preserve">56.6%</w:t>
            </w:r>
          </w:p>
        </w:tc>
        <w:tc>
          <w:tcPr>
            <w:tcW w:type="dxa" w:w="156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color w:val="7B4F12"/>
                <w:sz w:val="20"/>
                <w:szCs w:val="20"/>
              </w:rPr>
              <w:t xml:space="preserve">55.1%</w:t>
            </w:r>
          </w:p>
        </w:tc>
        <w:tc>
          <w:tcPr>
            <w:tcW w:type="dxa" w:w="156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pPr>
              <w:jc w:val="center"/>
            </w:pPr>
            <w:r>
              <w:rPr>
                <w:rFonts w:ascii="Arial" w:cs="Arial" w:eastAsia="Arial" w:hAnsi="Arial"/>
                <w:color w:val="9B2226"/>
                <w:sz w:val="20"/>
                <w:szCs w:val="20"/>
              </w:rPr>
              <w:t xml:space="preserve">52.4%*</w:t>
            </w:r>
          </w:p>
        </w:tc>
        <w:tc>
          <w:tcPr>
            <w:tcW w:type="dxa" w:w="234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pPr>
              <w:jc w:val="left"/>
            </w:pPr>
            <w:r>
              <w:rPr>
                <w:rFonts w:ascii="Arial" w:cs="Arial" w:eastAsia="Arial" w:hAnsi="Arial"/>
                <w:color w:val="4A5568"/>
                <w:sz w:val="20"/>
                <w:szCs w:val="20"/>
              </w:rPr>
              <w:t xml:space="preserve">▼ −4.2 percentage points lost over the period — a significant deterioration</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Total Orders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1,603</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1,570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1,283</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A5568"/>
                <w:sz w:val="20"/>
                <w:szCs w:val="20"/>
              </w:rPr>
              <w:t xml:space="preserve">Order volume declining, suggesting softening demand alongside rising costs</w:t>
            </w:r>
          </w:p>
        </w:tc>
      </w:tr>
    </w:tbl>
    <w:p>
      <w:pPr>
        <w:spacing w:before="80" w:after="0"/>
      </w:pPr>
      <w:r>
        <w:rPr>
          <w:rFonts w:ascii="Arial" w:cs="Arial" w:eastAsia="Arial" w:hAnsi="Arial"/>
        </w:rPr>
        <w:t xml:space="preserve"/>
      </w:r>
    </w:p>
    <w:p>
      <w:pPr>
        <w:spacing w:before="80" w:after="80"/>
      </w:pPr>
      <w:r>
        <w:rPr>
          <w:rFonts w:ascii="Arial" w:cs="Arial" w:eastAsia="Arial" w:hAnsi="Arial"/>
          <w:color w:val="4A5568"/>
          <w:sz w:val="22"/>
          <w:szCs w:val="22"/>
        </w:rPr>
        <w:t xml:space="preserve">* 2025 GMP calculated on 11 months of actual data (January through November).</w:t>
      </w:r>
    </w:p>
    <w:p>
      <w:pPr>
        <w:spacing w:before="12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2226" w:sz="12"/>
              <w:left w:val="single" w:color="9B2226" w:sz="12"/>
              <w:bottom w:val="single" w:color="CCCCCC" w:sz="1"/>
              <w:right w:val="single" w:color="CCCCCC" w:sz="1"/>
            </w:tcBorders>
            <w:shd w:fill="FFCCD5" w:val="clear"/>
            <w:tcMar>
              <w:top w:type="dxa" w:w="120"/>
              <w:left w:type="dxa" w:w="200"/>
              <w:bottom w:type="dxa" w:w="120"/>
              <w:right w:type="dxa" w:w="200"/>
            </w:tcMar>
          </w:tcPr>
          <w:p>
            <w:r>
              <w:rPr>
                <w:rFonts w:ascii="Arial" w:cs="Arial" w:eastAsia="Arial" w:hAnsi="Arial"/>
                <w:b/>
                <w:bCs/>
                <w:color w:val="9B2226"/>
                <w:sz w:val="20"/>
                <w:szCs w:val="20"/>
              </w:rPr>
              <w:t xml:space="preserve">⚠️ The Core Problem in Plain Terms</w:t>
            </w:r>
          </w:p>
          <w:p>
            <w:r>
              <w:rPr>
                <w:rFonts w:ascii="Arial" w:cs="Arial" w:eastAsia="Arial" w:hAnsi="Arial"/>
                <w:color w:val="4A5568"/>
                <w:sz w:val="20"/>
                <w:szCs w:val="20"/>
              </w:rPr>
              <w:t xml:space="preserve">In 2023, for every $1.00 of coffee sold, The Daily Grind kept $0.57 after direct product costs. By 2025, that figure has fallen to $0.52. A 4.2 percentage point drop may sound small, but across $255K+ in annual revenue, it represents over $10,000 in lost gross profit per year — money that is no longer available for rent, staff, or reinvestment.</w:t>
            </w:r>
          </w:p>
        </w:tc>
      </w:tr>
    </w:tbl>
    <w:p>
      <w:pPr>
        <w:spacing w:before="120" w:after="0"/>
      </w:pPr>
      <w:r>
        <w:rPr>
          <w:rFonts w:ascii="Arial" w:cs="Arial" w:eastAsia="Arial" w:hAnsi="Arial"/>
        </w:rPr>
        <w:t xml:space="preserve"/>
      </w:r>
    </w:p>
    <w:p>
      <w:pPr>
        <w:pStyle w:val="Heading2"/>
        <w:pBdr>
          <w:bottom w:val="single" w:color="00B4D8" w:sz="4" w:space="4"/>
        </w:pBdr>
        <w:spacing w:before="300" w:after="120"/>
      </w:pPr>
      <w:r>
        <w:rPr>
          <w:rFonts w:ascii="Arial" w:cs="Arial" w:eastAsia="Arial" w:hAnsi="Arial"/>
          <w:b/>
          <w:bCs/>
          <w:color w:val="0F3460"/>
          <w:sz w:val="28"/>
          <w:szCs w:val="28"/>
        </w:rPr>
        <w:t xml:space="preserve">4.2 Performance by Product Category</w:t>
      </w:r>
    </w:p>
    <w:p>
      <w:pPr>
        <w:spacing w:before="80" w:after="80"/>
      </w:pPr>
      <w:r>
        <w:rPr>
          <w:rFonts w:ascii="Arial" w:cs="Arial" w:eastAsia="Arial" w:hAnsi="Arial"/>
          <w:color w:val="4A5568"/>
          <w:sz w:val="22"/>
          <w:szCs w:val="22"/>
        </w:rPr>
        <w:t xml:space="preserve">The company sells across five categories: Grinders &amp; Brewers (the revenue engine), Subscriptions (the margin star), Consumables (coffee beans and beverages), Accessories, and Merchandise. Each tells a different story.</w:t>
      </w:r>
    </w:p>
    <w:p>
      <w:pPr>
        <w:spacing w:before="12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40"/>
        <w:gridCol w:w="1340"/>
        <w:gridCol w:w="1340"/>
        <w:gridCol w:w="1340"/>
        <w:gridCol w:w="2000"/>
      </w:tblGrid>
      <w:tr>
        <w:tc>
          <w:tcPr>
            <w:tcW w:type="dxa" w:w="220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Category</w:t>
            </w:r>
          </w:p>
        </w:tc>
        <w:tc>
          <w:tcPr>
            <w:tcW w:type="dxa" w:w="134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2023 GMP</w:t>
            </w:r>
          </w:p>
        </w:tc>
        <w:tc>
          <w:tcPr>
            <w:tcW w:type="dxa" w:w="134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2024 GMP</w:t>
            </w:r>
          </w:p>
        </w:tc>
        <w:tc>
          <w:tcPr>
            <w:tcW w:type="dxa" w:w="134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2025 GMP</w:t>
            </w:r>
          </w:p>
        </w:tc>
        <w:tc>
          <w:tcPr>
            <w:tcW w:type="dxa" w:w="134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2025 Revenue</w:t>
            </w:r>
          </w:p>
        </w:tc>
        <w:tc>
          <w:tcPr>
            <w:tcW w:type="dxa" w:w="200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Verdict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Subscriptions</w:t>
            </w:r>
          </w:p>
        </w:tc>
        <w:tc>
          <w:tcPr>
            <w:tcW w:type="dxa" w:w="1340"/>
            <w:tcBorders>
              <w:top w:val="single" w:color="DDDDDD" w:sz="1"/>
              <w:left w:val="single" w:color="DDDDDD" w:sz="1"/>
              <w:bottom w:val="single" w:color="DDDDDD" w:sz="1"/>
              <w:right w:val="single" w:color="DDDDDD" w:sz="1"/>
            </w:tcBorders>
            <w:shd w:fill="D8F3DC" w:val="clear"/>
            <w:tcMar>
              <w:top w:type="dxa" w:w="80"/>
              <w:left w:type="dxa" w:w="120"/>
              <w:bottom w:type="dxa" w:w="80"/>
              <w:right w:type="dxa" w:w="120"/>
            </w:tcMar>
          </w:tcPr>
          <w:p>
            <w:pPr>
              <w:jc w:val="center"/>
            </w:pPr>
            <w:r>
              <w:rPr>
                <w:rFonts w:ascii="Arial" w:cs="Arial" w:eastAsia="Arial" w:hAnsi="Arial"/>
                <w:color w:val="2D6A4F"/>
                <w:sz w:val="20"/>
                <w:szCs w:val="20"/>
              </w:rPr>
              <w:t xml:space="preserve">66.3%</w:t>
            </w:r>
          </w:p>
        </w:tc>
        <w:tc>
          <w:tcPr>
            <w:tcW w:type="dxa" w:w="1340"/>
            <w:tcBorders>
              <w:top w:val="single" w:color="DDDDDD" w:sz="1"/>
              <w:left w:val="single" w:color="DDDDDD" w:sz="1"/>
              <w:bottom w:val="single" w:color="DDDDDD" w:sz="1"/>
              <w:right w:val="single" w:color="DDDDDD" w:sz="1"/>
            </w:tcBorders>
            <w:shd w:fill="D8F3DC" w:val="clear"/>
            <w:tcMar>
              <w:top w:type="dxa" w:w="80"/>
              <w:left w:type="dxa" w:w="120"/>
              <w:bottom w:type="dxa" w:w="80"/>
              <w:right w:type="dxa" w:w="120"/>
            </w:tcMar>
          </w:tcPr>
          <w:p>
            <w:pPr>
              <w:jc w:val="center"/>
            </w:pPr>
            <w:r>
              <w:rPr>
                <w:rFonts w:ascii="Arial" w:cs="Arial" w:eastAsia="Arial" w:hAnsi="Arial"/>
                <w:color w:val="2D6A4F"/>
                <w:sz w:val="20"/>
                <w:szCs w:val="20"/>
              </w:rPr>
              <w:t xml:space="preserve">64.4%</w:t>
            </w:r>
          </w:p>
        </w:tc>
        <w:tc>
          <w:tcPr>
            <w:tcW w:type="dxa" w:w="1340"/>
            <w:tcBorders>
              <w:top w:val="single" w:color="DDDDDD" w:sz="1"/>
              <w:left w:val="single" w:color="DDDDDD" w:sz="1"/>
              <w:bottom w:val="single" w:color="DDDDDD" w:sz="1"/>
              <w:right w:val="single" w:color="DDDDDD" w:sz="1"/>
            </w:tcBorders>
            <w:shd w:fill="D8F3DC" w:val="clear"/>
            <w:tcMar>
              <w:top w:type="dxa" w:w="80"/>
              <w:left w:type="dxa" w:w="120"/>
              <w:bottom w:type="dxa" w:w="80"/>
              <w:right w:type="dxa" w:w="120"/>
            </w:tcMar>
          </w:tcPr>
          <w:p>
            <w:pPr>
              <w:jc w:val="center"/>
            </w:pPr>
            <w:r>
              <w:rPr>
                <w:rFonts w:ascii="Arial" w:cs="Arial" w:eastAsia="Arial" w:hAnsi="Arial"/>
                <w:color w:val="2D6A4F"/>
                <w:sz w:val="20"/>
                <w:szCs w:val="20"/>
              </w:rPr>
              <w:t xml:space="preserve">63.1%</w:t>
            </w:r>
          </w:p>
        </w:tc>
        <w:tc>
          <w:tcPr>
            <w:tcW w:type="dxa" w:w="1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$52,504</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A5568"/>
                <w:sz w:val="20"/>
                <w:szCs w:val="20"/>
              </w:rPr>
              <w:t xml:space="preserve">⭐ Best margin category. Declining slightly but still the clear leader.</w:t>
            </w:r>
          </w:p>
        </w:tc>
      </w:tr>
      <w:tr>
        <w:tc>
          <w:tcPr>
            <w:tcW w:type="dxa" w:w="2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b/>
                <w:bCs/>
                <w:color w:val="1A1A2E"/>
                <w:sz w:val="20"/>
                <w:szCs w:val="20"/>
              </w:rPr>
              <w:t xml:space="preserve">Consumables</w:t>
            </w:r>
          </w:p>
        </w:tc>
        <w:tc>
          <w:tcPr>
            <w:tcW w:type="dxa" w:w="1340"/>
            <w:tcBorders>
              <w:top w:val="single" w:color="DDDDDD" w:sz="1"/>
              <w:left w:val="single" w:color="DDDDDD" w:sz="1"/>
              <w:bottom w:val="single" w:color="DDDDDD" w:sz="1"/>
              <w:right w:val="single" w:color="DDDDDD" w:sz="1"/>
            </w:tcBorders>
            <w:shd w:fill="D8F3DC" w:val="clear"/>
            <w:tcMar>
              <w:top w:type="dxa" w:w="80"/>
              <w:left w:type="dxa" w:w="120"/>
              <w:bottom w:type="dxa" w:w="80"/>
              <w:right w:type="dxa" w:w="120"/>
            </w:tcMar>
          </w:tcPr>
          <w:p>
            <w:pPr>
              <w:jc w:val="center"/>
            </w:pPr>
            <w:r>
              <w:rPr>
                <w:rFonts w:ascii="Arial" w:cs="Arial" w:eastAsia="Arial" w:hAnsi="Arial"/>
                <w:color w:val="2D6A4F"/>
                <w:sz w:val="20"/>
                <w:szCs w:val="20"/>
              </w:rPr>
              <w:t xml:space="preserve">62.3%</w:t>
            </w:r>
          </w:p>
        </w:tc>
        <w:tc>
          <w:tcPr>
            <w:tcW w:type="dxa" w:w="1340"/>
            <w:tcBorders>
              <w:top w:val="single" w:color="DDDDDD" w:sz="1"/>
              <w:left w:val="single" w:color="DDDDDD" w:sz="1"/>
              <w:bottom w:val="single" w:color="DDDDDD" w:sz="1"/>
              <w:right w:val="single" w:color="DDDDDD" w:sz="1"/>
            </w:tcBorders>
            <w:shd w:fill="D8F3DC" w:val="clear"/>
            <w:tcMar>
              <w:top w:type="dxa" w:w="80"/>
              <w:left w:type="dxa" w:w="120"/>
              <w:bottom w:type="dxa" w:w="80"/>
              <w:right w:type="dxa" w:w="120"/>
            </w:tcMar>
          </w:tcPr>
          <w:p>
            <w:pPr>
              <w:jc w:val="center"/>
            </w:pPr>
            <w:r>
              <w:rPr>
                <w:rFonts w:ascii="Arial" w:cs="Arial" w:eastAsia="Arial" w:hAnsi="Arial"/>
                <w:color w:val="2D6A4F"/>
                <w:sz w:val="20"/>
                <w:szCs w:val="20"/>
              </w:rPr>
              <w:t xml:space="preserve">62.8%</w:t>
            </w:r>
          </w:p>
        </w:tc>
        <w:tc>
          <w:tcPr>
            <w:tcW w:type="dxa" w:w="1340"/>
            <w:tcBorders>
              <w:top w:val="single" w:color="DDDDDD" w:sz="1"/>
              <w:left w:val="single" w:color="DDDDDD" w:sz="1"/>
              <w:bottom w:val="single" w:color="DDDDDD" w:sz="1"/>
              <w:right w:val="single" w:color="DDDDDD" w:sz="1"/>
            </w:tcBorders>
            <w:shd w:fill="D8F3DC" w:val="clear"/>
            <w:tcMar>
              <w:top w:type="dxa" w:w="80"/>
              <w:left w:type="dxa" w:w="120"/>
              <w:bottom w:type="dxa" w:w="80"/>
              <w:right w:type="dxa" w:w="120"/>
            </w:tcMar>
          </w:tcPr>
          <w:p>
            <w:pPr>
              <w:jc w:val="center"/>
            </w:pPr>
            <w:r>
              <w:rPr>
                <w:rFonts w:ascii="Arial" w:cs="Arial" w:eastAsia="Arial" w:hAnsi="Arial"/>
                <w:color w:val="2D6A4F"/>
                <w:sz w:val="20"/>
                <w:szCs w:val="20"/>
              </w:rPr>
              <w:t xml:space="preserve">59.7%</w:t>
            </w:r>
          </w:p>
        </w:tc>
        <w:tc>
          <w:tcPr>
            <w:tcW w:type="dxa" w:w="134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pPr>
              <w:jc w:val="center"/>
            </w:pPr>
            <w:r>
              <w:rPr>
                <w:rFonts w:ascii="Arial" w:cs="Arial" w:eastAsia="Arial" w:hAnsi="Arial"/>
                <w:color w:val="4A5568"/>
                <w:sz w:val="20"/>
                <w:szCs w:val="20"/>
              </w:rPr>
              <w:t xml:space="preserve">$16,690</w:t>
            </w:r>
          </w:p>
        </w:tc>
        <w:tc>
          <w:tcPr>
            <w:tcW w:type="dxa" w:w="20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pPr>
              <w:jc w:val="left"/>
            </w:pPr>
            <w:r>
              <w:rPr>
                <w:rFonts w:ascii="Arial" w:cs="Arial" w:eastAsia="Arial" w:hAnsi="Arial"/>
                <w:color w:val="4A5568"/>
                <w:sz w:val="20"/>
                <w:szCs w:val="20"/>
              </w:rPr>
              <w:t xml:space="preserve">Strong margins but lower volume. Good category to protect and grow.</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Grinders &amp; Brewers</w:t>
            </w:r>
          </w:p>
        </w:tc>
        <w:tc>
          <w:tcPr>
            <w:tcW w:type="dxa" w:w="1340"/>
            <w:tcBorders>
              <w:top w:val="single" w:color="DDDDDD" w:sz="1"/>
              <w:left w:val="single" w:color="DDDDDD" w:sz="1"/>
              <w:bottom w:val="single" w:color="DDDDDD" w:sz="1"/>
              <w:right w:val="single" w:color="DDDDDD" w:sz="1"/>
            </w:tcBorders>
            <w:shd w:fill="D8F3DC" w:val="clear"/>
            <w:tcMar>
              <w:top w:type="dxa" w:w="80"/>
              <w:left w:type="dxa" w:w="120"/>
              <w:bottom w:type="dxa" w:w="80"/>
              <w:right w:type="dxa" w:w="120"/>
            </w:tcMar>
          </w:tcPr>
          <w:p>
            <w:pPr>
              <w:jc w:val="center"/>
            </w:pPr>
            <w:r>
              <w:rPr>
                <w:rFonts w:ascii="Arial" w:cs="Arial" w:eastAsia="Arial" w:hAnsi="Arial"/>
                <w:color w:val="2D6A4F"/>
                <w:sz w:val="20"/>
                <w:szCs w:val="20"/>
              </w:rPr>
              <w:t xml:space="preserve">56.1%</w:t>
            </w:r>
          </w:p>
        </w:tc>
        <w:tc>
          <w:tcPr>
            <w:tcW w:type="dxa" w:w="134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color w:val="7B4F12"/>
                <w:sz w:val="20"/>
                <w:szCs w:val="20"/>
              </w:rPr>
              <w:t xml:space="preserve">54.2%</w:t>
            </w:r>
          </w:p>
        </w:tc>
        <w:tc>
          <w:tcPr>
            <w:tcW w:type="dxa" w:w="134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color w:val="7B4F12"/>
                <w:sz w:val="20"/>
                <w:szCs w:val="20"/>
              </w:rPr>
              <w:t xml:space="preserve">50.8%</w:t>
            </w:r>
          </w:p>
        </w:tc>
        <w:tc>
          <w:tcPr>
            <w:tcW w:type="dxa" w:w="1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$144,954</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A5568"/>
                <w:sz w:val="20"/>
                <w:szCs w:val="20"/>
              </w:rPr>
              <w:t xml:space="preserve">⚠️ Largest revenue category, declining margin. Highest absolute risk.</w:t>
            </w:r>
          </w:p>
        </w:tc>
      </w:tr>
      <w:tr>
        <w:tc>
          <w:tcPr>
            <w:tcW w:type="dxa" w:w="2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b/>
                <w:bCs/>
                <w:color w:val="1A1A2E"/>
                <w:sz w:val="20"/>
                <w:szCs w:val="20"/>
              </w:rPr>
              <w:t xml:space="preserve">Accessories</w:t>
            </w:r>
          </w:p>
        </w:tc>
        <w:tc>
          <w:tcPr>
            <w:tcW w:type="dxa" w:w="134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color w:val="7B4F12"/>
                <w:sz w:val="20"/>
                <w:szCs w:val="20"/>
              </w:rPr>
              <w:t xml:space="preserve">47.6%</w:t>
            </w:r>
          </w:p>
        </w:tc>
        <w:tc>
          <w:tcPr>
            <w:tcW w:type="dxa" w:w="134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color w:val="7B4F12"/>
                <w:sz w:val="20"/>
                <w:szCs w:val="20"/>
              </w:rPr>
              <w:t xml:space="preserve">45.8%</w:t>
            </w:r>
          </w:p>
        </w:tc>
        <w:tc>
          <w:tcPr>
            <w:tcW w:type="dxa" w:w="134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color w:val="7B4F12"/>
                <w:sz w:val="20"/>
                <w:szCs w:val="20"/>
              </w:rPr>
              <w:t xml:space="preserve">41.3%</w:t>
            </w:r>
          </w:p>
        </w:tc>
        <w:tc>
          <w:tcPr>
            <w:tcW w:type="dxa" w:w="134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pPr>
              <w:jc w:val="center"/>
            </w:pPr>
            <w:r>
              <w:rPr>
                <w:rFonts w:ascii="Arial" w:cs="Arial" w:eastAsia="Arial" w:hAnsi="Arial"/>
                <w:color w:val="4A5568"/>
                <w:sz w:val="20"/>
                <w:szCs w:val="20"/>
              </w:rPr>
              <w:t xml:space="preserve">$21,514</w:t>
            </w:r>
          </w:p>
        </w:tc>
        <w:tc>
          <w:tcPr>
            <w:tcW w:type="dxa" w:w="20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pPr>
              <w:jc w:val="left"/>
            </w:pPr>
            <w:r>
              <w:rPr>
                <w:rFonts w:ascii="Arial" w:cs="Arial" w:eastAsia="Arial" w:hAnsi="Arial"/>
                <w:color w:val="4A5568"/>
                <w:sz w:val="20"/>
                <w:szCs w:val="20"/>
              </w:rPr>
              <w:t xml:space="preserve">Above target overall, but individual SKUs pulling below 30%.</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Merchandise</w:t>
            </w:r>
          </w:p>
        </w:tc>
        <w:tc>
          <w:tcPr>
            <w:tcW w:type="dxa" w:w="134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color w:val="7B4F12"/>
                <w:sz w:val="20"/>
                <w:szCs w:val="20"/>
              </w:rPr>
              <w:t xml:space="preserve">37.3%</w:t>
            </w:r>
          </w:p>
        </w:tc>
        <w:tc>
          <w:tcPr>
            <w:tcW w:type="dxa" w:w="134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color w:val="7B4F12"/>
                <w:sz w:val="20"/>
                <w:szCs w:val="20"/>
              </w:rPr>
              <w:t xml:space="preserve">38.0%</w:t>
            </w:r>
          </w:p>
        </w:tc>
        <w:tc>
          <w:tcPr>
            <w:tcW w:type="dxa" w:w="134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color w:val="7B4F12"/>
                <w:sz w:val="20"/>
                <w:szCs w:val="20"/>
              </w:rPr>
              <w:t xml:space="preserve">36.1%</w:t>
            </w:r>
          </w:p>
        </w:tc>
        <w:tc>
          <w:tcPr>
            <w:tcW w:type="dxa" w:w="1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$19,328</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A5568"/>
                <w:sz w:val="20"/>
                <w:szCs w:val="20"/>
              </w:rPr>
              <w:t xml:space="preserve">🔴 Lowest-margin category. Multiple SKUs critically below 30%.</w:t>
            </w:r>
          </w:p>
        </w:tc>
      </w:tr>
    </w:tbl>
    <w:p>
      <w:pPr>
        <w:spacing w:before="120" w:after="0"/>
      </w:pPr>
      <w:r>
        <w:rPr>
          <w:rFonts w:ascii="Arial" w:cs="Arial" w:eastAsia="Arial" w:hAnsi="Arial"/>
        </w:rPr>
        <w:t xml:space="preserve"/>
      </w:r>
    </w:p>
    <w:p>
      <w:pPr>
        <w:spacing w:before="80" w:after="80"/>
      </w:pPr>
      <w:r>
        <w:rPr>
          <w:rFonts w:ascii="Arial" w:cs="Arial" w:eastAsia="Arial" w:hAnsi="Arial"/>
          <w:color w:val="4A5568"/>
          <w:sz w:val="22"/>
          <w:szCs w:val="22"/>
        </w:rPr>
        <w:t xml:space="preserve">Grinders &amp; Brewers deserves particular attention: while it accounts for 57% of total 2025 revenue, its gross margin has fallen from 56.1% in 2023 to 50.8% in 2025. Even a 1% margin swing in this category has a larger dollar impact than a 5% swing in any other. Subscriptions, conversely, represent a bright spot — high margin, recurring revenue, and a relatively resilient trend.</w:t>
      </w:r>
    </w:p>
    <w:p>
      <w:pPr>
        <w:spacing w:before="120" w:after="0"/>
      </w:pPr>
      <w:r>
        <w:rPr>
          <w:rFonts w:ascii="Arial" w:cs="Arial" w:eastAsia="Arial" w:hAnsi="Arial"/>
        </w:rPr>
        <w:t xml:space="preserve"/>
      </w:r>
    </w:p>
    <w:p>
      <w:pPr>
        <w:pStyle w:val="Heading2"/>
        <w:pBdr>
          <w:bottom w:val="single" w:color="00B4D8" w:sz="4" w:space="4"/>
        </w:pBdr>
        <w:spacing w:before="300" w:after="120"/>
      </w:pPr>
      <w:r>
        <w:rPr>
          <w:rFonts w:ascii="Arial" w:cs="Arial" w:eastAsia="Arial" w:hAnsi="Arial"/>
          <w:b/>
          <w:bCs/>
          <w:color w:val="0F3460"/>
          <w:sz w:val="28"/>
          <w:szCs w:val="28"/>
        </w:rPr>
        <w:t xml:space="preserve">4.3 Performance by Region</w:t>
      </w:r>
    </w:p>
    <w:p>
      <w:pPr>
        <w:spacing w:before="80" w:after="80"/>
      </w:pPr>
      <w:r>
        <w:rPr>
          <w:rFonts w:ascii="Arial" w:cs="Arial" w:eastAsia="Arial" w:hAnsi="Arial"/>
          <w:color w:val="4A5568"/>
          <w:sz w:val="22"/>
          <w:szCs w:val="22"/>
        </w:rPr>
        <w:t xml:space="preserve">All four regions are experiencing the same downward margin trend, suggesting the compression is driven by company-wide cost factors (COGS and tariffs) rather than regional pricing or mix issues. That said, the South region has deteriorated the most sharply.</w:t>
      </w:r>
    </w:p>
    <w:p>
      <w:pPr>
        <w:spacing w:before="12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Region</w:t>
            </w:r>
          </w:p>
        </w:tc>
        <w:tc>
          <w:tcPr>
            <w:tcW w:type="dxa" w:w="156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2023 GMP</w:t>
            </w:r>
          </w:p>
        </w:tc>
        <w:tc>
          <w:tcPr>
            <w:tcW w:type="dxa" w:w="156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2024 GMP</w:t>
            </w:r>
          </w:p>
        </w:tc>
        <w:tc>
          <w:tcPr>
            <w:tcW w:type="dxa" w:w="156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2025 GMP</w:t>
            </w:r>
          </w:p>
        </w:tc>
        <w:tc>
          <w:tcPr>
            <w:tcW w:type="dxa" w:w="156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2025 Revenue</w:t>
            </w:r>
          </w:p>
        </w:tc>
        <w:tc>
          <w:tcPr>
            <w:tcW w:type="dxa" w:w="156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3-Yr Decline</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West</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56.1%</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54.4%</w:t>
            </w:r>
          </w:p>
        </w:tc>
        <w:tc>
          <w:tcPr>
            <w:tcW w:type="dxa" w:w="156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color w:val="7B4F12"/>
                <w:sz w:val="20"/>
                <w:szCs w:val="20"/>
              </w:rPr>
              <w:t xml:space="preserve">52.8%</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$107,105</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−3.3 pts</w:t>
            </w:r>
          </w:p>
        </w:tc>
      </w:tr>
      <w:tr>
        <w:tc>
          <w:tcPr>
            <w:tcW w:type="dxa" w:w="156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b/>
                <w:bCs/>
                <w:color w:val="1A1A2E"/>
                <w:sz w:val="20"/>
                <w:szCs w:val="20"/>
              </w:rPr>
              <w:t xml:space="preserve">East</w:t>
            </w:r>
          </w:p>
        </w:tc>
        <w:tc>
          <w:tcPr>
            <w:tcW w:type="dxa" w:w="156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pPr>
              <w:jc w:val="center"/>
            </w:pPr>
            <w:r>
              <w:rPr>
                <w:rFonts w:ascii="Arial" w:cs="Arial" w:eastAsia="Arial" w:hAnsi="Arial"/>
                <w:color w:val="4A5568"/>
                <w:sz w:val="20"/>
                <w:szCs w:val="20"/>
              </w:rPr>
              <w:t xml:space="preserve">56.3%</w:t>
            </w:r>
          </w:p>
        </w:tc>
        <w:tc>
          <w:tcPr>
            <w:tcW w:type="dxa" w:w="156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pPr>
              <w:jc w:val="center"/>
            </w:pPr>
            <w:r>
              <w:rPr>
                <w:rFonts w:ascii="Arial" w:cs="Arial" w:eastAsia="Arial" w:hAnsi="Arial"/>
                <w:color w:val="4A5568"/>
                <w:sz w:val="20"/>
                <w:szCs w:val="20"/>
              </w:rPr>
              <w:t xml:space="preserve">55.0%</w:t>
            </w:r>
          </w:p>
        </w:tc>
        <w:tc>
          <w:tcPr>
            <w:tcW w:type="dxa" w:w="156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color w:val="7B4F12"/>
                <w:sz w:val="20"/>
                <w:szCs w:val="20"/>
              </w:rPr>
              <w:t xml:space="preserve">51.7%</w:t>
            </w:r>
          </w:p>
        </w:tc>
        <w:tc>
          <w:tcPr>
            <w:tcW w:type="dxa" w:w="156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pPr>
              <w:jc w:val="center"/>
            </w:pPr>
            <w:r>
              <w:rPr>
                <w:rFonts w:ascii="Arial" w:cs="Arial" w:eastAsia="Arial" w:hAnsi="Arial"/>
                <w:color w:val="4A5568"/>
                <w:sz w:val="20"/>
                <w:szCs w:val="20"/>
              </w:rPr>
              <w:t xml:space="preserve">$78,730</w:t>
            </w:r>
          </w:p>
        </w:tc>
        <w:tc>
          <w:tcPr>
            <w:tcW w:type="dxa" w:w="156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pPr>
              <w:jc w:val="center"/>
            </w:pPr>
            <w:r>
              <w:rPr>
                <w:rFonts w:ascii="Arial" w:cs="Arial" w:eastAsia="Arial" w:hAnsi="Arial"/>
                <w:color w:val="4A5568"/>
                <w:sz w:val="20"/>
                <w:szCs w:val="20"/>
              </w:rPr>
              <w:t xml:space="preserve">−4.6 pts</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North</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55.7%</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55.9%</w:t>
            </w:r>
          </w:p>
        </w:tc>
        <w:tc>
          <w:tcPr>
            <w:tcW w:type="dxa" w:w="156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color w:val="7B4F12"/>
                <w:sz w:val="20"/>
                <w:szCs w:val="20"/>
              </w:rPr>
              <w:t xml:space="preserve">51.8%</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$30,622</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−3.9 pts</w:t>
            </w:r>
          </w:p>
        </w:tc>
      </w:tr>
      <w:tr>
        <w:tc>
          <w:tcPr>
            <w:tcW w:type="dxa" w:w="156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b/>
                <w:bCs/>
                <w:color w:val="1A1A2E"/>
                <w:sz w:val="20"/>
                <w:szCs w:val="20"/>
              </w:rPr>
              <w:t xml:space="preserve">South</w:t>
            </w:r>
          </w:p>
        </w:tc>
        <w:tc>
          <w:tcPr>
            <w:tcW w:type="dxa" w:w="156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pPr>
              <w:jc w:val="center"/>
            </w:pPr>
            <w:r>
              <w:rPr>
                <w:rFonts w:ascii="Arial" w:cs="Arial" w:eastAsia="Arial" w:hAnsi="Arial"/>
                <w:color w:val="4A5568"/>
                <w:sz w:val="20"/>
                <w:szCs w:val="20"/>
              </w:rPr>
              <w:t xml:space="preserve">56.3%</w:t>
            </w:r>
          </w:p>
        </w:tc>
        <w:tc>
          <w:tcPr>
            <w:tcW w:type="dxa" w:w="156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pPr>
              <w:jc w:val="center"/>
            </w:pPr>
            <w:r>
              <w:rPr>
                <w:rFonts w:ascii="Arial" w:cs="Arial" w:eastAsia="Arial" w:hAnsi="Arial"/>
                <w:color w:val="4A5568"/>
                <w:sz w:val="20"/>
                <w:szCs w:val="20"/>
              </w:rPr>
              <w:t xml:space="preserve">54.4%</w:t>
            </w:r>
          </w:p>
        </w:tc>
        <w:tc>
          <w:tcPr>
            <w:tcW w:type="dxa" w:w="156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pPr>
              <w:jc w:val="center"/>
            </w:pPr>
            <w:r>
              <w:rPr>
                <w:rFonts w:ascii="Arial" w:cs="Arial" w:eastAsia="Arial" w:hAnsi="Arial"/>
                <w:color w:val="9B2226"/>
                <w:sz w:val="20"/>
                <w:szCs w:val="20"/>
              </w:rPr>
              <w:t xml:space="preserve">50.5%</w:t>
            </w:r>
          </w:p>
        </w:tc>
        <w:tc>
          <w:tcPr>
            <w:tcW w:type="dxa" w:w="156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pPr>
              <w:jc w:val="center"/>
            </w:pPr>
            <w:r>
              <w:rPr>
                <w:rFonts w:ascii="Arial" w:cs="Arial" w:eastAsia="Arial" w:hAnsi="Arial"/>
                <w:color w:val="4A5568"/>
                <w:sz w:val="20"/>
                <w:szCs w:val="20"/>
              </w:rPr>
              <w:t xml:space="preserve">$37,154</w:t>
            </w:r>
          </w:p>
        </w:tc>
        <w:tc>
          <w:tcPr>
            <w:tcW w:type="dxa" w:w="156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pPr>
              <w:jc w:val="center"/>
            </w:pPr>
            <w:r>
              <w:rPr>
                <w:rFonts w:ascii="Arial" w:cs="Arial" w:eastAsia="Arial" w:hAnsi="Arial"/>
                <w:color w:val="4A5568"/>
                <w:sz w:val="20"/>
                <w:szCs w:val="20"/>
              </w:rPr>
              <w:t xml:space="preserve">−5.8 pts</w:t>
            </w:r>
          </w:p>
        </w:tc>
      </w:tr>
    </w:tbl>
    <w:p>
      <w:pPr>
        <w:spacing w:before="120" w:after="0"/>
      </w:pPr>
      <w:r>
        <w:rPr>
          <w:rFonts w:ascii="Arial" w:cs="Arial" w:eastAsia="Arial" w:hAnsi="Arial"/>
        </w:rPr>
        <w:t xml:space="preserve"/>
      </w:r>
    </w:p>
    <w:p>
      <w:pPr>
        <w:spacing w:before="80" w:after="80"/>
      </w:pPr>
      <w:r>
        <w:rPr>
          <w:rFonts w:ascii="Arial" w:cs="Arial" w:eastAsia="Arial" w:hAnsi="Arial"/>
          <w:color w:val="4A5568"/>
          <w:sz w:val="22"/>
          <w:szCs w:val="22"/>
        </w:rPr>
        <w:t xml:space="preserve">The West region generates nearly half of all revenue and is holding margin best. The South, while smaller, has experienced the steepest decline at 5.8 percentage points — warranting investigation into whether regional pricing, product mix, or customer acquisition patterns are contributing factors.</w:t>
      </w:r>
    </w:p>
    <w:p>
      <w:pPr>
        <w:spacing w:before="120" w:after="0"/>
      </w:pPr>
      <w:r>
        <w:rPr>
          <w:rFonts w:ascii="Arial" w:cs="Arial" w:eastAsia="Arial" w:hAnsi="Arial"/>
        </w:rPr>
        <w:t xml:space="preserve"/>
      </w:r>
    </w:p>
    <w:p>
      <w:pPr>
        <w:pStyle w:val="Heading1"/>
        <w:spacing w:before="360" w:after="180"/>
      </w:pPr>
      <w:r>
        <w:rPr>
          <w:rFonts w:ascii="Arial" w:cs="Arial" w:eastAsia="Arial" w:hAnsi="Arial"/>
          <w:b/>
          <w:bCs/>
          <w:color w:val="1A1A2E"/>
          <w:sz w:val="36"/>
          <w:szCs w:val="36"/>
        </w:rPr>
        <w:t xml:space="preserve">5. Q3 2025 Margin Audit — Products Below 30% GMP</w:t>
      </w:r>
    </w:p>
    <w:p>
      <w:pPr>
        <w:spacing w:before="80" w:after="80"/>
      </w:pPr>
      <w:r>
        <w:rPr>
          <w:rFonts w:ascii="Arial" w:cs="Arial" w:eastAsia="Arial" w:hAnsi="Arial"/>
          <w:color w:val="4A5568"/>
          <w:sz w:val="22"/>
          <w:szCs w:val="22"/>
        </w:rPr>
        <w:t xml:space="preserve">Operations flagged any product below 30% gross margin in Q3 2025 as requiring immediate pricing action. The audit identified 7 distinct products (appearing across duplicate SKU ranges, for 13 product-SKU combinations total) that fall below this threshold. These products are losing the company money in relative terms on every unit sold — far short of the 35% target.</w:t>
      </w:r>
    </w:p>
    <w:p>
      <w:pPr>
        <w:spacing w:before="12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1200"/>
        <w:gridCol w:w="1200"/>
        <w:gridCol w:w="1760"/>
      </w:tblGrid>
      <w:tr>
        <w:tc>
          <w:tcPr>
            <w:tcW w:type="dxa" w:w="240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Product</w:t>
            </w:r>
          </w:p>
        </w:tc>
        <w:tc>
          <w:tcPr>
            <w:tcW w:type="dxa" w:w="160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Category</w:t>
            </w:r>
          </w:p>
        </w:tc>
        <w:tc>
          <w:tcPr>
            <w:tcW w:type="dxa" w:w="120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Q3 2025 GMP</w:t>
            </w:r>
          </w:p>
        </w:tc>
        <w:tc>
          <w:tcPr>
            <w:tcW w:type="dxa" w:w="120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Current Price</w:t>
            </w:r>
          </w:p>
        </w:tc>
        <w:tc>
          <w:tcPr>
            <w:tcW w:type="dxa" w:w="120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Target Price</w:t>
            </w:r>
          </w:p>
        </w:tc>
        <w:tc>
          <w:tcPr>
            <w:tcW w:type="dxa" w:w="176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Price Increase Needed</w:t>
            </w:r>
          </w:p>
        </w:tc>
      </w:tr>
      <w:tr>
        <w:tc>
          <w:tcPr>
            <w:tcW w:type="dxa" w:w="240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r>
              <w:rPr>
                <w:rFonts w:ascii="Arial" w:cs="Arial" w:eastAsia="Arial" w:hAnsi="Arial"/>
                <w:b/>
                <w:bCs/>
                <w:color w:val="1A1A2E"/>
                <w:sz w:val="20"/>
                <w:szCs w:val="20"/>
              </w:rPr>
              <w:t xml:space="preserve">Chemex Filters (100 pack)</w:t>
            </w:r>
          </w:p>
        </w:tc>
        <w:tc>
          <w:tcPr>
            <w:tcW w:type="dxa" w:w="160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pPr>
              <w:jc w:val="center"/>
            </w:pPr>
            <w:r>
              <w:rPr>
                <w:rFonts w:ascii="Arial" w:cs="Arial" w:eastAsia="Arial" w:hAnsi="Arial"/>
                <w:color w:val="4A5568"/>
                <w:sz w:val="20"/>
                <w:szCs w:val="20"/>
              </w:rPr>
              <w:t xml:space="preserve">Accessories</w:t>
            </w:r>
          </w:p>
        </w:tc>
        <w:tc>
          <w:tcPr>
            <w:tcW w:type="dxa" w:w="120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pPr>
              <w:jc w:val="center"/>
            </w:pPr>
            <w:r>
              <w:rPr>
                <w:rFonts w:ascii="Arial" w:cs="Arial" w:eastAsia="Arial" w:hAnsi="Arial"/>
                <w:color w:val="9B2226"/>
                <w:sz w:val="20"/>
                <w:szCs w:val="20"/>
              </w:rPr>
              <w:t xml:space="preserve">12.0%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$24.10</w:t>
            </w:r>
          </w:p>
        </w:tc>
        <w:tc>
          <w:tcPr>
            <w:tcW w:type="dxa" w:w="1200"/>
            <w:tcBorders>
              <w:top w:val="single" w:color="DDDDDD" w:sz="1"/>
              <w:left w:val="single" w:color="DDDDDD" w:sz="1"/>
              <w:bottom w:val="single" w:color="DDDDDD" w:sz="1"/>
              <w:right w:val="single" w:color="DDDDDD" w:sz="1"/>
            </w:tcBorders>
            <w:shd w:fill="D8F3DC" w:val="clear"/>
            <w:tcMar>
              <w:top w:type="dxa" w:w="80"/>
              <w:left w:type="dxa" w:w="120"/>
              <w:bottom w:type="dxa" w:w="80"/>
              <w:right w:type="dxa" w:w="120"/>
            </w:tcMar>
          </w:tcPr>
          <w:p>
            <w:pPr>
              <w:jc w:val="center"/>
            </w:pPr>
            <w:r>
              <w:rPr>
                <w:rFonts w:ascii="Arial" w:cs="Arial" w:eastAsia="Arial" w:hAnsi="Arial"/>
                <w:color w:val="2D6A4F"/>
                <w:sz w:val="20"/>
                <w:szCs w:val="20"/>
              </w:rPr>
              <w:t xml:space="preserve">$32.63</w:t>
            </w:r>
          </w:p>
        </w:tc>
        <w:tc>
          <w:tcPr>
            <w:tcW w:type="dxa" w:w="176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pPr>
              <w:jc w:val="center"/>
            </w:pPr>
            <w:r>
              <w:rPr>
                <w:rFonts w:ascii="Arial" w:cs="Arial" w:eastAsia="Arial" w:hAnsi="Arial"/>
                <w:color w:val="9B2226"/>
                <w:sz w:val="20"/>
                <w:szCs w:val="20"/>
              </w:rPr>
              <w:t xml:space="preserve">+35.4% → $32.63</w:t>
            </w:r>
          </w:p>
        </w:tc>
      </w:tr>
      <w:tr>
        <w:tc>
          <w:tcPr>
            <w:tcW w:type="dxa" w:w="240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r>
              <w:rPr>
                <w:rFonts w:ascii="Arial" w:cs="Arial" w:eastAsia="Arial" w:hAnsi="Arial"/>
                <w:b/>
                <w:bCs/>
                <w:color w:val="1A1A2E"/>
                <w:sz w:val="20"/>
                <w:szCs w:val="20"/>
              </w:rPr>
              <w:t xml:space="preserve">Minimalist Keychain</w:t>
            </w:r>
          </w:p>
        </w:tc>
        <w:tc>
          <w:tcPr>
            <w:tcW w:type="dxa" w:w="160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pPr>
              <w:jc w:val="center"/>
            </w:pPr>
            <w:r>
              <w:rPr>
                <w:rFonts w:ascii="Arial" w:cs="Arial" w:eastAsia="Arial" w:hAnsi="Arial"/>
                <w:color w:val="4A5568"/>
                <w:sz w:val="20"/>
                <w:szCs w:val="20"/>
              </w:rPr>
              <w:t xml:space="preserve">Merchandise</w:t>
            </w:r>
          </w:p>
        </w:tc>
        <w:tc>
          <w:tcPr>
            <w:tcW w:type="dxa" w:w="120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pPr>
              <w:jc w:val="center"/>
            </w:pPr>
            <w:r>
              <w:rPr>
                <w:rFonts w:ascii="Arial" w:cs="Arial" w:eastAsia="Arial" w:hAnsi="Arial"/>
                <w:color w:val="9B2226"/>
                <w:sz w:val="20"/>
                <w:szCs w:val="20"/>
              </w:rPr>
              <w:t xml:space="preserve">12.0%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$27.37</w:t>
            </w:r>
          </w:p>
        </w:tc>
        <w:tc>
          <w:tcPr>
            <w:tcW w:type="dxa" w:w="1200"/>
            <w:tcBorders>
              <w:top w:val="single" w:color="DDDDDD" w:sz="1"/>
              <w:left w:val="single" w:color="DDDDDD" w:sz="1"/>
              <w:bottom w:val="single" w:color="DDDDDD" w:sz="1"/>
              <w:right w:val="single" w:color="DDDDDD" w:sz="1"/>
            </w:tcBorders>
            <w:shd w:fill="D8F3DC" w:val="clear"/>
            <w:tcMar>
              <w:top w:type="dxa" w:w="80"/>
              <w:left w:type="dxa" w:w="120"/>
              <w:bottom w:type="dxa" w:w="80"/>
              <w:right w:type="dxa" w:w="120"/>
            </w:tcMar>
          </w:tcPr>
          <w:p>
            <w:pPr>
              <w:jc w:val="center"/>
            </w:pPr>
            <w:r>
              <w:rPr>
                <w:rFonts w:ascii="Arial" w:cs="Arial" w:eastAsia="Arial" w:hAnsi="Arial"/>
                <w:color w:val="2D6A4F"/>
                <w:sz w:val="20"/>
                <w:szCs w:val="20"/>
              </w:rPr>
              <w:t xml:space="preserve">$37.06</w:t>
            </w:r>
          </w:p>
        </w:tc>
        <w:tc>
          <w:tcPr>
            <w:tcW w:type="dxa" w:w="176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pPr>
              <w:jc w:val="center"/>
            </w:pPr>
            <w:r>
              <w:rPr>
                <w:rFonts w:ascii="Arial" w:cs="Arial" w:eastAsia="Arial" w:hAnsi="Arial"/>
                <w:color w:val="9B2226"/>
                <w:sz w:val="20"/>
                <w:szCs w:val="20"/>
              </w:rPr>
              <w:t xml:space="preserve">+35.4% → $37.06</w:t>
            </w:r>
          </w:p>
        </w:tc>
      </w:tr>
      <w:tr>
        <w:tc>
          <w:tcPr>
            <w:tcW w:type="dxa" w:w="240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r>
              <w:rPr>
                <w:rFonts w:ascii="Arial" w:cs="Arial" w:eastAsia="Arial" w:hAnsi="Arial"/>
                <w:b/>
                <w:bCs/>
                <w:color w:val="1A1A2E"/>
                <w:sz w:val="20"/>
                <w:szCs w:val="20"/>
              </w:rPr>
              <w:t xml:space="preserve">Logo Hoodie (Black)</w:t>
            </w:r>
          </w:p>
        </w:tc>
        <w:tc>
          <w:tcPr>
            <w:tcW w:type="dxa" w:w="160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pPr>
              <w:jc w:val="center"/>
            </w:pPr>
            <w:r>
              <w:rPr>
                <w:rFonts w:ascii="Arial" w:cs="Arial" w:eastAsia="Arial" w:hAnsi="Arial"/>
                <w:color w:val="4A5568"/>
                <w:sz w:val="20"/>
                <w:szCs w:val="20"/>
              </w:rPr>
              <w:t xml:space="preserve">Merchandise</w:t>
            </w:r>
          </w:p>
        </w:tc>
        <w:tc>
          <w:tcPr>
            <w:tcW w:type="dxa" w:w="120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pPr>
              <w:jc w:val="center"/>
            </w:pPr>
            <w:r>
              <w:rPr>
                <w:rFonts w:ascii="Arial" w:cs="Arial" w:eastAsia="Arial" w:hAnsi="Arial"/>
                <w:color w:val="9B2226"/>
                <w:sz w:val="20"/>
                <w:szCs w:val="20"/>
              </w:rPr>
              <w:t xml:space="preserve">12.0%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$15.23</w:t>
            </w:r>
          </w:p>
        </w:tc>
        <w:tc>
          <w:tcPr>
            <w:tcW w:type="dxa" w:w="1200"/>
            <w:tcBorders>
              <w:top w:val="single" w:color="DDDDDD" w:sz="1"/>
              <w:left w:val="single" w:color="DDDDDD" w:sz="1"/>
              <w:bottom w:val="single" w:color="DDDDDD" w:sz="1"/>
              <w:right w:val="single" w:color="DDDDDD" w:sz="1"/>
            </w:tcBorders>
            <w:shd w:fill="D8F3DC" w:val="clear"/>
            <w:tcMar>
              <w:top w:type="dxa" w:w="80"/>
              <w:left w:type="dxa" w:w="120"/>
              <w:bottom w:type="dxa" w:w="80"/>
              <w:right w:type="dxa" w:w="120"/>
            </w:tcMar>
          </w:tcPr>
          <w:p>
            <w:pPr>
              <w:jc w:val="center"/>
            </w:pPr>
            <w:r>
              <w:rPr>
                <w:rFonts w:ascii="Arial" w:cs="Arial" w:eastAsia="Arial" w:hAnsi="Arial"/>
                <w:color w:val="2D6A4F"/>
                <w:sz w:val="20"/>
                <w:szCs w:val="20"/>
              </w:rPr>
              <w:t xml:space="preserve">$20.61</w:t>
            </w:r>
          </w:p>
        </w:tc>
        <w:tc>
          <w:tcPr>
            <w:tcW w:type="dxa" w:w="176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pPr>
              <w:jc w:val="center"/>
            </w:pPr>
            <w:r>
              <w:rPr>
                <w:rFonts w:ascii="Arial" w:cs="Arial" w:eastAsia="Arial" w:hAnsi="Arial"/>
                <w:color w:val="9B2226"/>
                <w:sz w:val="20"/>
                <w:szCs w:val="20"/>
              </w:rPr>
              <w:t xml:space="preserve">+35.3% → $20.61</w:t>
            </w:r>
          </w:p>
        </w:tc>
      </w:tr>
      <w:tr>
        <w:tc>
          <w:tcPr>
            <w:tcW w:type="dxa" w:w="24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r>
              <w:rPr>
                <w:rFonts w:ascii="Arial" w:cs="Arial" w:eastAsia="Arial" w:hAnsi="Arial"/>
                <w:b/>
                <w:bCs/>
                <w:color w:val="1A1A2E"/>
                <w:sz w:val="20"/>
                <w:szCs w:val="20"/>
              </w:rPr>
              <w:t xml:space="preserve">Gooseneck Electric Kettle</w:t>
            </w:r>
          </w:p>
        </w:tc>
        <w:tc>
          <w:tcPr>
            <w:tcW w:type="dxa" w:w="16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color w:val="4A5568"/>
                <w:sz w:val="20"/>
                <w:szCs w:val="20"/>
              </w:rPr>
              <w:t xml:space="preserve">Accessories</w:t>
            </w:r>
          </w:p>
        </w:tc>
        <w:tc>
          <w:tcPr>
            <w:tcW w:type="dxa" w:w="12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color w:val="7B4F12"/>
                <w:sz w:val="20"/>
                <w:szCs w:val="20"/>
              </w:rPr>
              <w:t xml:space="preserve">25.5%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$34.87</w:t>
            </w:r>
          </w:p>
        </w:tc>
        <w:tc>
          <w:tcPr>
            <w:tcW w:type="dxa" w:w="1200"/>
            <w:tcBorders>
              <w:top w:val="single" w:color="DDDDDD" w:sz="1"/>
              <w:left w:val="single" w:color="DDDDDD" w:sz="1"/>
              <w:bottom w:val="single" w:color="DDDDDD" w:sz="1"/>
              <w:right w:val="single" w:color="DDDDDD" w:sz="1"/>
            </w:tcBorders>
            <w:shd w:fill="D8F3DC" w:val="clear"/>
            <w:tcMar>
              <w:top w:type="dxa" w:w="80"/>
              <w:left w:type="dxa" w:w="120"/>
              <w:bottom w:type="dxa" w:w="80"/>
              <w:right w:type="dxa" w:w="120"/>
            </w:tcMar>
          </w:tcPr>
          <w:p>
            <w:pPr>
              <w:jc w:val="center"/>
            </w:pPr>
            <w:r>
              <w:rPr>
                <w:rFonts w:ascii="Arial" w:cs="Arial" w:eastAsia="Arial" w:hAnsi="Arial"/>
                <w:color w:val="2D6A4F"/>
                <w:sz w:val="20"/>
                <w:szCs w:val="20"/>
              </w:rPr>
              <w:t xml:space="preserve">$39.95</w:t>
            </w:r>
          </w:p>
        </w:tc>
        <w:tc>
          <w:tcPr>
            <w:tcW w:type="dxa" w:w="176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color w:val="7B4F12"/>
                <w:sz w:val="20"/>
                <w:szCs w:val="20"/>
              </w:rPr>
              <w:t xml:space="preserve">+14.6% → $39.95</w:t>
            </w:r>
          </w:p>
        </w:tc>
      </w:tr>
      <w:tr>
        <w:tc>
          <w:tcPr>
            <w:tcW w:type="dxa" w:w="24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r>
              <w:rPr>
                <w:rFonts w:ascii="Arial" w:cs="Arial" w:eastAsia="Arial" w:hAnsi="Arial"/>
                <w:b/>
                <w:bCs/>
                <w:color w:val="1A1A2E"/>
                <w:sz w:val="20"/>
                <w:szCs w:val="20"/>
              </w:rPr>
              <w:t xml:space="preserve">Branded Ceramic Mug (Large)</w:t>
            </w:r>
          </w:p>
        </w:tc>
        <w:tc>
          <w:tcPr>
            <w:tcW w:type="dxa" w:w="16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color w:val="4A5568"/>
                <w:sz w:val="20"/>
                <w:szCs w:val="20"/>
              </w:rPr>
              <w:t xml:space="preserve">Merchandise</w:t>
            </w:r>
          </w:p>
        </w:tc>
        <w:tc>
          <w:tcPr>
            <w:tcW w:type="dxa" w:w="12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color w:val="7B4F12"/>
                <w:sz w:val="20"/>
                <w:szCs w:val="20"/>
              </w:rPr>
              <w:t xml:space="preserve">28.0%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$43.20</w:t>
            </w:r>
          </w:p>
        </w:tc>
        <w:tc>
          <w:tcPr>
            <w:tcW w:type="dxa" w:w="1200"/>
            <w:tcBorders>
              <w:top w:val="single" w:color="DDDDDD" w:sz="1"/>
              <w:left w:val="single" w:color="DDDDDD" w:sz="1"/>
              <w:bottom w:val="single" w:color="DDDDDD" w:sz="1"/>
              <w:right w:val="single" w:color="DDDDDD" w:sz="1"/>
            </w:tcBorders>
            <w:shd w:fill="D8F3DC" w:val="clear"/>
            <w:tcMar>
              <w:top w:type="dxa" w:w="80"/>
              <w:left w:type="dxa" w:w="120"/>
              <w:bottom w:type="dxa" w:w="80"/>
              <w:right w:type="dxa" w:w="120"/>
            </w:tcMar>
          </w:tcPr>
          <w:p>
            <w:pPr>
              <w:jc w:val="center"/>
            </w:pPr>
            <w:r>
              <w:rPr>
                <w:rFonts w:ascii="Arial" w:cs="Arial" w:eastAsia="Arial" w:hAnsi="Arial"/>
                <w:color w:val="2D6A4F"/>
                <w:sz w:val="20"/>
                <w:szCs w:val="20"/>
              </w:rPr>
              <w:t xml:space="preserve">$47.86</w:t>
            </w:r>
          </w:p>
        </w:tc>
        <w:tc>
          <w:tcPr>
            <w:tcW w:type="dxa" w:w="176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color w:val="7B4F12"/>
                <w:sz w:val="20"/>
                <w:szCs w:val="20"/>
              </w:rPr>
              <w:t xml:space="preserve">+10.8% → $47.86</w:t>
            </w:r>
          </w:p>
        </w:tc>
      </w:tr>
      <w:tr>
        <w:tc>
          <w:tcPr>
            <w:tcW w:type="dxa" w:w="24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r>
              <w:rPr>
                <w:rFonts w:ascii="Arial" w:cs="Arial" w:eastAsia="Arial" w:hAnsi="Arial"/>
                <w:b/>
                <w:bCs/>
                <w:color w:val="1A1A2E"/>
                <w:sz w:val="20"/>
                <w:szCs w:val="20"/>
              </w:rPr>
              <w:t xml:space="preserve">Pour-Over Starter Kit</w:t>
            </w:r>
          </w:p>
        </w:tc>
        <w:tc>
          <w:tcPr>
            <w:tcW w:type="dxa" w:w="16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color w:val="4A5568"/>
                <w:sz w:val="20"/>
                <w:szCs w:val="20"/>
              </w:rPr>
              <w:t xml:space="preserve">Grinders &amp; Brewers</w:t>
            </w:r>
          </w:p>
        </w:tc>
        <w:tc>
          <w:tcPr>
            <w:tcW w:type="dxa" w:w="12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color w:val="7B4F12"/>
                <w:sz w:val="20"/>
                <w:szCs w:val="20"/>
              </w:rPr>
              <w:t xml:space="preserve">29.0%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$105.23</w:t>
            </w:r>
          </w:p>
        </w:tc>
        <w:tc>
          <w:tcPr>
            <w:tcW w:type="dxa" w:w="1200"/>
            <w:tcBorders>
              <w:top w:val="single" w:color="DDDDDD" w:sz="1"/>
              <w:left w:val="single" w:color="DDDDDD" w:sz="1"/>
              <w:bottom w:val="single" w:color="DDDDDD" w:sz="1"/>
              <w:right w:val="single" w:color="DDDDDD" w:sz="1"/>
            </w:tcBorders>
            <w:shd w:fill="D8F3DC" w:val="clear"/>
            <w:tcMar>
              <w:top w:type="dxa" w:w="80"/>
              <w:left w:type="dxa" w:w="120"/>
              <w:bottom w:type="dxa" w:w="80"/>
              <w:right w:type="dxa" w:w="120"/>
            </w:tcMar>
          </w:tcPr>
          <w:p>
            <w:pPr>
              <w:jc w:val="center"/>
            </w:pPr>
            <w:r>
              <w:rPr>
                <w:rFonts w:ascii="Arial" w:cs="Arial" w:eastAsia="Arial" w:hAnsi="Arial"/>
                <w:color w:val="2D6A4F"/>
                <w:sz w:val="20"/>
                <w:szCs w:val="20"/>
              </w:rPr>
              <w:t xml:space="preserve">$114.99</w:t>
            </w:r>
          </w:p>
        </w:tc>
        <w:tc>
          <w:tcPr>
            <w:tcW w:type="dxa" w:w="176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color w:val="7B4F12"/>
                <w:sz w:val="20"/>
                <w:szCs w:val="20"/>
              </w:rPr>
              <w:t xml:space="preserve">+9.3% → $114.99</w:t>
            </w:r>
          </w:p>
        </w:tc>
      </w:tr>
      <w:tr>
        <w:tc>
          <w:tcPr>
            <w:tcW w:type="dxa" w:w="24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r>
              <w:rPr>
                <w:rFonts w:ascii="Arial" w:cs="Arial" w:eastAsia="Arial" w:hAnsi="Arial"/>
                <w:b/>
                <w:bCs/>
                <w:color w:val="1A1A2E"/>
                <w:sz w:val="20"/>
                <w:szCs w:val="20"/>
              </w:rPr>
              <w:t xml:space="preserve">Digital Coffee Scale</w:t>
            </w:r>
          </w:p>
        </w:tc>
        <w:tc>
          <w:tcPr>
            <w:tcW w:type="dxa" w:w="16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color w:val="4A5568"/>
                <w:sz w:val="20"/>
                <w:szCs w:val="20"/>
              </w:rPr>
              <w:t xml:space="preserve">Accessories</w:t>
            </w:r>
          </w:p>
        </w:tc>
        <w:tc>
          <w:tcPr>
            <w:tcW w:type="dxa" w:w="12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color w:val="7B4F12"/>
                <w:sz w:val="20"/>
                <w:szCs w:val="20"/>
              </w:rPr>
              <w:t xml:space="preserve">29.8%</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$26.83*</w:t>
            </w:r>
          </w:p>
        </w:tc>
        <w:tc>
          <w:tcPr>
            <w:tcW w:type="dxa" w:w="1200"/>
            <w:tcBorders>
              <w:top w:val="single" w:color="DDDDDD" w:sz="1"/>
              <w:left w:val="single" w:color="DDDDDD" w:sz="1"/>
              <w:bottom w:val="single" w:color="DDDDDD" w:sz="1"/>
              <w:right w:val="single" w:color="DDDDDD" w:sz="1"/>
            </w:tcBorders>
            <w:shd w:fill="D8F3DC" w:val="clear"/>
            <w:tcMar>
              <w:top w:type="dxa" w:w="80"/>
              <w:left w:type="dxa" w:w="120"/>
              <w:bottom w:type="dxa" w:w="80"/>
              <w:right w:type="dxa" w:w="120"/>
            </w:tcMar>
          </w:tcPr>
          <w:p>
            <w:pPr>
              <w:jc w:val="center"/>
            </w:pPr>
            <w:r>
              <w:rPr>
                <w:rFonts w:ascii="Arial" w:cs="Arial" w:eastAsia="Arial" w:hAnsi="Arial"/>
                <w:color w:val="2D6A4F"/>
                <w:sz w:val="20"/>
                <w:szCs w:val="20"/>
              </w:rPr>
              <w:t xml:space="preserve">$29.90</w:t>
            </w:r>
          </w:p>
        </w:tc>
        <w:tc>
          <w:tcPr>
            <w:tcW w:type="dxa" w:w="176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color w:val="7B4F12"/>
                <w:sz w:val="20"/>
                <w:szCs w:val="20"/>
              </w:rPr>
              <w:t xml:space="preserve">+8.0% → $29.90</w:t>
            </w:r>
          </w:p>
        </w:tc>
      </w:tr>
    </w:tbl>
    <w:p>
      <w:pPr>
        <w:spacing w:before="80" w:after="0"/>
      </w:pPr>
      <w:r>
        <w:rPr>
          <w:rFonts w:ascii="Arial" w:cs="Arial" w:eastAsia="Arial" w:hAnsi="Arial"/>
        </w:rPr>
        <w:t xml:space="preserve"/>
      </w:r>
    </w:p>
    <w:p>
      <w:pPr>
        <w:spacing w:before="80" w:after="80"/>
      </w:pPr>
      <w:r>
        <w:rPr>
          <w:rFonts w:ascii="Arial" w:cs="Arial" w:eastAsia="Arial" w:hAnsi="Arial"/>
          <w:color w:val="4A5568"/>
          <w:sz w:val="22"/>
          <w:szCs w:val="22"/>
        </w:rPr>
        <w:t xml:space="preserve">* Digital Coffee Scale Q3 2025 average selling price derived from order-level revenue/quantity. Slightly below list price, suggesting discounting may be occurring.</w:t>
      </w:r>
    </w:p>
    <w:p>
      <w:pPr>
        <w:spacing w:before="12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2226" w:sz="12"/>
              <w:left w:val="single" w:color="9B2226" w:sz="12"/>
              <w:bottom w:val="single" w:color="CCCCCC" w:sz="1"/>
              <w:right w:val="single" w:color="CCCCCC" w:sz="1"/>
            </w:tcBorders>
            <w:shd w:fill="FFCCD5" w:val="clear"/>
            <w:tcMar>
              <w:top w:type="dxa" w:w="120"/>
              <w:left w:type="dxa" w:w="200"/>
              <w:bottom w:type="dxa" w:w="120"/>
              <w:right w:type="dxa" w:w="200"/>
            </w:tcMar>
          </w:tcPr>
          <w:p>
            <w:r>
              <w:rPr>
                <w:rFonts w:ascii="Arial" w:cs="Arial" w:eastAsia="Arial" w:hAnsi="Arial"/>
                <w:b/>
                <w:bCs/>
                <w:color w:val="9B2226"/>
                <w:sz w:val="20"/>
                <w:szCs w:val="20"/>
              </w:rPr>
              <w:t xml:space="preserve">💰 Total Profit at Risk — Q3 2025</w:t>
            </w:r>
          </w:p>
          <w:p>
            <w:r>
              <w:rPr>
                <w:rFonts w:ascii="Arial" w:cs="Arial" w:eastAsia="Arial" w:hAnsi="Arial"/>
                <w:color w:val="4A5568"/>
                <w:sz w:val="20"/>
                <w:szCs w:val="20"/>
              </w:rPr>
              <w:t xml:space="preserve">Across all sub-30% GMP products in Q3 2025, the gap between current performance and the 35% target represents approximately $969 in lost gross profit for the quarter alone. Annualized, this equates to nearly $3,900 in avoidable margin leakage from these products — before accounting for the broader portfolio items between 30%–35% that are also below target.</w:t>
            </w:r>
          </w:p>
        </w:tc>
      </w:tr>
    </w:tbl>
    <w:p>
      <w:pPr>
        <w:spacing w:before="120" w:after="0"/>
      </w:pPr>
      <w:r>
        <w:rPr>
          <w:rFonts w:ascii="Arial" w:cs="Arial" w:eastAsia="Arial" w:hAnsi="Arial"/>
        </w:rPr>
        <w:t xml:space="preserve"/>
      </w:r>
    </w:p>
    <w:p>
      <w:pPr>
        <w:pStyle w:val="Heading1"/>
        <w:spacing w:before="360" w:after="180"/>
      </w:pPr>
      <w:r>
        <w:rPr>
          <w:rFonts w:ascii="Arial" w:cs="Arial" w:eastAsia="Arial" w:hAnsi="Arial"/>
          <w:b/>
          <w:bCs/>
          <w:color w:val="1A1A2E"/>
          <w:sz w:val="36"/>
          <w:szCs w:val="36"/>
        </w:rPr>
        <w:t xml:space="preserve">6. Recommendations</w:t>
      </w:r>
    </w:p>
    <w:p>
      <w:pPr>
        <w:spacing w:before="80" w:after="80"/>
      </w:pPr>
      <w:r>
        <w:rPr>
          <w:rFonts w:ascii="Arial" w:cs="Arial" w:eastAsia="Arial" w:hAnsi="Arial"/>
          <w:color w:val="4A5568"/>
          <w:sz w:val="22"/>
          <w:szCs w:val="22"/>
        </w:rPr>
        <w:t xml:space="preserve">Based on the margin audit, trend analysis, and pricing model, the following actions are organized into three tiers based on urgency and type of intervention required.</w:t>
      </w:r>
    </w:p>
    <w:p>
      <w:pPr>
        <w:spacing w:before="120" w:after="0"/>
      </w:pPr>
      <w:r>
        <w:rPr>
          <w:rFonts w:ascii="Arial" w:cs="Arial" w:eastAsia="Arial" w:hAnsi="Arial"/>
        </w:rPr>
        <w:t xml:space="preserve"/>
      </w:r>
    </w:p>
    <w:p>
      <w:pPr>
        <w:pStyle w:val="Heading2"/>
        <w:pBdr>
          <w:bottom w:val="single" w:color="00B4D8" w:sz="4" w:space="4"/>
        </w:pBdr>
        <w:spacing w:before="300" w:after="120"/>
      </w:pPr>
      <w:r>
        <w:rPr>
          <w:rFonts w:ascii="Arial" w:cs="Arial" w:eastAsia="Arial" w:hAnsi="Arial"/>
          <w:b/>
          <w:bCs/>
          <w:color w:val="0F3460"/>
          <w:sz w:val="28"/>
          <w:szCs w:val="28"/>
        </w:rPr>
        <w:t xml:space="preserve">6.1 Immediate Price Increases (Implement Within 30 Days)</w:t>
      </w:r>
    </w:p>
    <w:p>
      <w:pPr>
        <w:spacing w:before="80" w:after="80"/>
      </w:pPr>
      <w:r>
        <w:rPr>
          <w:rFonts w:ascii="Arial" w:cs="Arial" w:eastAsia="Arial" w:hAnsi="Arial"/>
          <w:color w:val="4A5568"/>
          <w:sz w:val="22"/>
          <w:szCs w:val="22"/>
        </w:rPr>
        <w:t xml:space="preserve">The three products below 15% GMP represent the most urgent cases. These are not close to breakeven on margin — they are severely underpriced relative to cost. A price increase of 35%+ is mathematically required to reach the 35% GMP floor. The recommended approach is to implement the increase in two steps to soften customer impact.</w:t>
      </w:r>
    </w:p>
    <w:p>
      <w:pPr>
        <w:spacing w:before="80" w:after="0"/>
      </w:pPr>
      <w:r>
        <w:rPr>
          <w:rFonts w:ascii="Arial" w:cs="Arial" w:eastAsia="Arial" w:hAnsi="Arial"/>
        </w:rPr>
        <w:t xml:space="preserve"/>
      </w:r>
    </w:p>
    <w:p>
      <w:pPr>
        <w:pStyle w:val="Heading3"/>
        <w:spacing w:before="240" w:after="100"/>
      </w:pPr>
      <w:r>
        <w:rPr>
          <w:rFonts w:ascii="Arial" w:cs="Arial" w:eastAsia="Arial" w:hAnsi="Arial"/>
          <w:b/>
          <w:bCs/>
          <w:color w:val="16213E"/>
          <w:sz w:val="24"/>
          <w:szCs w:val="24"/>
        </w:rPr>
        <w:t xml:space="preserve">Chemex Filters (100 pack) — Current: $24.10 → Target: $32.63</w:t>
      </w:r>
    </w:p>
    <w:p>
      <w:pPr>
        <w:spacing w:before="80" w:after="80"/>
      </w:pPr>
      <w:r>
        <w:rPr>
          <w:rFonts w:ascii="Arial" w:cs="Arial" w:eastAsia="Arial" w:hAnsi="Arial"/>
          <w:color w:val="4A5568"/>
          <w:sz w:val="22"/>
          <w:szCs w:val="22"/>
        </w:rPr>
        <w:t xml:space="preserve">Chemex filters carry a 12% gross margin — the lowest in the accessories category and among the lowest in the entire portfolio. The product’s high COGS-to-price ratio suggests the original pricing was set without adequate margin discipline. Filters are a consumable that customers repurchase regularly, meaning price sensitivity is moderate — loyal customers are unlikely to churn over a well-communicated price adjustment. Recommended action: Raise to $28.50 immediately (Step 1), then to $32.63 within 60 days (Step 2). Frame the increase around quality and sourcing.</w:t>
      </w:r>
    </w:p>
    <w:p>
      <w:pPr>
        <w:spacing w:before="60" w:after="0"/>
      </w:pPr>
      <w:r>
        <w:rPr>
          <w:rFonts w:ascii="Arial" w:cs="Arial" w:eastAsia="Arial" w:hAnsi="Arial"/>
        </w:rPr>
        <w:t xml:space="preserve"/>
      </w:r>
    </w:p>
    <w:p>
      <w:pPr>
        <w:pStyle w:val="Heading3"/>
        <w:spacing w:before="240" w:after="100"/>
      </w:pPr>
      <w:r>
        <w:rPr>
          <w:rFonts w:ascii="Arial" w:cs="Arial" w:eastAsia="Arial" w:hAnsi="Arial"/>
          <w:b/>
          <w:bCs/>
          <w:color w:val="16213E"/>
          <w:sz w:val="24"/>
          <w:szCs w:val="24"/>
        </w:rPr>
        <w:t xml:space="preserve">Logo Hoodie (Black) — Current: $15.23 → Target: $20.61</w:t>
      </w:r>
    </w:p>
    <w:p>
      <w:pPr>
        <w:spacing w:before="80" w:after="80"/>
      </w:pPr>
      <w:r>
        <w:rPr>
          <w:rFonts w:ascii="Arial" w:cs="Arial" w:eastAsia="Arial" w:hAnsi="Arial"/>
          <w:color w:val="4A5568"/>
          <w:sz w:val="22"/>
          <w:szCs w:val="22"/>
        </w:rPr>
        <w:t xml:space="preserve">At a 12% gross margin and a $15.23 price point, the Logo Hoodie is almost certainly the most brand-damaging item in the range. Premium branded apparel priced below $20 signals low quality to consumers and undermines the brand’s specialty coffee positioning. A price increase to $20.61 actually strengthens the brand story while recovering margin. Alternatively, if the increase creates resistance, this SKU is a strong discontinuation candidate — $1.8K in 2025 revenue with negligible profit contribution does not justify its place in the catalog.</w:t>
      </w:r>
    </w:p>
    <w:p>
      <w:pPr>
        <w:spacing w:before="60" w:after="0"/>
      </w:pPr>
      <w:r>
        <w:rPr>
          <w:rFonts w:ascii="Arial" w:cs="Arial" w:eastAsia="Arial" w:hAnsi="Arial"/>
        </w:rPr>
        <w:t xml:space="preserve"/>
      </w:r>
    </w:p>
    <w:p>
      <w:pPr>
        <w:pStyle w:val="Heading3"/>
        <w:spacing w:before="240" w:after="100"/>
      </w:pPr>
      <w:r>
        <w:rPr>
          <w:rFonts w:ascii="Arial" w:cs="Arial" w:eastAsia="Arial" w:hAnsi="Arial"/>
          <w:b/>
          <w:bCs/>
          <w:color w:val="16213E"/>
          <w:sz w:val="24"/>
          <w:szCs w:val="24"/>
        </w:rPr>
        <w:t xml:space="preserve">Minimalist Keychain — Current: $27.37 → Target: $37.06 (OR Discontinue)</w:t>
      </w:r>
    </w:p>
    <w:p>
      <w:pPr>
        <w:spacing w:before="80" w:after="80"/>
      </w:pPr>
      <w:r>
        <w:rPr>
          <w:rFonts w:ascii="Arial" w:cs="Arial" w:eastAsia="Arial" w:hAnsi="Arial"/>
          <w:color w:val="4A5568"/>
          <w:sz w:val="22"/>
          <w:szCs w:val="22"/>
        </w:rPr>
        <w:t xml:space="preserve">The Minimalist Keychain is the clearest discontinuation candidate in the portfolio. At 12% gross margin with modest revenue ($3,613 in 2025), a 35% price increase to $37.06 would make it one of the most expensive keychains in the specialty retail space — a difficult sell for an impulse-buy category. Unless the keychain serves a meaningful brand role (gift-with-purchase, loyalty program item), it should be phased out and replaced with a higher-margin branded accessory.</w:t>
      </w:r>
    </w:p>
    <w:p>
      <w:pPr>
        <w:spacing w:before="120" w:after="0"/>
      </w:pPr>
      <w:r>
        <w:rPr>
          <w:rFonts w:ascii="Arial" w:cs="Arial" w:eastAsia="Arial" w:hAnsi="Arial"/>
        </w:rPr>
        <w:t xml:space="preserve"/>
      </w:r>
    </w:p>
    <w:p>
      <w:pPr>
        <w:pStyle w:val="Heading2"/>
        <w:pBdr>
          <w:bottom w:val="single" w:color="00B4D8" w:sz="4" w:space="4"/>
        </w:pBdr>
        <w:spacing w:before="300" w:after="120"/>
      </w:pPr>
      <w:r>
        <w:rPr>
          <w:rFonts w:ascii="Arial" w:cs="Arial" w:eastAsia="Arial" w:hAnsi="Arial"/>
          <w:b/>
          <w:bCs/>
          <w:color w:val="0F3460"/>
          <w:sz w:val="28"/>
          <w:szCs w:val="28"/>
        </w:rPr>
        <w:t xml:space="preserve">6.2 Moderate Price Adjustments (Implement Within 60 Days)</w:t>
      </w:r>
    </w:p>
    <w:p>
      <w:pPr>
        <w:spacing w:before="80" w:after="80"/>
      </w:pPr>
      <w:r>
        <w:rPr>
          <w:rFonts w:ascii="Arial" w:cs="Arial" w:eastAsia="Arial" w:hAnsi="Arial"/>
          <w:color w:val="4A5568"/>
          <w:sz w:val="22"/>
          <w:szCs w:val="22"/>
        </w:rPr>
        <w:t xml:space="preserve">The four products between 25%–30% GMP require meaningful price increases but face less urgency than the critical tier. These are more established products where customer elasticity must be factored into the increase strategy.</w:t>
      </w:r>
    </w:p>
    <w:p>
      <w:pPr>
        <w:spacing w:before="80" w:after="0"/>
      </w:pPr>
      <w:r>
        <w:rPr>
          <w:rFonts w:ascii="Arial" w:cs="Arial" w:eastAsia="Arial" w:hAnsi="Arial"/>
        </w:rPr>
        <w:t xml:space="preserve"/>
      </w:r>
    </w:p>
    <w:p>
      <w:pPr>
        <w:pStyle w:val="Heading3"/>
        <w:spacing w:before="240" w:after="100"/>
      </w:pPr>
      <w:r>
        <w:rPr>
          <w:rFonts w:ascii="Arial" w:cs="Arial" w:eastAsia="Arial" w:hAnsi="Arial"/>
          <w:b/>
          <w:bCs/>
          <w:color w:val="16213E"/>
          <w:sz w:val="24"/>
          <w:szCs w:val="24"/>
        </w:rPr>
        <w:t xml:space="preserve">Gooseneck Electric Kettle — Current: $34.87 → Target: $39.95</w:t>
      </w:r>
    </w:p>
    <w:p>
      <w:pPr>
        <w:spacing w:before="80" w:after="80"/>
      </w:pPr>
      <w:r>
        <w:rPr>
          <w:rFonts w:ascii="Arial" w:cs="Arial" w:eastAsia="Arial" w:hAnsi="Arial"/>
          <w:color w:val="4A5568"/>
          <w:sz w:val="22"/>
          <w:szCs w:val="22"/>
        </w:rPr>
        <w:t xml:space="preserve">A 14.6% price increase on the Gooseneck Electric Kettle is well within market norms for this product category. Comparable premium kettles from specialty brands retail between $40–$60. Positioning the new price alongside quality messaging (“Precision pour, built for serious coffee”) will frame the increase as value-based rather than arbitrary. This product has the highest Q3 2025 revenue among the amber tier ($1,464 combined), making it a priority fix.</w:t>
      </w:r>
    </w:p>
    <w:p>
      <w:pPr>
        <w:spacing w:before="60" w:after="0"/>
      </w:pPr>
      <w:r>
        <w:rPr>
          <w:rFonts w:ascii="Arial" w:cs="Arial" w:eastAsia="Arial" w:hAnsi="Arial"/>
        </w:rPr>
        <w:t xml:space="preserve"/>
      </w:r>
    </w:p>
    <w:p>
      <w:pPr>
        <w:pStyle w:val="Heading3"/>
        <w:spacing w:before="240" w:after="100"/>
      </w:pPr>
      <w:r>
        <w:rPr>
          <w:rFonts w:ascii="Arial" w:cs="Arial" w:eastAsia="Arial" w:hAnsi="Arial"/>
          <w:b/>
          <w:bCs/>
          <w:color w:val="16213E"/>
          <w:sz w:val="24"/>
          <w:szCs w:val="24"/>
        </w:rPr>
        <w:t xml:space="preserve">Branded Ceramic Mug (Large) — Current: $43.20 → Target: $47.86</w:t>
      </w:r>
    </w:p>
    <w:p>
      <w:pPr>
        <w:spacing w:before="80" w:after="80"/>
      </w:pPr>
      <w:r>
        <w:rPr>
          <w:rFonts w:ascii="Arial" w:cs="Arial" w:eastAsia="Arial" w:hAnsi="Arial"/>
          <w:color w:val="4A5568"/>
          <w:sz w:val="22"/>
          <w:szCs w:val="22"/>
        </w:rPr>
        <w:t xml:space="preserve">The Branded Ceramic Mug sits just below 28% GMP in Q3 2025 and has been declining consistently since 2023. A 10.8% increase to $47.86 is modest and aligns with typical branded ceramic mug pricing at specialty cafes and online retail. This item likely has strong brand attachment, making a price increase defensible. Consider bundling with a coffee sampler to soften the perception of the change.</w:t>
      </w:r>
    </w:p>
    <w:p>
      <w:pPr>
        <w:spacing w:before="60" w:after="0"/>
      </w:pPr>
      <w:r>
        <w:rPr>
          <w:rFonts w:ascii="Arial" w:cs="Arial" w:eastAsia="Arial" w:hAnsi="Arial"/>
        </w:rPr>
        <w:t xml:space="preserve"/>
      </w:r>
    </w:p>
    <w:p>
      <w:pPr>
        <w:pStyle w:val="Heading3"/>
        <w:spacing w:before="240" w:after="100"/>
      </w:pPr>
      <w:r>
        <w:rPr>
          <w:rFonts w:ascii="Arial" w:cs="Arial" w:eastAsia="Arial" w:hAnsi="Arial"/>
          <w:b/>
          <w:bCs/>
          <w:color w:val="16213E"/>
          <w:sz w:val="24"/>
          <w:szCs w:val="24"/>
        </w:rPr>
        <w:t xml:space="preserve">Pour-Over Starter Kit — Current: $105.23 → Target: $114.99</w:t>
      </w:r>
    </w:p>
    <w:p>
      <w:pPr>
        <w:spacing w:before="80" w:after="80"/>
      </w:pPr>
      <w:r>
        <w:rPr>
          <w:rFonts w:ascii="Arial" w:cs="Arial" w:eastAsia="Arial" w:hAnsi="Arial"/>
          <w:color w:val="4A5568"/>
          <w:sz w:val="22"/>
          <w:szCs w:val="22"/>
        </w:rPr>
        <w:t xml:space="preserve">At $105, the Pour-Over Starter Kit is a considered purchase — customers are comparing it against alternatives. The 9.3% price increase to $114.99 brings it closer to market rate for comparable kits from Hario, Chemex, and Fellow. Given that this is the largest-revenue item in the amber tier ($13,364 in 2025), even partial margin recovery has a meaningful dollar impact. This increase should be paired with enhanced product photography and description to justify the premium.</w:t>
      </w:r>
    </w:p>
    <w:p>
      <w:pPr>
        <w:spacing w:before="60" w:after="0"/>
      </w:pPr>
      <w:r>
        <w:rPr>
          <w:rFonts w:ascii="Arial" w:cs="Arial" w:eastAsia="Arial" w:hAnsi="Arial"/>
        </w:rPr>
        <w:t xml:space="preserve"/>
      </w:r>
    </w:p>
    <w:p>
      <w:pPr>
        <w:pStyle w:val="Heading3"/>
        <w:spacing w:before="240" w:after="100"/>
      </w:pPr>
      <w:r>
        <w:rPr>
          <w:rFonts w:ascii="Arial" w:cs="Arial" w:eastAsia="Arial" w:hAnsi="Arial"/>
          <w:b/>
          <w:bCs/>
          <w:color w:val="16213E"/>
          <w:sz w:val="24"/>
          <w:szCs w:val="24"/>
        </w:rPr>
        <w:t xml:space="preserve">Digital Coffee Scale — Current: ~$26.83 → Target: ~$29.90</w:t>
      </w:r>
    </w:p>
    <w:p>
      <w:pPr>
        <w:spacing w:before="80" w:after="80"/>
      </w:pPr>
      <w:r>
        <w:rPr>
          <w:rFonts w:ascii="Arial" w:cs="Arial" w:eastAsia="Arial" w:hAnsi="Arial"/>
          <w:color w:val="4A5568"/>
          <w:sz w:val="22"/>
          <w:szCs w:val="22"/>
        </w:rPr>
        <w:t xml:space="preserve">The Digital Coffee Scale is the closest product to the 30% threshold and requires the smallest price adjustment (+8%). At $29.90, it remains competitively priced against specialty coffee scales. However, the fact that its effective selling price is slightly below list suggests discounting practices may be active — tightening discount policy alone could recover a meaningful portion of the margin gap before a formal list price change is required.</w:t>
      </w:r>
    </w:p>
    <w:p>
      <w:pPr>
        <w:spacing w:before="120" w:after="0"/>
      </w:pPr>
      <w:r>
        <w:rPr>
          <w:rFonts w:ascii="Arial" w:cs="Arial" w:eastAsia="Arial" w:hAnsi="Arial"/>
        </w:rPr>
        <w:t xml:space="preserve"/>
      </w:r>
    </w:p>
    <w:p>
      <w:pPr>
        <w:pStyle w:val="Heading2"/>
        <w:pBdr>
          <w:bottom w:val="single" w:color="00B4D8" w:sz="4" w:space="4"/>
        </w:pBdr>
        <w:spacing w:before="300" w:after="120"/>
      </w:pPr>
      <w:r>
        <w:rPr>
          <w:rFonts w:ascii="Arial" w:cs="Arial" w:eastAsia="Arial" w:hAnsi="Arial"/>
          <w:b/>
          <w:bCs/>
          <w:color w:val="0F3460"/>
          <w:sz w:val="28"/>
          <w:szCs w:val="28"/>
        </w:rPr>
        <w:t xml:space="preserve">6.3 Portfolio-Wide Strategic Recommendations</w:t>
      </w:r>
    </w:p>
    <w:p>
      <w:pPr>
        <w:spacing w:before="80" w:after="0"/>
      </w:pPr>
      <w:r>
        <w:rPr>
          <w:rFonts w:ascii="Arial" w:cs="Arial" w:eastAsia="Arial" w:hAnsi="Arial"/>
        </w:rPr>
        <w:t xml:space="preserve"/>
      </w:r>
    </w:p>
    <w:p>
      <w:pPr>
        <w:pStyle w:val="Heading3"/>
        <w:spacing w:before="240" w:after="100"/>
      </w:pPr>
      <w:r>
        <w:rPr>
          <w:rFonts w:ascii="Arial" w:cs="Arial" w:eastAsia="Arial" w:hAnsi="Arial"/>
          <w:b/>
          <w:bCs/>
          <w:color w:val="16213E"/>
          <w:sz w:val="24"/>
          <w:szCs w:val="24"/>
        </w:rPr>
        <w:t xml:space="preserve">Protect and Invest in Subscriptions</w:t>
      </w:r>
    </w:p>
    <w:p>
      <w:pPr>
        <w:spacing w:before="80" w:after="80"/>
      </w:pPr>
      <w:r>
        <w:rPr>
          <w:rFonts w:ascii="Arial" w:cs="Arial" w:eastAsia="Arial" w:hAnsi="Arial"/>
          <w:color w:val="4A5568"/>
          <w:sz w:val="22"/>
          <w:szCs w:val="22"/>
        </w:rPr>
        <w:t xml:space="preserve">Subscriptions are the highest-margin category at 63% GMP in 2025 and have shown the most resilience to margin erosion. The Bi-Weekly Sampler Box (72.5% GMP) and Espresso Lovers Quarterly Pack (73.7% GMP) are among the best-performing SKUs in the entire portfolio. Leadership should prioritize customer acquisition and retention in this category through loyalty perks, referral incentives, and gifting campaigns (particularly around the Three-Month Gift Subscription).</w:t>
      </w:r>
    </w:p>
    <w:p>
      <w:pPr>
        <w:spacing w:before="80" w:after="0"/>
      </w:pPr>
      <w:r>
        <w:rPr>
          <w:rFonts w:ascii="Arial" w:cs="Arial" w:eastAsia="Arial" w:hAnsi="Arial"/>
        </w:rPr>
        <w:t xml:space="preserve"/>
      </w:r>
    </w:p>
    <w:p>
      <w:pPr>
        <w:pStyle w:val="Heading3"/>
        <w:spacing w:before="240" w:after="100"/>
      </w:pPr>
      <w:r>
        <w:rPr>
          <w:rFonts w:ascii="Arial" w:cs="Arial" w:eastAsia="Arial" w:hAnsi="Arial"/>
          <w:b/>
          <w:bCs/>
          <w:color w:val="16213E"/>
          <w:sz w:val="24"/>
          <w:szCs w:val="24"/>
        </w:rPr>
        <w:t xml:space="preserve">Leverage the Seasonal Blend Light Roast</w:t>
      </w:r>
    </w:p>
    <w:p>
      <w:pPr>
        <w:spacing w:before="80" w:after="80"/>
      </w:pPr>
      <w:r>
        <w:rPr>
          <w:rFonts w:ascii="Arial" w:cs="Arial" w:eastAsia="Arial" w:hAnsi="Arial"/>
          <w:color w:val="4A5568"/>
          <w:sz w:val="22"/>
          <w:szCs w:val="22"/>
        </w:rPr>
        <w:t xml:space="preserve">The Seasonal Blend Light Roast carries an extraordinary 82.6% gross margin in 2025 — the highest in the portfolio by a significant margin. This suggests either a very favorable cost structure or premium pricing power. Marketing investment here (limited-edition packaging, storytelling around origin) could drive volume without any margin risk, dramatically improving blended GMP.</w:t>
      </w:r>
    </w:p>
    <w:p>
      <w:pPr>
        <w:spacing w:before="80" w:after="0"/>
      </w:pPr>
      <w:r>
        <w:rPr>
          <w:rFonts w:ascii="Arial" w:cs="Arial" w:eastAsia="Arial" w:hAnsi="Arial"/>
        </w:rPr>
        <w:t xml:space="preserve"/>
      </w:r>
    </w:p>
    <w:p>
      <w:pPr>
        <w:pStyle w:val="Heading3"/>
        <w:spacing w:before="240" w:after="100"/>
      </w:pPr>
      <w:r>
        <w:rPr>
          <w:rFonts w:ascii="Arial" w:cs="Arial" w:eastAsia="Arial" w:hAnsi="Arial"/>
          <w:b/>
          <w:bCs/>
          <w:color w:val="16213E"/>
          <w:sz w:val="24"/>
          <w:szCs w:val="24"/>
        </w:rPr>
        <w:t xml:space="preserve">Investigate Merchandise as a Category</w:t>
      </w:r>
    </w:p>
    <w:p>
      <w:pPr>
        <w:spacing w:before="80" w:after="80"/>
      </w:pPr>
      <w:r>
        <w:rPr>
          <w:rFonts w:ascii="Arial" w:cs="Arial" w:eastAsia="Arial" w:hAnsi="Arial"/>
          <w:color w:val="4A5568"/>
          <w:sz w:val="22"/>
          <w:szCs w:val="22"/>
        </w:rPr>
        <w:t xml:space="preserve">The Merchandise category has the lowest overall GMP at 36.1% in 2025, and three of its five SKUs fall into critical or amber margin territory. The category may be worth auditing holistically: if branded merchandise is not driving meaningful customer acquisition or brand affinity, the range should be rationalized down to only the highest-margin items (the Insulated Travel Tumbler at 51.9% and the Daily Grind T-Shirt at 61.4% are the clear keepers).</w:t>
      </w:r>
    </w:p>
    <w:p>
      <w:pPr>
        <w:spacing w:before="80" w:after="0"/>
      </w:pPr>
      <w:r>
        <w:rPr>
          <w:rFonts w:ascii="Arial" w:cs="Arial" w:eastAsia="Arial" w:hAnsi="Arial"/>
        </w:rPr>
        <w:t xml:space="preserve"/>
      </w:r>
    </w:p>
    <w:p>
      <w:pPr>
        <w:pStyle w:val="Heading3"/>
        <w:spacing w:before="240" w:after="100"/>
      </w:pPr>
      <w:r>
        <w:rPr>
          <w:rFonts w:ascii="Arial" w:cs="Arial" w:eastAsia="Arial" w:hAnsi="Arial"/>
          <w:b/>
          <w:bCs/>
          <w:color w:val="16213E"/>
          <w:sz w:val="24"/>
          <w:szCs w:val="24"/>
        </w:rPr>
        <w:t xml:space="preserve">Address Order Volume Decline</w:t>
      </w:r>
    </w:p>
    <w:p>
      <w:pPr>
        <w:spacing w:before="80" w:after="80"/>
      </w:pPr>
      <w:r>
        <w:rPr>
          <w:rFonts w:ascii="Arial" w:cs="Arial" w:eastAsia="Arial" w:hAnsi="Arial"/>
          <w:color w:val="4A5568"/>
          <w:sz w:val="22"/>
          <w:szCs w:val="22"/>
        </w:rPr>
        <w:t xml:space="preserve">Order volume has declined from 1,603 in 2023 to 1,570 in 2024, with 2025 on pace (annualized) for approximately 1,400 orders. Falling volume combined with falling margins is the most dangerous combination for a retail business. A targeted retention campaign — particularly for high-frequency consumables and subscription customers — should run in parallel with the pricing review to ensure revenue does not contract further as prices adjust.</w:t>
      </w:r>
    </w:p>
    <w:p>
      <w:pPr>
        <w:spacing w:before="120" w:after="0"/>
      </w:pPr>
      <w:r>
        <w:rPr>
          <w:rFonts w:ascii="Arial" w:cs="Arial" w:eastAsia="Arial" w:hAnsi="Arial"/>
        </w:rPr>
        <w:t xml:space="preserve"/>
      </w:r>
    </w:p>
    <w:p>
      <w:pPr>
        <w:pStyle w:val="Heading1"/>
        <w:spacing w:before="360" w:after="180"/>
      </w:pPr>
      <w:r>
        <w:rPr>
          <w:rFonts w:ascii="Arial" w:cs="Arial" w:eastAsia="Arial" w:hAnsi="Arial"/>
          <w:b/>
          <w:bCs/>
          <w:color w:val="1A1A2E"/>
          <w:sz w:val="36"/>
          <w:szCs w:val="36"/>
        </w:rPr>
        <w:t xml:space="preserve">7. Success Metrics &amp; Measurement</w:t>
      </w:r>
    </w:p>
    <w:p>
      <w:pPr>
        <w:spacing w:before="80" w:after="80"/>
      </w:pPr>
      <w:r>
        <w:rPr>
          <w:rFonts w:ascii="Arial" w:cs="Arial" w:eastAsia="Arial" w:hAnsi="Arial"/>
          <w:color w:val="4A5568"/>
          <w:sz w:val="22"/>
          <w:szCs w:val="22"/>
        </w:rPr>
        <w:t xml:space="preserve">The following table defines what success looks like one quarter after price changes are implemented. These are the criteria by which the pricing review will be evaluated.</w:t>
      </w:r>
    </w:p>
    <w:p>
      <w:pPr>
        <w:spacing w:before="12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Metric</w:t>
            </w:r>
          </w:p>
        </w:tc>
        <w:tc>
          <w:tcPr>
            <w:tcW w:type="dxa" w:w="228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Current State</w:t>
            </w:r>
          </w:p>
        </w:tc>
        <w:tc>
          <w:tcPr>
            <w:tcW w:type="dxa" w:w="228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Target (Q1 2026)</w:t>
            </w:r>
          </w:p>
        </w:tc>
        <w:tc>
          <w:tcPr>
            <w:tcW w:type="dxa" w:w="200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Owner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Blended Portfolio GMP</w:t>
            </w:r>
          </w:p>
        </w:tc>
        <w:tc>
          <w:tcPr>
            <w:tcW w:type="dxa" w:w="228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pPr>
              <w:jc w:val="center"/>
            </w:pPr>
            <w:r>
              <w:rPr>
                <w:rFonts w:ascii="Arial" w:cs="Arial" w:eastAsia="Arial" w:hAnsi="Arial"/>
                <w:color w:val="9B2226"/>
                <w:sz w:val="20"/>
                <w:szCs w:val="20"/>
              </w:rPr>
              <w:t xml:space="preserve">52.4%</w:t>
            </w:r>
          </w:p>
        </w:tc>
        <w:tc>
          <w:tcPr>
            <w:tcW w:type="dxa" w:w="2280"/>
            <w:tcBorders>
              <w:top w:val="single" w:color="DDDDDD" w:sz="1"/>
              <w:left w:val="single" w:color="DDDDDD" w:sz="1"/>
              <w:bottom w:val="single" w:color="DDDDDD" w:sz="1"/>
              <w:right w:val="single" w:color="DDDDDD" w:sz="1"/>
            </w:tcBorders>
            <w:shd w:fill="D8F3DC" w:val="clear"/>
            <w:tcMar>
              <w:top w:type="dxa" w:w="80"/>
              <w:left w:type="dxa" w:w="120"/>
              <w:bottom w:type="dxa" w:w="80"/>
              <w:right w:type="dxa" w:w="120"/>
            </w:tcMar>
          </w:tcPr>
          <w:p>
            <w:pPr>
              <w:jc w:val="center"/>
            </w:pPr>
            <w:r>
              <w:rPr>
                <w:rFonts w:ascii="Arial" w:cs="Arial" w:eastAsia="Arial" w:hAnsi="Arial"/>
                <w:color w:val="2D6A4F"/>
                <w:sz w:val="20"/>
                <w:szCs w:val="20"/>
              </w:rPr>
              <w:t xml:space="preserve">55%+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Finance</w:t>
            </w:r>
          </w:p>
        </w:tc>
      </w:tr>
      <w:tr>
        <w:tc>
          <w:tcPr>
            <w:tcW w:type="dxa" w:w="2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b/>
                <w:bCs/>
                <w:color w:val="1A1A2E"/>
                <w:sz w:val="20"/>
                <w:szCs w:val="20"/>
              </w:rPr>
              <w:t xml:space="preserve"># of SKUs below 30% GMP</w:t>
            </w:r>
          </w:p>
        </w:tc>
        <w:tc>
          <w:tcPr>
            <w:tcW w:type="dxa" w:w="228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pPr>
              <w:jc w:val="center"/>
            </w:pPr>
            <w:r>
              <w:rPr>
                <w:rFonts w:ascii="Arial" w:cs="Arial" w:eastAsia="Arial" w:hAnsi="Arial"/>
                <w:color w:val="9B2226"/>
                <w:sz w:val="20"/>
                <w:szCs w:val="20"/>
              </w:rPr>
              <w:t xml:space="preserve">7 products</w:t>
            </w:r>
          </w:p>
        </w:tc>
        <w:tc>
          <w:tcPr>
            <w:tcW w:type="dxa" w:w="2280"/>
            <w:tcBorders>
              <w:top w:val="single" w:color="DDDDDD" w:sz="1"/>
              <w:left w:val="single" w:color="DDDDDD" w:sz="1"/>
              <w:bottom w:val="single" w:color="DDDDDD" w:sz="1"/>
              <w:right w:val="single" w:color="DDDDDD" w:sz="1"/>
            </w:tcBorders>
            <w:shd w:fill="D8F3DC" w:val="clear"/>
            <w:tcMar>
              <w:top w:type="dxa" w:w="80"/>
              <w:left w:type="dxa" w:w="120"/>
              <w:bottom w:type="dxa" w:w="80"/>
              <w:right w:type="dxa" w:w="120"/>
            </w:tcMar>
          </w:tcPr>
          <w:p>
            <w:pPr>
              <w:jc w:val="center"/>
            </w:pPr>
            <w:r>
              <w:rPr>
                <w:rFonts w:ascii="Arial" w:cs="Arial" w:eastAsia="Arial" w:hAnsi="Arial"/>
                <w:color w:val="2D6A4F"/>
                <w:sz w:val="20"/>
                <w:szCs w:val="20"/>
              </w:rPr>
              <w:t xml:space="preserve">0 products</w:t>
            </w:r>
          </w:p>
        </w:tc>
        <w:tc>
          <w:tcPr>
            <w:tcW w:type="dxa" w:w="20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pPr>
              <w:jc w:val="center"/>
            </w:pPr>
            <w:r>
              <w:rPr>
                <w:rFonts w:ascii="Arial" w:cs="Arial" w:eastAsia="Arial" w:hAnsi="Arial"/>
                <w:color w:val="4A5568"/>
                <w:sz w:val="20"/>
                <w:szCs w:val="20"/>
              </w:rPr>
              <w:t xml:space="preserve">Pricing Team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Merchandise Category GMP</w:t>
            </w:r>
          </w:p>
        </w:tc>
        <w:tc>
          <w:tcPr>
            <w:tcW w:type="dxa" w:w="228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color w:val="7B4F12"/>
                <w:sz w:val="20"/>
                <w:szCs w:val="20"/>
              </w:rPr>
              <w:t xml:space="preserve">36.1%</w:t>
            </w:r>
          </w:p>
        </w:tc>
        <w:tc>
          <w:tcPr>
            <w:tcW w:type="dxa" w:w="2280"/>
            <w:tcBorders>
              <w:top w:val="single" w:color="DDDDDD" w:sz="1"/>
              <w:left w:val="single" w:color="DDDDDD" w:sz="1"/>
              <w:bottom w:val="single" w:color="DDDDDD" w:sz="1"/>
              <w:right w:val="single" w:color="DDDDDD" w:sz="1"/>
            </w:tcBorders>
            <w:shd w:fill="D8F3DC" w:val="clear"/>
            <w:tcMar>
              <w:top w:type="dxa" w:w="80"/>
              <w:left w:type="dxa" w:w="120"/>
              <w:bottom w:type="dxa" w:w="80"/>
              <w:right w:type="dxa" w:w="120"/>
            </w:tcMar>
          </w:tcPr>
          <w:p>
            <w:pPr>
              <w:jc w:val="center"/>
            </w:pPr>
            <w:r>
              <w:rPr>
                <w:rFonts w:ascii="Arial" w:cs="Arial" w:eastAsia="Arial" w:hAnsi="Arial"/>
                <w:color w:val="2D6A4F"/>
                <w:sz w:val="20"/>
                <w:szCs w:val="20"/>
              </w:rPr>
              <w:t xml:space="preserve">40%+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Category Manager</w:t>
            </w:r>
          </w:p>
        </w:tc>
      </w:tr>
      <w:tr>
        <w:tc>
          <w:tcPr>
            <w:tcW w:type="dxa" w:w="2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b/>
                <w:bCs/>
                <w:color w:val="1A1A2E"/>
                <w:sz w:val="20"/>
                <w:szCs w:val="20"/>
              </w:rPr>
              <w:t xml:space="preserve">Grinders &amp; Brewers GMP</w:t>
            </w:r>
          </w:p>
        </w:tc>
        <w:tc>
          <w:tcPr>
            <w:tcW w:type="dxa" w:w="228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color w:val="7B4F12"/>
                <w:sz w:val="20"/>
                <w:szCs w:val="20"/>
              </w:rPr>
              <w:t xml:space="preserve">50.8%</w:t>
            </w:r>
          </w:p>
        </w:tc>
        <w:tc>
          <w:tcPr>
            <w:tcW w:type="dxa" w:w="2280"/>
            <w:tcBorders>
              <w:top w:val="single" w:color="DDDDDD" w:sz="1"/>
              <w:left w:val="single" w:color="DDDDDD" w:sz="1"/>
              <w:bottom w:val="single" w:color="DDDDDD" w:sz="1"/>
              <w:right w:val="single" w:color="DDDDDD" w:sz="1"/>
            </w:tcBorders>
            <w:shd w:fill="D8F3DC" w:val="clear"/>
            <w:tcMar>
              <w:top w:type="dxa" w:w="80"/>
              <w:left w:type="dxa" w:w="120"/>
              <w:bottom w:type="dxa" w:w="80"/>
              <w:right w:type="dxa" w:w="120"/>
            </w:tcMar>
          </w:tcPr>
          <w:p>
            <w:pPr>
              <w:jc w:val="center"/>
            </w:pPr>
            <w:r>
              <w:rPr>
                <w:rFonts w:ascii="Arial" w:cs="Arial" w:eastAsia="Arial" w:hAnsi="Arial"/>
                <w:color w:val="2D6A4F"/>
                <w:sz w:val="20"/>
                <w:szCs w:val="20"/>
              </w:rPr>
              <w:t xml:space="preserve">53%+</w:t>
            </w:r>
          </w:p>
        </w:tc>
        <w:tc>
          <w:tcPr>
            <w:tcW w:type="dxa" w:w="20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pPr>
              <w:jc w:val="center"/>
            </w:pPr>
            <w:r>
              <w:rPr>
                <w:rFonts w:ascii="Arial" w:cs="Arial" w:eastAsia="Arial" w:hAnsi="Arial"/>
                <w:color w:val="4A5568"/>
                <w:sz w:val="20"/>
                <w:szCs w:val="20"/>
              </w:rPr>
              <w:t xml:space="preserve">Category Manager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Subscription Revenue Share</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20.6% of total</w:t>
            </w:r>
          </w:p>
        </w:tc>
        <w:tc>
          <w:tcPr>
            <w:tcW w:type="dxa" w:w="2280"/>
            <w:tcBorders>
              <w:top w:val="single" w:color="DDDDDD" w:sz="1"/>
              <w:left w:val="single" w:color="DDDDDD" w:sz="1"/>
              <w:bottom w:val="single" w:color="DDDDDD" w:sz="1"/>
              <w:right w:val="single" w:color="DDDDDD" w:sz="1"/>
            </w:tcBorders>
            <w:shd w:fill="D8F3DC" w:val="clear"/>
            <w:tcMar>
              <w:top w:type="dxa" w:w="80"/>
              <w:left w:type="dxa" w:w="120"/>
              <w:bottom w:type="dxa" w:w="80"/>
              <w:right w:type="dxa" w:w="120"/>
            </w:tcMar>
          </w:tcPr>
          <w:p>
            <w:pPr>
              <w:jc w:val="center"/>
            </w:pPr>
            <w:r>
              <w:rPr>
                <w:rFonts w:ascii="Arial" w:cs="Arial" w:eastAsia="Arial" w:hAnsi="Arial"/>
                <w:color w:val="2D6A4F"/>
                <w:sz w:val="20"/>
                <w:szCs w:val="20"/>
              </w:rPr>
              <w:t xml:space="preserve">25%+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Marketing</w:t>
            </w:r>
          </w:p>
        </w:tc>
      </w:tr>
      <w:tr>
        <w:tc>
          <w:tcPr>
            <w:tcW w:type="dxa" w:w="28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b/>
                <w:bCs/>
                <w:color w:val="1A1A2E"/>
                <w:sz w:val="20"/>
                <w:szCs w:val="20"/>
              </w:rPr>
              <w:t xml:space="preserve">Gross Profit Dollars</w:t>
            </w:r>
          </w:p>
        </w:tc>
        <w:tc>
          <w:tcPr>
            <w:tcW w:type="dxa" w:w="228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pPr>
              <w:jc w:val="center"/>
            </w:pPr>
            <w:r>
              <w:rPr>
                <w:rFonts w:ascii="Arial" w:cs="Arial" w:eastAsia="Arial" w:hAnsi="Arial"/>
                <w:color w:val="4A5568"/>
                <w:sz w:val="20"/>
                <w:szCs w:val="20"/>
              </w:rPr>
              <w:t xml:space="preserve">$133,514 (11mo)</w:t>
            </w:r>
          </w:p>
        </w:tc>
        <w:tc>
          <w:tcPr>
            <w:tcW w:type="dxa" w:w="2280"/>
            <w:tcBorders>
              <w:top w:val="single" w:color="DDDDDD" w:sz="1"/>
              <w:left w:val="single" w:color="DDDDDD" w:sz="1"/>
              <w:bottom w:val="single" w:color="DDDDDD" w:sz="1"/>
              <w:right w:val="single" w:color="DDDDDD" w:sz="1"/>
            </w:tcBorders>
            <w:shd w:fill="D8F3DC" w:val="clear"/>
            <w:tcMar>
              <w:top w:type="dxa" w:w="80"/>
              <w:left w:type="dxa" w:w="120"/>
              <w:bottom w:type="dxa" w:w="80"/>
              <w:right w:type="dxa" w:w="120"/>
            </w:tcMar>
          </w:tcPr>
          <w:p>
            <w:pPr>
              <w:jc w:val="center"/>
            </w:pPr>
            <w:r>
              <w:rPr>
                <w:rFonts w:ascii="Arial" w:cs="Arial" w:eastAsia="Arial" w:hAnsi="Arial"/>
                <w:color w:val="2D6A4F"/>
                <w:sz w:val="20"/>
                <w:szCs w:val="20"/>
              </w:rPr>
              <w:t xml:space="preserve">+10% YoY</w:t>
            </w:r>
          </w:p>
        </w:tc>
        <w:tc>
          <w:tcPr>
            <w:tcW w:type="dxa" w:w="20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pPr>
              <w:jc w:val="center"/>
            </w:pPr>
            <w:r>
              <w:rPr>
                <w:rFonts w:ascii="Arial" w:cs="Arial" w:eastAsia="Arial" w:hAnsi="Arial"/>
                <w:color w:val="4A5568"/>
                <w:sz w:val="20"/>
                <w:szCs w:val="20"/>
              </w:rPr>
              <w:t xml:space="preserve">Finance</w:t>
            </w:r>
          </w:p>
        </w:tc>
      </w:tr>
    </w:tbl>
    <w:p>
      <w:pPr>
        <w:spacing w:before="120" w:after="0"/>
      </w:pPr>
      <w:r>
        <w:rPr>
          <w:rFonts w:ascii="Arial" w:cs="Arial" w:eastAsia="Arial" w:hAnsi="Arial"/>
        </w:rPr>
        <w:t xml:space="preserve"/>
      </w:r>
    </w:p>
    <w:p>
      <w:pPr>
        <w:pStyle w:val="Heading1"/>
        <w:spacing w:before="360" w:after="180"/>
      </w:pPr>
      <w:r>
        <w:rPr>
          <w:rFonts w:ascii="Arial" w:cs="Arial" w:eastAsia="Arial" w:hAnsi="Arial"/>
          <w:b/>
          <w:bCs/>
          <w:color w:val="1A1A2E"/>
          <w:sz w:val="36"/>
          <w:szCs w:val="36"/>
        </w:rPr>
        <w:t xml:space="preserve">8. Project File Structure</w:t>
      </w:r>
    </w:p>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File</w:t>
            </w:r>
          </w:p>
        </w:tc>
        <w:tc>
          <w:tcPr>
            <w:tcW w:type="dxa" w:w="616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Orders_2023.csv</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A5568"/>
                <w:sz w:val="20"/>
                <w:szCs w:val="20"/>
              </w:rPr>
              <w:t xml:space="preserve">Transaction-level order data for calendar year 2023</w:t>
            </w:r>
          </w:p>
        </w:tc>
      </w:tr>
      <w:tr>
        <w:tc>
          <w:tcPr>
            <w:tcW w:type="dxa" w:w="3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b/>
                <w:bCs/>
                <w:color w:val="1A1A2E"/>
                <w:sz w:val="20"/>
                <w:szCs w:val="20"/>
              </w:rPr>
              <w:t xml:space="preserve">Orders_2024.csv</w:t>
            </w:r>
          </w:p>
        </w:tc>
        <w:tc>
          <w:tcPr>
            <w:tcW w:type="dxa" w:w="616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pPr>
              <w:jc w:val="left"/>
            </w:pPr>
            <w:r>
              <w:rPr>
                <w:rFonts w:ascii="Arial" w:cs="Arial" w:eastAsia="Arial" w:hAnsi="Arial"/>
                <w:color w:val="4A5568"/>
                <w:sz w:val="20"/>
                <w:szCs w:val="20"/>
              </w:rPr>
              <w:t xml:space="preserve">Transaction-level order data for calendar year 2024</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Orders_2025.csv</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A5568"/>
                <w:sz w:val="20"/>
                <w:szCs w:val="20"/>
              </w:rPr>
              <w:t xml:space="preserve">Partial-year order data for January through November 2025</w:t>
            </w:r>
          </w:p>
        </w:tc>
      </w:tr>
      <w:tr>
        <w:tc>
          <w:tcPr>
            <w:tcW w:type="dxa" w:w="3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b/>
                <w:bCs/>
                <w:color w:val="1A1A2E"/>
                <w:sz w:val="20"/>
                <w:szCs w:val="20"/>
              </w:rPr>
              <w:t xml:space="preserve">products.csv</w:t>
            </w:r>
          </w:p>
        </w:tc>
        <w:tc>
          <w:tcPr>
            <w:tcW w:type="dxa" w:w="616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pPr>
              <w:jc w:val="left"/>
            </w:pPr>
            <w:r>
              <w:rPr>
                <w:rFonts w:ascii="Arial" w:cs="Arial" w:eastAsia="Arial" w:hAnsi="Arial"/>
                <w:color w:val="4A5568"/>
                <w:sz w:val="20"/>
                <w:szCs w:val="20"/>
              </w:rPr>
              <w:t xml:space="preserve">Product master file with names, categories, list prices, and base costs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customers.csv</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A5568"/>
                <w:sz w:val="20"/>
                <w:szCs w:val="20"/>
              </w:rPr>
              <w:t xml:space="preserve">Customer master file with regional assignments and join dates (200 customers)</w:t>
            </w:r>
          </w:p>
        </w:tc>
      </w:tr>
      <w:tr>
        <w:tc>
          <w:tcPr>
            <w:tcW w:type="dxa" w:w="32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r>
              <w:rPr>
                <w:rFonts w:ascii="Arial" w:cs="Arial" w:eastAsia="Arial" w:hAnsi="Arial"/>
                <w:b/>
                <w:bCs/>
                <w:color w:val="1A1A2E"/>
                <w:sz w:val="20"/>
                <w:szCs w:val="20"/>
              </w:rPr>
              <w:t xml:space="preserve">Pricing_Analysis_Dashboard.pbix</w:t>
            </w:r>
          </w:p>
        </w:tc>
        <w:tc>
          <w:tcPr>
            <w:tcW w:type="dxa" w:w="616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tcPr>
          <w:p>
            <w:pPr>
              <w:jc w:val="left"/>
            </w:pPr>
            <w:r>
              <w:rPr>
                <w:rFonts w:ascii="Arial" w:cs="Arial" w:eastAsia="Arial" w:hAnsi="Arial"/>
                <w:color w:val="4A5568"/>
                <w:sz w:val="20"/>
                <w:szCs w:val="20"/>
              </w:rPr>
              <w:t xml:space="preserve">Power BI dashboard with YoY GMP, revenue, and pricing analysis by category, product, and region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README.docx (this document)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A5568"/>
                <w:sz w:val="20"/>
                <w:szCs w:val="20"/>
              </w:rPr>
              <w:t xml:space="preserve">Full project documentation: methodology, findings, recommendations, and success criteria</w:t>
            </w:r>
          </w:p>
        </w:tc>
      </w:tr>
    </w:tbl>
    <w:p>
      <w:pPr>
        <w:spacing w:before="240" w:after="0"/>
      </w:pPr>
      <w:r>
        <w:rPr>
          <w:rFonts w:ascii="Arial" w:cs="Arial" w:eastAsia="Arial" w:hAnsi="Arial"/>
        </w:rPr>
        <w:t xml:space="preserve"/>
      </w:r>
    </w:p>
    <w:p>
      <w:pPr>
        <w:pStyle w:val="Heading1"/>
        <w:spacing w:before="360" w:after="180"/>
      </w:pPr>
      <w:r>
        <w:rPr>
          <w:rFonts w:ascii="Arial" w:cs="Arial" w:eastAsia="Arial" w:hAnsi="Arial"/>
          <w:b/>
          <w:bCs/>
          <w:color w:val="1A1A2E"/>
          <w:sz w:val="36"/>
          <w:szCs w:val="36"/>
        </w:rPr>
        <w:t xml:space="preserve">Appendix: Full 2025 Product GMP Ranking</w:t>
      </w:r>
    </w:p>
    <w:p>
      <w:pPr>
        <w:spacing w:before="80" w:after="80"/>
      </w:pPr>
      <w:r>
        <w:rPr>
          <w:rFonts w:ascii="Arial" w:cs="Arial" w:eastAsia="Arial" w:hAnsi="Arial"/>
          <w:color w:val="4A5568"/>
          <w:sz w:val="22"/>
          <w:szCs w:val="22"/>
        </w:rPr>
        <w:t xml:space="preserve">The table below shows the gross margin percentage for all 25 unique products in 2025, ordered from lowest to highest margin. Items shaded red are below 30% GMP; amber items fall between 30% and 35%.</w:t>
      </w:r>
    </w:p>
    <w:p>
      <w:pPr>
        <w:spacing w:before="12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1430"/>
        <w:gridCol w:w="2430"/>
      </w:tblGrid>
      <w:tr>
        <w:tc>
          <w:tcPr>
            <w:tcW w:type="dxa" w:w="360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Product</w:t>
            </w:r>
          </w:p>
        </w:tc>
        <w:tc>
          <w:tcPr>
            <w:tcW w:type="dxa" w:w="190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Category</w:t>
            </w:r>
          </w:p>
        </w:tc>
        <w:tc>
          <w:tcPr>
            <w:tcW w:type="dxa" w:w="143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2025 GMP</w:t>
            </w:r>
          </w:p>
        </w:tc>
        <w:tc>
          <w:tcPr>
            <w:tcW w:type="dxa" w:w="2430"/>
            <w:gridSpan w:val="1"/>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2025 Revenue</w:t>
            </w:r>
          </w:p>
        </w:tc>
      </w:tr>
      <w:tr>
        <w:tc>
          <w:tcPr>
            <w:tcW w:type="dxa" w:w="360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r>
              <w:rPr>
                <w:rFonts w:ascii="Arial" w:cs="Arial" w:eastAsia="Arial" w:hAnsi="Arial"/>
                <w:b/>
                <w:bCs/>
                <w:color w:val="9B2226"/>
                <w:sz w:val="20"/>
                <w:szCs w:val="20"/>
              </w:rPr>
              <w:t xml:space="preserve">Chemex Filters (100 pack)</w:t>
            </w:r>
          </w:p>
        </w:tc>
        <w:tc>
          <w:tcPr>
            <w:tcW w:type="dxa" w:w="190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pPr>
              <w:jc w:val="center"/>
            </w:pPr>
            <w:r>
              <w:rPr>
                <w:rFonts w:ascii="Arial" w:cs="Arial" w:eastAsia="Arial" w:hAnsi="Arial"/>
                <w:color w:val="9B2226"/>
                <w:sz w:val="20"/>
                <w:szCs w:val="20"/>
              </w:rPr>
              <w:t xml:space="preserve">Accessories</w:t>
            </w:r>
          </w:p>
        </w:tc>
        <w:tc>
          <w:tcPr>
            <w:tcW w:type="dxa" w:w="143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pPr>
              <w:jc w:val="center"/>
            </w:pPr>
            <w:r>
              <w:rPr>
                <w:rFonts w:ascii="Arial" w:cs="Arial" w:eastAsia="Arial" w:hAnsi="Arial"/>
                <w:color w:val="9B2226"/>
                <w:sz w:val="20"/>
                <w:szCs w:val="20"/>
              </w:rPr>
              <w:t xml:space="preserve">10.1%</w:t>
            </w:r>
          </w:p>
        </w:tc>
        <w:tc>
          <w:tcPr>
            <w:tcW w:type="dxa" w:w="243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pPr>
              <w:jc w:val="center"/>
            </w:pPr>
            <w:r>
              <w:rPr>
                <w:rFonts w:ascii="Arial" w:cs="Arial" w:eastAsia="Arial" w:hAnsi="Arial"/>
                <w:color w:val="9B2226"/>
                <w:sz w:val="20"/>
                <w:szCs w:val="20"/>
              </w:rPr>
              <w:t xml:space="preserve">$3,302</w:t>
            </w:r>
          </w:p>
        </w:tc>
      </w:tr>
      <w:tr>
        <w:tc>
          <w:tcPr>
            <w:tcW w:type="dxa" w:w="360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r>
              <w:rPr>
                <w:rFonts w:ascii="Arial" w:cs="Arial" w:eastAsia="Arial" w:hAnsi="Arial"/>
                <w:b/>
                <w:bCs/>
                <w:color w:val="9B2226"/>
                <w:sz w:val="20"/>
                <w:szCs w:val="20"/>
              </w:rPr>
              <w:t xml:space="preserve">Minimalist Keychain</w:t>
            </w:r>
          </w:p>
        </w:tc>
        <w:tc>
          <w:tcPr>
            <w:tcW w:type="dxa" w:w="190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pPr>
              <w:jc w:val="center"/>
            </w:pPr>
            <w:r>
              <w:rPr>
                <w:rFonts w:ascii="Arial" w:cs="Arial" w:eastAsia="Arial" w:hAnsi="Arial"/>
                <w:color w:val="9B2226"/>
                <w:sz w:val="20"/>
                <w:szCs w:val="20"/>
              </w:rPr>
              <w:t xml:space="preserve">Merchandise</w:t>
            </w:r>
          </w:p>
        </w:tc>
        <w:tc>
          <w:tcPr>
            <w:tcW w:type="dxa" w:w="143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pPr>
              <w:jc w:val="center"/>
            </w:pPr>
            <w:r>
              <w:rPr>
                <w:rFonts w:ascii="Arial" w:cs="Arial" w:eastAsia="Arial" w:hAnsi="Arial"/>
                <w:color w:val="9B2226"/>
                <w:sz w:val="20"/>
                <w:szCs w:val="20"/>
              </w:rPr>
              <w:t xml:space="preserve">12.0%</w:t>
            </w:r>
          </w:p>
        </w:tc>
        <w:tc>
          <w:tcPr>
            <w:tcW w:type="dxa" w:w="243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pPr>
              <w:jc w:val="center"/>
            </w:pPr>
            <w:r>
              <w:rPr>
                <w:rFonts w:ascii="Arial" w:cs="Arial" w:eastAsia="Arial" w:hAnsi="Arial"/>
                <w:color w:val="9B2226"/>
                <w:sz w:val="20"/>
                <w:szCs w:val="20"/>
              </w:rPr>
              <w:t xml:space="preserve">$3,613</w:t>
            </w:r>
          </w:p>
        </w:tc>
      </w:tr>
      <w:tr>
        <w:tc>
          <w:tcPr>
            <w:tcW w:type="dxa" w:w="360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r>
              <w:rPr>
                <w:rFonts w:ascii="Arial" w:cs="Arial" w:eastAsia="Arial" w:hAnsi="Arial"/>
                <w:b/>
                <w:bCs/>
                <w:color w:val="9B2226"/>
                <w:sz w:val="20"/>
                <w:szCs w:val="20"/>
              </w:rPr>
              <w:t xml:space="preserve">Logo Hoodie (Black)</w:t>
            </w:r>
          </w:p>
        </w:tc>
        <w:tc>
          <w:tcPr>
            <w:tcW w:type="dxa" w:w="190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pPr>
              <w:jc w:val="center"/>
            </w:pPr>
            <w:r>
              <w:rPr>
                <w:rFonts w:ascii="Arial" w:cs="Arial" w:eastAsia="Arial" w:hAnsi="Arial"/>
                <w:color w:val="9B2226"/>
                <w:sz w:val="20"/>
                <w:szCs w:val="20"/>
              </w:rPr>
              <w:t xml:space="preserve">Merchandise</w:t>
            </w:r>
          </w:p>
        </w:tc>
        <w:tc>
          <w:tcPr>
            <w:tcW w:type="dxa" w:w="143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pPr>
              <w:jc w:val="center"/>
            </w:pPr>
            <w:r>
              <w:rPr>
                <w:rFonts w:ascii="Arial" w:cs="Arial" w:eastAsia="Arial" w:hAnsi="Arial"/>
                <w:color w:val="9B2226"/>
                <w:sz w:val="20"/>
                <w:szCs w:val="20"/>
              </w:rPr>
              <w:t xml:space="preserve">12.0%</w:t>
            </w:r>
          </w:p>
        </w:tc>
        <w:tc>
          <w:tcPr>
            <w:tcW w:type="dxa" w:w="243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pPr>
              <w:jc w:val="center"/>
            </w:pPr>
            <w:r>
              <w:rPr>
                <w:rFonts w:ascii="Arial" w:cs="Arial" w:eastAsia="Arial" w:hAnsi="Arial"/>
                <w:color w:val="9B2226"/>
                <w:sz w:val="20"/>
                <w:szCs w:val="20"/>
              </w:rPr>
              <w:t xml:space="preserve">$1,797</w:t>
            </w:r>
          </w:p>
        </w:tc>
      </w:tr>
      <w:tr>
        <w:tc>
          <w:tcPr>
            <w:tcW w:type="dxa" w:w="360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r>
              <w:rPr>
                <w:rFonts w:ascii="Arial" w:cs="Arial" w:eastAsia="Arial" w:hAnsi="Arial"/>
                <w:b/>
                <w:bCs/>
                <w:color w:val="9B2226"/>
                <w:sz w:val="20"/>
                <w:szCs w:val="20"/>
              </w:rPr>
              <w:t xml:space="preserve">Gooseneck Electric Kettle</w:t>
            </w:r>
          </w:p>
        </w:tc>
        <w:tc>
          <w:tcPr>
            <w:tcW w:type="dxa" w:w="190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pPr>
              <w:jc w:val="center"/>
            </w:pPr>
            <w:r>
              <w:rPr>
                <w:rFonts w:ascii="Arial" w:cs="Arial" w:eastAsia="Arial" w:hAnsi="Arial"/>
                <w:color w:val="9B2226"/>
                <w:sz w:val="20"/>
                <w:szCs w:val="20"/>
              </w:rPr>
              <w:t xml:space="preserve">Accessories</w:t>
            </w:r>
          </w:p>
        </w:tc>
        <w:tc>
          <w:tcPr>
            <w:tcW w:type="dxa" w:w="143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pPr>
              <w:jc w:val="center"/>
            </w:pPr>
            <w:r>
              <w:rPr>
                <w:rFonts w:ascii="Arial" w:cs="Arial" w:eastAsia="Arial" w:hAnsi="Arial"/>
                <w:color w:val="9B2226"/>
                <w:sz w:val="20"/>
                <w:szCs w:val="20"/>
              </w:rPr>
              <w:t xml:space="preserve">23.9%</w:t>
            </w:r>
          </w:p>
        </w:tc>
        <w:tc>
          <w:tcPr>
            <w:tcW w:type="dxa" w:w="243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pPr>
              <w:jc w:val="center"/>
            </w:pPr>
            <w:r>
              <w:rPr>
                <w:rFonts w:ascii="Arial" w:cs="Arial" w:eastAsia="Arial" w:hAnsi="Arial"/>
                <w:color w:val="9B2226"/>
                <w:sz w:val="20"/>
                <w:szCs w:val="20"/>
              </w:rPr>
              <w:t xml:space="preserve">$4,812</w:t>
            </w:r>
          </w:p>
        </w:tc>
      </w:tr>
      <w:tr>
        <w:tc>
          <w:tcPr>
            <w:tcW w:type="dxa" w:w="360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r>
              <w:rPr>
                <w:rFonts w:ascii="Arial" w:cs="Arial" w:eastAsia="Arial" w:hAnsi="Arial"/>
                <w:b/>
                <w:bCs/>
                <w:color w:val="9B2226"/>
                <w:sz w:val="20"/>
                <w:szCs w:val="20"/>
              </w:rPr>
              <w:t xml:space="preserve">Branded Ceramic Mug (Large)</w:t>
            </w:r>
          </w:p>
        </w:tc>
        <w:tc>
          <w:tcPr>
            <w:tcW w:type="dxa" w:w="190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pPr>
              <w:jc w:val="center"/>
            </w:pPr>
            <w:r>
              <w:rPr>
                <w:rFonts w:ascii="Arial" w:cs="Arial" w:eastAsia="Arial" w:hAnsi="Arial"/>
                <w:color w:val="9B2226"/>
                <w:sz w:val="20"/>
                <w:szCs w:val="20"/>
              </w:rPr>
              <w:t xml:space="preserve">Merchandise</w:t>
            </w:r>
          </w:p>
        </w:tc>
        <w:tc>
          <w:tcPr>
            <w:tcW w:type="dxa" w:w="143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pPr>
              <w:jc w:val="center"/>
            </w:pPr>
            <w:r>
              <w:rPr>
                <w:rFonts w:ascii="Arial" w:cs="Arial" w:eastAsia="Arial" w:hAnsi="Arial"/>
                <w:color w:val="9B2226"/>
                <w:sz w:val="20"/>
                <w:szCs w:val="20"/>
              </w:rPr>
              <w:t xml:space="preserve">27.3%</w:t>
            </w:r>
          </w:p>
        </w:tc>
        <w:tc>
          <w:tcPr>
            <w:tcW w:type="dxa" w:w="243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pPr>
              <w:jc w:val="center"/>
            </w:pPr>
            <w:r>
              <w:rPr>
                <w:rFonts w:ascii="Arial" w:cs="Arial" w:eastAsia="Arial" w:hAnsi="Arial"/>
                <w:color w:val="9B2226"/>
                <w:sz w:val="20"/>
                <w:szCs w:val="20"/>
              </w:rPr>
              <w:t xml:space="preserve">$4,622</w:t>
            </w:r>
          </w:p>
        </w:tc>
      </w:tr>
      <w:tr>
        <w:tc>
          <w:tcPr>
            <w:tcW w:type="dxa" w:w="360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r>
              <w:rPr>
                <w:rFonts w:ascii="Arial" w:cs="Arial" w:eastAsia="Arial" w:hAnsi="Arial"/>
                <w:b/>
                <w:bCs/>
                <w:color w:val="9B2226"/>
                <w:sz w:val="20"/>
                <w:szCs w:val="20"/>
              </w:rPr>
              <w:t xml:space="preserve">Pour-Over Starter Kit</w:t>
            </w:r>
          </w:p>
        </w:tc>
        <w:tc>
          <w:tcPr>
            <w:tcW w:type="dxa" w:w="190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pPr>
              <w:jc w:val="center"/>
            </w:pPr>
            <w:r>
              <w:rPr>
                <w:rFonts w:ascii="Arial" w:cs="Arial" w:eastAsia="Arial" w:hAnsi="Arial"/>
                <w:color w:val="9B2226"/>
                <w:sz w:val="20"/>
                <w:szCs w:val="20"/>
              </w:rPr>
              <w:t xml:space="preserve">Grinders &amp; Brewers</w:t>
            </w:r>
          </w:p>
        </w:tc>
        <w:tc>
          <w:tcPr>
            <w:tcW w:type="dxa" w:w="143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pPr>
              <w:jc w:val="center"/>
            </w:pPr>
            <w:r>
              <w:rPr>
                <w:rFonts w:ascii="Arial" w:cs="Arial" w:eastAsia="Arial" w:hAnsi="Arial"/>
                <w:color w:val="9B2226"/>
                <w:sz w:val="20"/>
                <w:szCs w:val="20"/>
              </w:rPr>
              <w:t xml:space="preserve">29.0%</w:t>
            </w:r>
          </w:p>
        </w:tc>
        <w:tc>
          <w:tcPr>
            <w:tcW w:type="dxa" w:w="2430"/>
            <w:tcBorders>
              <w:top w:val="single" w:color="DDDDDD" w:sz="1"/>
              <w:left w:val="single" w:color="DDDDDD" w:sz="1"/>
              <w:bottom w:val="single" w:color="DDDDDD" w:sz="1"/>
              <w:right w:val="single" w:color="DDDDDD" w:sz="1"/>
            </w:tcBorders>
            <w:shd w:fill="FFCCD5" w:val="clear"/>
            <w:tcMar>
              <w:top w:type="dxa" w:w="80"/>
              <w:left w:type="dxa" w:w="120"/>
              <w:bottom w:type="dxa" w:w="80"/>
              <w:right w:type="dxa" w:w="120"/>
            </w:tcMar>
          </w:tcPr>
          <w:p>
            <w:pPr>
              <w:jc w:val="center"/>
            </w:pPr>
            <w:r>
              <w:rPr>
                <w:rFonts w:ascii="Arial" w:cs="Arial" w:eastAsia="Arial" w:hAnsi="Arial"/>
                <w:color w:val="9B2226"/>
                <w:sz w:val="20"/>
                <w:szCs w:val="20"/>
              </w:rPr>
              <w:t xml:space="preserve">$13,364</w:t>
            </w:r>
          </w:p>
        </w:tc>
      </w:tr>
      <w:tr>
        <w:tc>
          <w:tcPr>
            <w:tcW w:type="dxa" w:w="36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r>
              <w:rPr>
                <w:rFonts w:ascii="Arial" w:cs="Arial" w:eastAsia="Arial" w:hAnsi="Arial"/>
                <w:b/>
                <w:bCs/>
                <w:color w:val="7B4F12"/>
                <w:sz w:val="20"/>
                <w:szCs w:val="20"/>
              </w:rPr>
              <w:t xml:space="preserve">Single-Origin Ethiopian (250g)</w:t>
            </w:r>
          </w:p>
        </w:tc>
        <w:tc>
          <w:tcPr>
            <w:tcW w:type="dxa" w:w="19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color w:val="7B4F12"/>
                <w:sz w:val="20"/>
                <w:szCs w:val="20"/>
              </w:rPr>
              <w:t xml:space="preserve">Consumables</w:t>
            </w:r>
          </w:p>
        </w:tc>
        <w:tc>
          <w:tcPr>
            <w:tcW w:type="dxa" w:w="143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color w:val="7B4F12"/>
                <w:sz w:val="20"/>
                <w:szCs w:val="20"/>
              </w:rPr>
              <w:t xml:space="preserve">34.8%</w:t>
            </w:r>
          </w:p>
        </w:tc>
        <w:tc>
          <w:tcPr>
            <w:tcW w:type="dxa" w:w="243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color w:val="7B4F12"/>
                <w:sz w:val="20"/>
                <w:szCs w:val="20"/>
              </w:rPr>
              <w:t xml:space="preserve">$3,040</w:t>
            </w:r>
          </w:p>
        </w:tc>
      </w:tr>
      <w:tr>
        <w:tc>
          <w:tcPr>
            <w:tcW w:type="dxa" w:w="36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r>
              <w:rPr>
                <w:rFonts w:ascii="Arial" w:cs="Arial" w:eastAsia="Arial" w:hAnsi="Arial"/>
                <w:b/>
                <w:bCs/>
                <w:color w:val="7B4F12"/>
                <w:sz w:val="20"/>
                <w:szCs w:val="20"/>
              </w:rPr>
              <w:t xml:space="preserve">Espresso Bean Sampler Pack</w:t>
            </w:r>
          </w:p>
        </w:tc>
        <w:tc>
          <w:tcPr>
            <w:tcW w:type="dxa" w:w="190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color w:val="7B4F12"/>
                <w:sz w:val="20"/>
                <w:szCs w:val="20"/>
              </w:rPr>
              <w:t xml:space="preserve">Consumables</w:t>
            </w:r>
          </w:p>
        </w:tc>
        <w:tc>
          <w:tcPr>
            <w:tcW w:type="dxa" w:w="143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color w:val="7B4F12"/>
                <w:sz w:val="20"/>
                <w:szCs w:val="20"/>
              </w:rPr>
              <w:t xml:space="preserve">37.2%</w:t>
            </w:r>
          </w:p>
        </w:tc>
        <w:tc>
          <w:tcPr>
            <w:tcW w:type="dxa" w:w="2430"/>
            <w:tcBorders>
              <w:top w:val="single" w:color="DDDDDD" w:sz="1"/>
              <w:left w:val="single" w:color="DDDDDD" w:sz="1"/>
              <w:bottom w:val="single" w:color="DDDDDD" w:sz="1"/>
              <w:right w:val="single" w:color="DDDDDD" w:sz="1"/>
            </w:tcBorders>
            <w:shd w:fill="FFF3CD" w:val="clear"/>
            <w:tcMar>
              <w:top w:type="dxa" w:w="80"/>
              <w:left w:type="dxa" w:w="120"/>
              <w:bottom w:type="dxa" w:w="80"/>
              <w:right w:type="dxa" w:w="120"/>
            </w:tcMar>
          </w:tcPr>
          <w:p>
            <w:pPr>
              <w:jc w:val="center"/>
            </w:pPr>
            <w:r>
              <w:rPr>
                <w:rFonts w:ascii="Arial" w:cs="Arial" w:eastAsia="Arial" w:hAnsi="Arial"/>
                <w:color w:val="7B4F12"/>
                <w:sz w:val="20"/>
                <w:szCs w:val="20"/>
              </w:rPr>
              <w:t xml:space="preserve">$1,925</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A5568"/>
                <w:sz w:val="20"/>
                <w:szCs w:val="20"/>
              </w:rPr>
              <w:t xml:space="preserve">Monthly Dark Roast Subscription</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Subscriptions</w:t>
            </w:r>
          </w:p>
        </w:tc>
        <w:tc>
          <w:tcPr>
            <w:tcW w:type="dxa" w:w="1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40.4%</w:t>
            </w:r>
          </w:p>
        </w:tc>
        <w:tc>
          <w:tcPr>
            <w:tcW w:type="dxa" w:w="2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$8,025</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A5568"/>
                <w:sz w:val="20"/>
                <w:szCs w:val="20"/>
              </w:rPr>
              <w:t xml:space="preserve">Digital Coffee Scale</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Accessories</w:t>
            </w:r>
          </w:p>
        </w:tc>
        <w:tc>
          <w:tcPr>
            <w:tcW w:type="dxa" w:w="1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43.4%</w:t>
            </w:r>
          </w:p>
        </w:tc>
        <w:tc>
          <w:tcPr>
            <w:tcW w:type="dxa" w:w="2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$2,924</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A5568"/>
                <w:sz w:val="20"/>
                <w:szCs w:val="20"/>
              </w:rPr>
              <w:t xml:space="preserve">Automated Drip Brewer</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Grinders &amp; Brewers</w:t>
            </w:r>
          </w:p>
        </w:tc>
        <w:tc>
          <w:tcPr>
            <w:tcW w:type="dxa" w:w="1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43.8%</w:t>
            </w:r>
          </w:p>
        </w:tc>
        <w:tc>
          <w:tcPr>
            <w:tcW w:type="dxa" w:w="2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$31,592</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A5568"/>
                <w:sz w:val="20"/>
                <w:szCs w:val="20"/>
              </w:rPr>
              <w:t xml:space="preserve">Hand Grinder (Travel Size)</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Grinders &amp; Brewers</w:t>
            </w:r>
          </w:p>
        </w:tc>
        <w:tc>
          <w:tcPr>
            <w:tcW w:type="dxa" w:w="1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48.9%</w:t>
            </w:r>
          </w:p>
        </w:tc>
        <w:tc>
          <w:tcPr>
            <w:tcW w:type="dxa" w:w="2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$32,095</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A5568"/>
                <w:sz w:val="20"/>
                <w:szCs w:val="20"/>
              </w:rPr>
              <w:t xml:space="preserve">Insulated Travel Tumbler</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Merchandise</w:t>
            </w:r>
          </w:p>
        </w:tc>
        <w:tc>
          <w:tcPr>
            <w:tcW w:type="dxa" w:w="1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51.9%</w:t>
            </w:r>
          </w:p>
        </w:tc>
        <w:tc>
          <w:tcPr>
            <w:tcW w:type="dxa" w:w="2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$6,795</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A5568"/>
                <w:sz w:val="20"/>
                <w:szCs w:val="20"/>
              </w:rPr>
              <w:t xml:space="preserve">High-Capacity French Press</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Grinders &amp; Brewers</w:t>
            </w:r>
          </w:p>
        </w:tc>
        <w:tc>
          <w:tcPr>
            <w:tcW w:type="dxa" w:w="1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56.2%</w:t>
            </w:r>
          </w:p>
        </w:tc>
        <w:tc>
          <w:tcPr>
            <w:tcW w:type="dxa" w:w="2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$43,987</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A5568"/>
                <w:sz w:val="20"/>
                <w:szCs w:val="20"/>
              </w:rPr>
              <w:t xml:space="preserve">Cold Brew Concentrate</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Consumables</w:t>
            </w:r>
          </w:p>
        </w:tc>
        <w:tc>
          <w:tcPr>
            <w:tcW w:type="dxa" w:w="1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57.1%</w:t>
            </w:r>
          </w:p>
        </w:tc>
        <w:tc>
          <w:tcPr>
            <w:tcW w:type="dxa" w:w="2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$2,795</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A5568"/>
                <w:sz w:val="20"/>
                <w:szCs w:val="20"/>
              </w:rPr>
              <w:t xml:space="preserve">Three-Month Gift Subscription</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Subscriptions</w:t>
            </w:r>
          </w:p>
        </w:tc>
        <w:tc>
          <w:tcPr>
            <w:tcW w:type="dxa" w:w="1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57.7%</w:t>
            </w:r>
          </w:p>
        </w:tc>
        <w:tc>
          <w:tcPr>
            <w:tcW w:type="dxa" w:w="2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$8,673</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A5568"/>
                <w:sz w:val="20"/>
                <w:szCs w:val="20"/>
              </w:rPr>
              <w:t xml:space="preserve">Airtight Storage Container</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Accessories</w:t>
            </w:r>
          </w:p>
        </w:tc>
        <w:tc>
          <w:tcPr>
            <w:tcW w:type="dxa" w:w="1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57.9%</w:t>
            </w:r>
          </w:p>
        </w:tc>
        <w:tc>
          <w:tcPr>
            <w:tcW w:type="dxa" w:w="2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$7,508</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A5568"/>
                <w:sz w:val="20"/>
                <w:szCs w:val="20"/>
              </w:rPr>
              <w:t xml:space="preserve">Refillable Coffee Pods</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Accessories</w:t>
            </w:r>
          </w:p>
        </w:tc>
        <w:tc>
          <w:tcPr>
            <w:tcW w:type="dxa" w:w="1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60.2%</w:t>
            </w:r>
          </w:p>
        </w:tc>
        <w:tc>
          <w:tcPr>
            <w:tcW w:type="dxa" w:w="2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$2,968</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A5568"/>
                <w:sz w:val="20"/>
                <w:szCs w:val="20"/>
              </w:rPr>
              <w:t xml:space="preserve">Daily Grind T-Shirt</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Merchandise</w:t>
            </w:r>
          </w:p>
        </w:tc>
        <w:tc>
          <w:tcPr>
            <w:tcW w:type="dxa" w:w="1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61.4%</w:t>
            </w:r>
          </w:p>
        </w:tc>
        <w:tc>
          <w:tcPr>
            <w:tcW w:type="dxa" w:w="2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$2,500</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A5568"/>
                <w:sz w:val="20"/>
                <w:szCs w:val="20"/>
              </w:rPr>
              <w:t xml:space="preserve">Subscription Renewal Service</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Subscriptions</w:t>
            </w:r>
          </w:p>
        </w:tc>
        <w:tc>
          <w:tcPr>
            <w:tcW w:type="dxa" w:w="1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62.8%</w:t>
            </w:r>
          </w:p>
        </w:tc>
        <w:tc>
          <w:tcPr>
            <w:tcW w:type="dxa" w:w="2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$12,333</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A5568"/>
                <w:sz w:val="20"/>
                <w:szCs w:val="20"/>
              </w:rPr>
              <w:t xml:space="preserve">Precision Electric Grinder</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Grinders &amp; Brewers</w:t>
            </w:r>
          </w:p>
        </w:tc>
        <w:tc>
          <w:tcPr>
            <w:tcW w:type="dxa" w:w="1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64.9%</w:t>
            </w:r>
          </w:p>
        </w:tc>
        <w:tc>
          <w:tcPr>
            <w:tcW w:type="dxa" w:w="2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$23,917</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A5568"/>
                <w:sz w:val="20"/>
                <w:szCs w:val="20"/>
              </w:rPr>
              <w:t xml:space="preserve">Decaf Blend (1kg)</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Consumables</w:t>
            </w:r>
          </w:p>
        </w:tc>
        <w:tc>
          <w:tcPr>
            <w:tcW w:type="dxa" w:w="1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68.1%</w:t>
            </w:r>
          </w:p>
        </w:tc>
        <w:tc>
          <w:tcPr>
            <w:tcW w:type="dxa" w:w="2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$5,447</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A5568"/>
                <w:sz w:val="20"/>
                <w:szCs w:val="20"/>
              </w:rPr>
              <w:t xml:space="preserve">Bi-Weekly Sampler Box</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Subscriptions</w:t>
            </w:r>
          </w:p>
        </w:tc>
        <w:tc>
          <w:tcPr>
            <w:tcW w:type="dxa" w:w="1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72.6%</w:t>
            </w:r>
          </w:p>
        </w:tc>
        <w:tc>
          <w:tcPr>
            <w:tcW w:type="dxa" w:w="2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$14,114</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A5568"/>
                <w:sz w:val="20"/>
                <w:szCs w:val="20"/>
              </w:rPr>
              <w:t xml:space="preserve">Espresso Lovers Quarterly Pack</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Subscriptions</w:t>
            </w:r>
          </w:p>
        </w:tc>
        <w:tc>
          <w:tcPr>
            <w:tcW w:type="dxa" w:w="1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73.8%</w:t>
            </w:r>
          </w:p>
        </w:tc>
        <w:tc>
          <w:tcPr>
            <w:tcW w:type="dxa" w:w="24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4A5568"/>
                <w:sz w:val="20"/>
                <w:szCs w:val="20"/>
              </w:rPr>
              <w:t xml:space="preserve">$9,359</w:t>
            </w:r>
          </w:p>
        </w:tc>
      </w:tr>
      <w:tr>
        <w:tc>
          <w:tcPr>
            <w:tcW w:type="dxa" w:w="3600"/>
            <w:tcBorders>
              <w:top w:val="single" w:color="DDDDDD" w:sz="1"/>
              <w:left w:val="single" w:color="DDDDDD" w:sz="1"/>
              <w:bottom w:val="single" w:color="DDDDDD" w:sz="1"/>
              <w:right w:val="single" w:color="DDDDDD" w:sz="1"/>
            </w:tcBorders>
            <w:shd w:fill="D8F3DC" w:val="clear"/>
            <w:tcMar>
              <w:top w:type="dxa" w:w="80"/>
              <w:left w:type="dxa" w:w="120"/>
              <w:bottom w:type="dxa" w:w="80"/>
              <w:right w:type="dxa" w:w="120"/>
            </w:tcMar>
          </w:tcPr>
          <w:p>
            <w:r>
              <w:rPr>
                <w:rFonts w:ascii="Arial" w:cs="Arial" w:eastAsia="Arial" w:hAnsi="Arial"/>
                <w:b/>
                <w:bCs/>
                <w:color w:val="2D6A4F"/>
                <w:sz w:val="20"/>
                <w:szCs w:val="20"/>
              </w:rPr>
              <w:t xml:space="preserve">Seasonal Blend Light Roast</w:t>
            </w:r>
          </w:p>
        </w:tc>
        <w:tc>
          <w:tcPr>
            <w:tcW w:type="dxa" w:w="1900"/>
            <w:tcBorders>
              <w:top w:val="single" w:color="DDDDDD" w:sz="1"/>
              <w:left w:val="single" w:color="DDDDDD" w:sz="1"/>
              <w:bottom w:val="single" w:color="DDDDDD" w:sz="1"/>
              <w:right w:val="single" w:color="DDDDDD" w:sz="1"/>
            </w:tcBorders>
            <w:shd w:fill="D8F3DC" w:val="clear"/>
            <w:tcMar>
              <w:top w:type="dxa" w:w="80"/>
              <w:left w:type="dxa" w:w="120"/>
              <w:bottom w:type="dxa" w:w="80"/>
              <w:right w:type="dxa" w:w="120"/>
            </w:tcMar>
          </w:tcPr>
          <w:p>
            <w:pPr>
              <w:jc w:val="center"/>
            </w:pPr>
            <w:r>
              <w:rPr>
                <w:rFonts w:ascii="Arial" w:cs="Arial" w:eastAsia="Arial" w:hAnsi="Arial"/>
                <w:color w:val="2D6A4F"/>
                <w:sz w:val="20"/>
                <w:szCs w:val="20"/>
              </w:rPr>
              <w:t xml:space="preserve">Consumables</w:t>
            </w:r>
          </w:p>
        </w:tc>
        <w:tc>
          <w:tcPr>
            <w:tcW w:type="dxa" w:w="1430"/>
            <w:tcBorders>
              <w:top w:val="single" w:color="DDDDDD" w:sz="1"/>
              <w:left w:val="single" w:color="DDDDDD" w:sz="1"/>
              <w:bottom w:val="single" w:color="DDDDDD" w:sz="1"/>
              <w:right w:val="single" w:color="DDDDDD" w:sz="1"/>
            </w:tcBorders>
            <w:shd w:fill="D8F3DC" w:val="clear"/>
            <w:tcMar>
              <w:top w:type="dxa" w:w="80"/>
              <w:left w:type="dxa" w:w="120"/>
              <w:bottom w:type="dxa" w:w="80"/>
              <w:right w:type="dxa" w:w="120"/>
            </w:tcMar>
          </w:tcPr>
          <w:p>
            <w:pPr>
              <w:jc w:val="center"/>
            </w:pPr>
            <w:r>
              <w:rPr>
                <w:rFonts w:ascii="Arial" w:cs="Arial" w:eastAsia="Arial" w:hAnsi="Arial"/>
                <w:color w:val="2D6A4F"/>
                <w:sz w:val="20"/>
                <w:szCs w:val="20"/>
              </w:rPr>
              <w:t xml:space="preserve">82.6%</w:t>
            </w:r>
          </w:p>
        </w:tc>
        <w:tc>
          <w:tcPr>
            <w:tcW w:type="dxa" w:w="2430"/>
            <w:tcBorders>
              <w:top w:val="single" w:color="DDDDDD" w:sz="1"/>
              <w:left w:val="single" w:color="DDDDDD" w:sz="1"/>
              <w:bottom w:val="single" w:color="DDDDDD" w:sz="1"/>
              <w:right w:val="single" w:color="DDDDDD" w:sz="1"/>
            </w:tcBorders>
            <w:shd w:fill="D8F3DC" w:val="clear"/>
            <w:tcMar>
              <w:top w:type="dxa" w:w="80"/>
              <w:left w:type="dxa" w:w="120"/>
              <w:bottom w:type="dxa" w:w="80"/>
              <w:right w:type="dxa" w:w="120"/>
            </w:tcMar>
          </w:tcPr>
          <w:p>
            <w:pPr>
              <w:jc w:val="center"/>
            </w:pPr>
            <w:r>
              <w:rPr>
                <w:rFonts w:ascii="Arial" w:cs="Arial" w:eastAsia="Arial" w:hAnsi="Arial"/>
                <w:color w:val="2D6A4F"/>
                <w:sz w:val="20"/>
                <w:szCs w:val="20"/>
              </w:rPr>
              <w:t xml:space="preserve">$3,482</w:t>
            </w:r>
          </w:p>
        </w:tc>
      </w:tr>
    </w:tbl>
    <w:p>
      <w:pPr>
        <w:spacing w:before="240" w:after="0"/>
      </w:pPr>
      <w:r>
        <w:rPr>
          <w:rFonts w:ascii="Arial" w:cs="Arial" w:eastAsia="Arial" w:hAnsi="Arial"/>
        </w:rPr>
        <w:t xml:space="preserve"/>
      </w:r>
    </w:p>
    <w:p>
      <w:pPr>
        <w:pBdr>
          <w:top w:val="single" w:color="00B4D8" w:sz="4" w:space="4"/>
        </w:pBdr>
        <w:spacing w:before="240"/>
        <w:jc w:val="center"/>
      </w:pPr>
      <w:r>
        <w:rPr>
          <w:rFonts w:ascii="Arial" w:cs="Arial" w:eastAsia="Arial" w:hAnsi="Arial"/>
          <w:color w:val="888888"/>
          <w:sz w:val="18"/>
          <w:szCs w:val="18"/>
        </w:rPr>
        <w:t xml:space="preserve">The Daily Grind Coffee — Pricing Review 2023–2025  |  Confidential  |  Internal Use Only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4D8" w:sz="4" w:space="4"/>
      </w:pBdr>
      <w:tabs>
        <w:tab w:val="right" w:pos="9026"/>
      </w:tabs>
      <w:spacing w:before="120"/>
    </w:pPr>
    <w:r>
      <w:rPr>
        <w:rFonts w:ascii="Arial" w:cs="Arial" w:eastAsia="Arial" w:hAnsi="Arial"/>
        <w:color w:val="888888"/>
        <w:sz w:val="18"/>
        <w:szCs w:val="18"/>
      </w:rPr>
      <w:t xml:space="preserve">Confidential — Internal Use Only</w:t>
    </w:r>
    <w:r>
      <w:rPr>
        <w:rFonts w:ascii="Arial" w:cs="Arial" w:eastAsia="Arial" w:hAnsi="Arial"/>
        <w:sz w:val="18"/>
        <w:szCs w:val="18"/>
      </w:rPr>
      <w:t xml:space="preserve">	</w:t>
    </w:r>
    <w:r>
      <w:rPr>
        <w:rFonts w:ascii="Arial" w:cs="Arial" w:eastAsia="Arial" w:hAnsi="Arial"/>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4" w:space="4"/>
      </w:pBdr>
      <w:spacing w:after="120"/>
      <w:jc w:val="right"/>
    </w:pPr>
    <w:r>
      <w:rPr>
        <w:rFonts w:ascii="Arial" w:cs="Arial" w:eastAsia="Arial" w:hAnsi="Arial"/>
        <w:color w:val="888888"/>
        <w:sz w:val="18"/>
        <w:szCs w:val="18"/>
      </w:rPr>
      <w:t xml:space="preserve">The Daily Grind Coffee  |  Sales &amp; Margin Analysis 2023–2025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0F3460"/>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2026-03-17T04:58:54.562Z</dcterms:created>
  <dcterms:modified xsi:type="dcterms:W3CDTF">2026-03-17T04:58:54.563Z</dcterms:modified>
</cp:coreProperties>
</file>

<file path=docProps/custom.xml><?xml version="1.0" encoding="utf-8"?>
<Properties xmlns="http://schemas.openxmlformats.org/officeDocument/2006/custom-properties" xmlns:vt="http://schemas.openxmlformats.org/officeDocument/2006/docPropsVTypes"/>
</file>