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60"/>
        <w:jc w:val="center"/>
      </w:pPr>
      <w:r>
        <w:rPr>
          <w:rFonts w:ascii="Calibri" w:cs="Calibri" w:eastAsia="Calibri" w:hAnsi="Calibri"/>
          <w:b/>
          <w:bCs/>
          <w:color w:val="2E75B6"/>
          <w:sz w:val="24"/>
          <w:szCs w:val="24"/>
        </w:rPr>
        <w:t xml:space="preserve">THEORY OF COMPUTATION &amp; AUTOMATA</w:t>
      </w:r>
    </w:p>
    <w:p>
      <w:pPr>
        <w:spacing w:after="40"/>
        <w:jc w:val="center"/>
      </w:pPr>
      <w:r>
        <w:rPr>
          <w:rFonts w:ascii="Calibri" w:cs="Calibri" w:eastAsia="Calibri" w:hAnsi="Calibri"/>
          <w:color w:val="595959"/>
          <w:sz w:val="22"/>
          <w:szCs w:val="22"/>
        </w:rPr>
        <w:t xml:space="preserve">Project 4  —  Group Project Report</w:t>
      </w:r>
    </w:p>
    <w:p>
      <w:pPr>
        <w:pBdr>
          <w:bottom w:val="single" w:color="1F4E79" w:sz="12" w:space="6"/>
        </w:pBdr>
        <w:spacing w:after="280" w:before="60"/>
      </w:pPr>
      <w:r>
        <w:t xml:space="preserve"/>
      </w:r>
    </w:p>
    <w:p>
      <w:pPr>
        <w:spacing w:after="80" w:before="160"/>
        <w:jc w:val="center"/>
      </w:pPr>
      <w:r>
        <w:rPr>
          <w:rFonts w:ascii="Calibri" w:cs="Calibri" w:eastAsia="Calibri" w:hAnsi="Calibri"/>
          <w:b/>
          <w:bCs/>
          <w:color w:val="1F4E79"/>
          <w:sz w:val="76"/>
          <w:szCs w:val="76"/>
        </w:rPr>
        <w:t xml:space="preserve">StringLab</w:t>
      </w:r>
    </w:p>
    <w:p>
      <w:pPr>
        <w:spacing w:after="60"/>
        <w:jc w:val="center"/>
      </w:pPr>
      <w:r>
        <w:rPr>
          <w:rFonts w:ascii="Calibri" w:cs="Calibri" w:eastAsia="Calibri" w:hAnsi="Calibri"/>
          <w:color w:val="404040"/>
          <w:sz w:val="32"/>
          <w:szCs w:val="32"/>
        </w:rPr>
        <w:t xml:space="preserve">An Interactive Web Toolkit for the Analysis of</w:t>
      </w:r>
    </w:p>
    <w:p>
      <w:pPr>
        <w:spacing w:after="300"/>
        <w:jc w:val="center"/>
      </w:pPr>
      <w:r>
        <w:rPr>
          <w:rFonts w:ascii="Calibri" w:cs="Calibri" w:eastAsia="Calibri" w:hAnsi="Calibri"/>
          <w:color w:val="404040"/>
          <w:sz w:val="32"/>
          <w:szCs w:val="32"/>
        </w:rPr>
        <w:t xml:space="preserve">Character Sequences and String Problems</w:t>
      </w:r>
    </w:p>
    <w:p>
      <w:pPr>
        <w:spacing w:after="560"/>
        <w:jc w:val="center"/>
      </w:pPr>
      <w:r>
        <w:rPr>
          <w:rFonts w:ascii="Calibri" w:cs="Calibri" w:eastAsia="Calibri" w:hAnsi="Calibri"/>
          <w:i/>
          <w:iCs/>
          <w:color w:val="595959"/>
          <w:sz w:val="22"/>
          <w:szCs w:val="22"/>
        </w:rPr>
        <w:t xml:space="preserve">A Python-powered application that makes string algorithms visible — and traces their roots in computation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left w:val="none"/>
              <w:bottom w:val="none"/>
              <w:right w:val="none"/>
            </w:tcBorders>
            <w:tcMar>
              <w:top w:type="dxa" w:w="50"/>
              <w:left w:type="dxa" w:w="0"/>
              <w:bottom w:type="dxa" w:w="50"/>
              <w:right w:type="dxa" w:w="120"/>
            </w:tcMar>
          </w:tcPr>
          <w:p>
            <w:r>
              <w:rPr>
                <w:rFonts w:ascii="Calibri" w:cs="Calibri" w:eastAsia="Calibri" w:hAnsi="Calibri"/>
                <w:b/>
                <w:bCs/>
                <w:color w:val="1F4E79"/>
                <w:sz w:val="22"/>
                <w:szCs w:val="22"/>
              </w:rPr>
              <w:t xml:space="preserve">Institution</w:t>
            </w:r>
          </w:p>
        </w:tc>
        <w:tc>
          <w:tcPr>
            <w:tcW w:type="dxa" w:w="6360"/>
            <w:tcBorders>
              <w:top w:val="none"/>
              <w:left w:val="none"/>
              <w:bottom w:val="single" w:color="DDDDDD" w:sz="2"/>
              <w:right w:val="none"/>
            </w:tcBorders>
            <w:tcMar>
              <w:top w:type="dxa" w:w="50"/>
              <w:left w:type="dxa" w:w="0"/>
              <w:bottom w:type="dxa" w:w="50"/>
              <w:right w:type="dxa" w:w="0"/>
            </w:tcMar>
          </w:tcPr>
          <w:p>
            <w:r>
              <w:rPr>
                <w:rFonts w:ascii="Calibri" w:cs="Calibri" w:eastAsia="Calibri" w:hAnsi="Calibri"/>
                <w:color w:val="333333"/>
                <w:sz w:val="22"/>
                <w:szCs w:val="22"/>
              </w:rPr>
              <w:t xml:space="preserve">[University / School Name]</w:t>
            </w:r>
          </w:p>
        </w:tc>
      </w:tr>
      <w:tr>
        <w:tc>
          <w:tcPr>
            <w:tcW w:type="dxa" w:w="3000"/>
            <w:tcBorders>
              <w:top w:val="none"/>
              <w:left w:val="none"/>
              <w:bottom w:val="none"/>
              <w:right w:val="none"/>
            </w:tcBorders>
            <w:tcMar>
              <w:top w:type="dxa" w:w="50"/>
              <w:left w:type="dxa" w:w="0"/>
              <w:bottom w:type="dxa" w:w="50"/>
              <w:right w:type="dxa" w:w="120"/>
            </w:tcMar>
          </w:tcPr>
          <w:p>
            <w:r>
              <w:rPr>
                <w:rFonts w:ascii="Calibri" w:cs="Calibri" w:eastAsia="Calibri" w:hAnsi="Calibri"/>
                <w:b/>
                <w:bCs/>
                <w:color w:val="1F4E79"/>
                <w:sz w:val="22"/>
                <w:szCs w:val="22"/>
              </w:rPr>
              <w:t xml:space="preserve">Programme</w:t>
            </w:r>
          </w:p>
        </w:tc>
        <w:tc>
          <w:tcPr>
            <w:tcW w:type="dxa" w:w="6360"/>
            <w:tcBorders>
              <w:top w:val="none"/>
              <w:left w:val="none"/>
              <w:bottom w:val="single" w:color="DDDDDD" w:sz="2"/>
              <w:right w:val="none"/>
            </w:tcBorders>
            <w:tcMar>
              <w:top w:type="dxa" w:w="50"/>
              <w:left w:type="dxa" w:w="0"/>
              <w:bottom w:type="dxa" w:w="50"/>
              <w:right w:type="dxa" w:w="0"/>
            </w:tcMar>
          </w:tcPr>
          <w:p>
            <w:r>
              <w:rPr>
                <w:rFonts w:ascii="Calibri" w:cs="Calibri" w:eastAsia="Calibri" w:hAnsi="Calibri"/>
                <w:color w:val="333333"/>
                <w:sz w:val="22"/>
                <w:szCs w:val="22"/>
              </w:rPr>
              <w:t xml:space="preserve">Master of Computer Science Engineering</w:t>
            </w:r>
          </w:p>
        </w:tc>
      </w:tr>
      <w:tr>
        <w:tc>
          <w:tcPr>
            <w:tcW w:type="dxa" w:w="3000"/>
            <w:tcBorders>
              <w:top w:val="none"/>
              <w:left w:val="none"/>
              <w:bottom w:val="none"/>
              <w:right w:val="none"/>
            </w:tcBorders>
            <w:tcMar>
              <w:top w:type="dxa" w:w="50"/>
              <w:left w:type="dxa" w:w="0"/>
              <w:bottom w:type="dxa" w:w="50"/>
              <w:right w:type="dxa" w:w="120"/>
            </w:tcMar>
          </w:tcPr>
          <w:p>
            <w:r>
              <w:rPr>
                <w:rFonts w:ascii="Calibri" w:cs="Calibri" w:eastAsia="Calibri" w:hAnsi="Calibri"/>
                <w:b/>
                <w:bCs/>
                <w:color w:val="1F4E79"/>
                <w:sz w:val="22"/>
                <w:szCs w:val="22"/>
              </w:rPr>
              <w:t xml:space="preserve">Course</w:t>
            </w:r>
          </w:p>
        </w:tc>
        <w:tc>
          <w:tcPr>
            <w:tcW w:type="dxa" w:w="6360"/>
            <w:tcBorders>
              <w:top w:val="none"/>
              <w:left w:val="none"/>
              <w:bottom w:val="single" w:color="DDDDDD" w:sz="2"/>
              <w:right w:val="none"/>
            </w:tcBorders>
            <w:tcMar>
              <w:top w:type="dxa" w:w="50"/>
              <w:left w:type="dxa" w:w="0"/>
              <w:bottom w:type="dxa" w:w="50"/>
              <w:right w:type="dxa" w:w="0"/>
            </w:tcMar>
          </w:tcPr>
          <w:p>
            <w:r>
              <w:rPr>
                <w:rFonts w:ascii="Calibri" w:cs="Calibri" w:eastAsia="Calibri" w:hAnsi="Calibri"/>
                <w:color w:val="333333"/>
                <w:sz w:val="22"/>
                <w:szCs w:val="22"/>
              </w:rPr>
              <w:t xml:space="preserve">Theory of Computation &amp; Automata</w:t>
            </w:r>
          </w:p>
        </w:tc>
      </w:tr>
      <w:tr>
        <w:tc>
          <w:tcPr>
            <w:tcW w:type="dxa" w:w="3000"/>
            <w:tcBorders>
              <w:top w:val="none"/>
              <w:left w:val="none"/>
              <w:bottom w:val="none"/>
              <w:right w:val="none"/>
            </w:tcBorders>
            <w:tcMar>
              <w:top w:type="dxa" w:w="50"/>
              <w:left w:type="dxa" w:w="0"/>
              <w:bottom w:type="dxa" w:w="50"/>
              <w:right w:type="dxa" w:w="120"/>
            </w:tcMar>
          </w:tcPr>
          <w:p>
            <w:r>
              <w:rPr>
                <w:rFonts w:ascii="Calibri" w:cs="Calibri" w:eastAsia="Calibri" w:hAnsi="Calibri"/>
                <w:b/>
                <w:bCs/>
                <w:color w:val="1F4E79"/>
                <w:sz w:val="22"/>
                <w:szCs w:val="22"/>
              </w:rPr>
              <w:t xml:space="preserve">Supervisor</w:t>
            </w:r>
          </w:p>
        </w:tc>
        <w:tc>
          <w:tcPr>
            <w:tcW w:type="dxa" w:w="6360"/>
            <w:tcBorders>
              <w:top w:val="none"/>
              <w:left w:val="none"/>
              <w:bottom w:val="single" w:color="DDDDDD" w:sz="2"/>
              <w:right w:val="none"/>
            </w:tcBorders>
            <w:tcMar>
              <w:top w:type="dxa" w:w="50"/>
              <w:left w:type="dxa" w:w="0"/>
              <w:bottom w:type="dxa" w:w="50"/>
              <w:right w:type="dxa" w:w="0"/>
            </w:tcMar>
          </w:tcPr>
          <w:p>
            <w:r>
              <w:rPr>
                <w:rFonts w:ascii="Calibri" w:cs="Calibri" w:eastAsia="Calibri" w:hAnsi="Calibri"/>
                <w:color w:val="333333"/>
                <w:sz w:val="22"/>
                <w:szCs w:val="22"/>
              </w:rPr>
              <w:t xml:space="preserve">[Lecturer / Instructor Name]</w:t>
            </w:r>
          </w:p>
        </w:tc>
      </w:tr>
      <w:tr>
        <w:tc>
          <w:tcPr>
            <w:tcW w:type="dxa" w:w="3000"/>
            <w:tcBorders>
              <w:top w:val="none"/>
              <w:left w:val="none"/>
              <w:bottom w:val="none"/>
              <w:right w:val="none"/>
            </w:tcBorders>
            <w:tcMar>
              <w:top w:type="dxa" w:w="50"/>
              <w:left w:type="dxa" w:w="0"/>
              <w:bottom w:type="dxa" w:w="50"/>
              <w:right w:type="dxa" w:w="120"/>
            </w:tcMar>
          </w:tcPr>
          <w:p>
            <w:r>
              <w:rPr>
                <w:rFonts w:ascii="Calibri" w:cs="Calibri" w:eastAsia="Calibri" w:hAnsi="Calibri"/>
                <w:b/>
                <w:bCs/>
                <w:color w:val="1F4E79"/>
                <w:sz w:val="22"/>
                <w:szCs w:val="22"/>
              </w:rPr>
              <w:t xml:space="preserve">Team</w:t>
            </w:r>
          </w:p>
        </w:tc>
        <w:tc>
          <w:tcPr>
            <w:tcW w:type="dxa" w:w="6360"/>
            <w:tcBorders>
              <w:top w:val="none"/>
              <w:left w:val="none"/>
              <w:bottom w:val="single" w:color="DDDDDD" w:sz="2"/>
              <w:right w:val="none"/>
            </w:tcBorders>
            <w:tcMar>
              <w:top w:type="dxa" w:w="50"/>
              <w:left w:type="dxa" w:w="0"/>
              <w:bottom w:type="dxa" w:w="50"/>
              <w:right w:type="dxa" w:w="0"/>
            </w:tcMar>
          </w:tcPr>
          <w:p>
            <w:r>
              <w:rPr>
                <w:rFonts w:ascii="Calibri" w:cs="Calibri" w:eastAsia="Calibri" w:hAnsi="Calibri"/>
                <w:color w:val="333333"/>
                <w:sz w:val="22"/>
                <w:szCs w:val="22"/>
              </w:rPr>
              <w:t xml:space="preserve">[Member 1] · [Member 2] · [Member 3] · [Member 4]</w:t>
            </w:r>
          </w:p>
        </w:tc>
      </w:tr>
      <w:tr>
        <w:tc>
          <w:tcPr>
            <w:tcW w:type="dxa" w:w="3000"/>
            <w:tcBorders>
              <w:top w:val="none"/>
              <w:left w:val="none"/>
              <w:bottom w:val="none"/>
              <w:right w:val="none"/>
            </w:tcBorders>
            <w:tcMar>
              <w:top w:type="dxa" w:w="50"/>
              <w:left w:type="dxa" w:w="0"/>
              <w:bottom w:type="dxa" w:w="50"/>
              <w:right w:type="dxa" w:w="120"/>
            </w:tcMar>
          </w:tcPr>
          <w:p>
            <w:r>
              <w:rPr>
                <w:rFonts w:ascii="Calibri" w:cs="Calibri" w:eastAsia="Calibri" w:hAnsi="Calibri"/>
                <w:b/>
                <w:bCs/>
                <w:color w:val="1F4E79"/>
                <w:sz w:val="22"/>
                <w:szCs w:val="22"/>
              </w:rPr>
              <w:t xml:space="preserve">Date</w:t>
            </w:r>
          </w:p>
        </w:tc>
        <w:tc>
          <w:tcPr>
            <w:tcW w:type="dxa" w:w="6360"/>
            <w:tcBorders>
              <w:top w:val="none"/>
              <w:left w:val="none"/>
              <w:bottom w:val="single" w:color="DDDDDD" w:sz="2"/>
              <w:right w:val="none"/>
            </w:tcBorders>
            <w:tcMar>
              <w:top w:type="dxa" w:w="50"/>
              <w:left w:type="dxa" w:w="0"/>
              <w:bottom w:type="dxa" w:w="50"/>
              <w:right w:type="dxa" w:w="0"/>
            </w:tcMar>
          </w:tcPr>
          <w:p>
            <w:r>
              <w:rPr>
                <w:rFonts w:ascii="Calibri" w:cs="Calibri" w:eastAsia="Calibri" w:hAnsi="Calibri"/>
                <w:color w:val="333333"/>
                <w:sz w:val="22"/>
                <w:szCs w:val="22"/>
              </w:rPr>
              <w:t xml:space="preserve">June 2026</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Abstract</w:t>
      </w:r>
    </w:p>
    <w:p>
      <w:pPr>
        <w:spacing w:after="140" w:before="0" w:line="288"/>
      </w:pPr>
      <w:r>
        <w:rPr>
          <w:rFonts w:ascii="Calibri" w:cs="Calibri" w:eastAsia="Calibri" w:hAnsi="Calibri"/>
          <w:sz w:val="22"/>
          <w:szCs w:val="22"/>
        </w:rPr>
        <w:t xml:space="preserve">StringLab is a web application that analyses sequences of characters and solves a broad family of string problems, fulfilling the requirements of Project 4 for the Theory of Computation and Automata course. The system implements twelve distinct string operations, organised into four functional categories, and exposes them through a clean web interface backed by a Python computation engine and a PostgreSQL database.</w:t>
      </w:r>
    </w:p>
    <w:p>
      <w:pPr>
        <w:spacing w:after="140" w:before="0" w:line="288"/>
      </w:pPr>
      <w:r>
        <w:rPr>
          <w:rFonts w:ascii="Calibri" w:cs="Calibri" w:eastAsia="Calibri" w:hAnsi="Calibri"/>
          <w:sz w:val="22"/>
          <w:szCs w:val="22"/>
        </w:rPr>
        <w:t xml:space="preserve">The defining ambition of the project is not merely to return correct answers, but to make each computation visible. Where a conventional tool would simply report that the edit distance between two words is three, StringLab plays back the algorithm step by step — animating the dynamic-programming matrix as it fills, narrating each decision, and tracing the optimal path. This emphasis on transparent computation is what distinguishes the application and what most directly demonstrates an understanding of the underlying theory rather than a reliance on library calls.</w:t>
      </w:r>
    </w:p>
    <w:p>
      <w:pPr>
        <w:spacing w:after="60" w:before="0" w:line="288"/>
      </w:pPr>
      <w:r>
        <w:rPr>
          <w:rFonts w:ascii="Calibri" w:cs="Calibri" w:eastAsia="Calibri" w:hAnsi="Calibri"/>
          <w:sz w:val="22"/>
          <w:szCs w:val="22"/>
        </w:rPr>
        <w:t xml:space="preserve">This report defines the project scope, the twelve operations and their allocation across the four-member team, a system-analysis derivation of requirements into backend modules and database tables, the anonymous-session identity strategy, the user workflow, the differentiation strategy, the three-tier system architecture, the PostgreSQL data model, the frontend design, and a realistic implementation plan. It closes by situating the work within computation theory and outlining future extensions.</w:t>
      </w:r>
    </w:p>
    <w:p>
      <w:pPr>
        <w:pBdr>
          <w:bottom w:val="single" w:color="2E75B6" w:sz="6" w:space="1"/>
        </w:pBdr>
        <w:spacing w:after="140" w:before="40"/>
      </w:pPr>
      <w:r>
        <w:t xml:space="preserve"/>
      </w:r>
    </w:p>
    <w:p>
      <w:pPr>
        <w:pStyle w:val="Heading1"/>
      </w:pPr>
      <w:r>
        <w:t xml:space="preserve">1. Introduction</w:t>
      </w:r>
    </w:p>
    <w:p>
      <w:pPr>
        <w:pStyle w:val="Heading2"/>
      </w:pPr>
      <w:r>
        <w:t xml:space="preserve">1.1 Background and Domain</w:t>
      </w:r>
    </w:p>
    <w:p>
      <w:pPr>
        <w:spacing w:after="140" w:before="0" w:line="288"/>
      </w:pPr>
      <w:r>
        <w:rPr>
          <w:rFonts w:ascii="Calibri" w:cs="Calibri" w:eastAsia="Calibri" w:hAnsi="Calibri"/>
          <w:sz w:val="22"/>
          <w:szCs w:val="22"/>
        </w:rPr>
        <w:t xml:space="preserve">The theory of computation studies what problems can be solved by mechanical processes and how efficiently. A recurring object of study throughout the field is the string: a finite sequence of symbols drawn from an alphabet. Finite automata accept or reject strings, grammars generate them, and a large catalogue of algorithms searches, compares, transforms, and compresses them. Strings are therefore a natural lens through which to make the abstract machinery of the course concrete and interactive.</w:t>
      </w:r>
    </w:p>
    <w:p>
      <w:pPr>
        <w:spacing w:after="140" w:before="0" w:line="288"/>
      </w:pPr>
      <w:r>
        <w:rPr>
          <w:rFonts w:ascii="Calibri" w:cs="Calibri" w:eastAsia="Calibri" w:hAnsi="Calibri"/>
          <w:sz w:val="22"/>
          <w:szCs w:val="22"/>
        </w:rPr>
        <w:t xml:space="preserve">StringLab takes that lens as its organising principle. It treats the user-supplied input as a sequence of characters and offers a menu of well-defined operations that probe its structure, search it, compare it against another sequence, or transform it. Several of these operations are deliberately implemented through their classical algorithms — rather than convenience functions — so that the application can expose the internal mechanics that connect them to formal models of computation.</w:t>
      </w:r>
    </w:p>
    <w:p>
      <w:pPr>
        <w:pStyle w:val="Heading2"/>
      </w:pPr>
      <w:r>
        <w:t xml:space="preserve">1.2 Positioning Among the Assigned Projects</w:t>
      </w:r>
    </w:p>
    <w:p>
      <w:pPr>
        <w:spacing w:after="140" w:before="0" w:line="288"/>
      </w:pPr>
      <w:r>
        <w:rPr>
          <w:rFonts w:ascii="Calibri" w:cs="Calibri" w:eastAsia="Calibri" w:hAnsi="Calibri"/>
          <w:sz w:val="22"/>
          <w:szCs w:val="22"/>
        </w:rPr>
        <w:t xml:space="preserve">The instructor assigned five projects. Reading Project 4 in the context of the other four clarifies its intended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200"/>
        <w:gridCol w:w="3640"/>
      </w:tblGrid>
      <w:tr>
        <w:trPr>
          <w:tblHeader/>
        </w:trPr>
        <w:tc>
          <w:tcPr>
            <w:tcW w:type="dxa" w:w="52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No.</w:t>
            </w:r>
          </w:p>
        </w:tc>
        <w:tc>
          <w:tcPr>
            <w:tcW w:type="dxa" w:w="52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Assigned Project</w:t>
            </w:r>
          </w:p>
        </w:tc>
        <w:tc>
          <w:tcPr>
            <w:tcW w:type="dxa" w:w="364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Theoretical Focus</w:t>
            </w:r>
          </w:p>
        </w:tc>
      </w:tr>
      <w:tr>
        <w:trPr>
          <w:tblHeader w:val="false"/>
        </w:trPr>
        <w:tc>
          <w:tcPr>
            <w:tcW w:type="dxa" w:w="5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1</w:t>
            </w:r>
          </w:p>
        </w:tc>
        <w:tc>
          <w:tcPr>
            <w:tcW w:type="dxa" w:w="5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Parser for well-formed mathematical parenthesis expressions</w:t>
            </w:r>
          </w:p>
        </w:tc>
        <w:tc>
          <w:tcPr>
            <w:tcW w:type="dxa" w:w="3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Balanced-structure parsing</w:t>
            </w:r>
          </w:p>
        </w:tc>
      </w:tr>
      <w:tr>
        <w:trPr>
          <w:tblHeader w:val="false"/>
        </w:trPr>
        <w:tc>
          <w:tcPr>
            <w:tcW w:type="dxa" w:w="52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2</w:t>
            </w:r>
          </w:p>
        </w:tc>
        <w:tc>
          <w:tcPr>
            <w:tcW w:type="dxa" w:w="52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Travelling salesman and knapsack via greedy algorithms</w:t>
            </w:r>
          </w:p>
        </w:tc>
        <w:tc>
          <w:tcPr>
            <w:tcW w:type="dxa" w:w="364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Optimisation / heuristics</w:t>
            </w:r>
          </w:p>
        </w:tc>
      </w:tr>
      <w:tr>
        <w:trPr>
          <w:tblHeader w:val="false"/>
        </w:trPr>
        <w:tc>
          <w:tcPr>
            <w:tcW w:type="dxa" w:w="5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3</w:t>
            </w:r>
          </w:p>
        </w:tc>
        <w:tc>
          <w:tcPr>
            <w:tcW w:type="dxa" w:w="5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Recognising a word according to a given grammar</w:t>
            </w:r>
          </w:p>
        </w:tc>
        <w:tc>
          <w:tcPr>
            <w:tcW w:type="dxa" w:w="3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Formal grammars</w:t>
            </w:r>
          </w:p>
        </w:tc>
      </w:tr>
      <w:tr>
        <w:trPr>
          <w:tblHeader w:val="false"/>
        </w:trPr>
        <w:tc>
          <w:tcPr>
            <w:tcW w:type="dxa" w:w="52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4</w:t>
            </w:r>
          </w:p>
        </w:tc>
        <w:tc>
          <w:tcPr>
            <w:tcW w:type="dxa" w:w="52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Analysing character sequences and solving many string problems</w:t>
            </w:r>
          </w:p>
        </w:tc>
        <w:tc>
          <w:tcPr>
            <w:tcW w:type="dxa" w:w="364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General string processing</w:t>
            </w:r>
          </w:p>
        </w:tc>
      </w:tr>
      <w:tr>
        <w:trPr>
          <w:tblHeader w:val="false"/>
        </w:trPr>
        <w:tc>
          <w:tcPr>
            <w:tcW w:type="dxa" w:w="52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5</w:t>
            </w:r>
          </w:p>
        </w:tc>
        <w:tc>
          <w:tcPr>
            <w:tcW w:type="dxa" w:w="5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Encoding and decoding QR codes using automata</w:t>
            </w:r>
          </w:p>
        </w:tc>
        <w:tc>
          <w:tcPr>
            <w:tcW w:type="dxa" w:w="364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Automata in practice</w:t>
            </w:r>
          </w:p>
        </w:tc>
      </w:tr>
    </w:tbl>
    <w:p>
      <w:pPr>
        <w:spacing w:after="60"/>
      </w:pPr>
      <w:r>
        <w:t xml:space="preserve"/>
      </w:r>
    </w:p>
    <w:p>
      <w:pPr>
        <w:spacing w:after="140" w:before="0" w:line="288"/>
      </w:pPr>
      <w:r>
        <w:rPr>
          <w:rFonts w:ascii="Calibri" w:cs="Calibri" w:eastAsia="Calibri" w:hAnsi="Calibri"/>
          <w:sz w:val="22"/>
          <w:szCs w:val="22"/>
        </w:rPr>
        <w:t xml:space="preserve">Projects 1, 3, and 5 each occupy a specific formal-language niche — parenthesis grammars, word recognition against a grammar, and automata-driven coding. Project 4 is deliberately the broad, general-purpose string toolkit. Building a grammar recogniser or an automaton simulator would duplicate the work of other groups; the appropriate interpretation of Project 4 is therefore a wide collection of string algorithms, kept anchored to computation theory through how the key algorithms are implemented and explained.</w:t>
      </w:r>
    </w:p>
    <w:p>
      <w:pPr>
        <w:pStyle w:val="Heading2"/>
      </w:pPr>
      <w:r>
        <w:t xml:space="preserve">1.3 Objectives</w:t>
      </w:r>
    </w:p>
    <w:p>
      <w:pPr>
        <w:pStyle w:val="ListParagraph"/>
        <w:numPr>
          <w:ilvl w:val="0"/>
          <w:numId w:val="2"/>
        </w:numPr>
        <w:spacing w:after="80" w:line="276"/>
      </w:pPr>
      <w:r>
        <w:rPr>
          <w:rFonts w:ascii="Calibri" w:cs="Calibri" w:eastAsia="Calibri" w:hAnsi="Calibri"/>
          <w:sz w:val="22"/>
          <w:szCs w:val="22"/>
        </w:rPr>
        <w:t xml:space="preserve">Implement at least twelve correct, well-tested string operations spanning analysis, search, comparison, and transformation.</w:t>
      </w:r>
    </w:p>
    <w:p>
      <w:pPr>
        <w:pStyle w:val="ListParagraph"/>
        <w:numPr>
          <w:ilvl w:val="0"/>
          <w:numId w:val="2"/>
        </w:numPr>
        <w:spacing w:after="80" w:line="276"/>
      </w:pPr>
      <w:r>
        <w:rPr>
          <w:rFonts w:ascii="Calibri" w:cs="Calibri" w:eastAsia="Calibri" w:hAnsi="Calibri"/>
          <w:sz w:val="22"/>
          <w:szCs w:val="22"/>
        </w:rPr>
        <w:t xml:space="preserve">Make computation transparent: every operation returns not only a result but a human-readable explanation, and the flagship operations return a full step-by-step trace suitable for animation.</w:t>
      </w:r>
    </w:p>
    <w:p>
      <w:pPr>
        <w:pStyle w:val="ListParagraph"/>
        <w:numPr>
          <w:ilvl w:val="0"/>
          <w:numId w:val="2"/>
        </w:numPr>
        <w:spacing w:after="80" w:line="276"/>
      </w:pPr>
      <w:r>
        <w:rPr>
          <w:rFonts w:ascii="Calibri" w:cs="Calibri" w:eastAsia="Calibri" w:hAnsi="Calibri"/>
          <w:sz w:val="22"/>
          <w:szCs w:val="22"/>
        </w:rPr>
        <w:t xml:space="preserve">Deliver the operations through an accessible web interface backed by a Python engine and a PostgreSQL database for reference data and run history.</w:t>
      </w:r>
    </w:p>
    <w:p>
      <w:pPr>
        <w:pStyle w:val="ListParagraph"/>
        <w:numPr>
          <w:ilvl w:val="0"/>
          <w:numId w:val="2"/>
        </w:numPr>
        <w:spacing w:after="80" w:line="276"/>
      </w:pPr>
      <w:r>
        <w:rPr>
          <w:rFonts w:ascii="Calibri" w:cs="Calibri" w:eastAsia="Calibri" w:hAnsi="Calibri"/>
          <w:sz w:val="22"/>
          <w:szCs w:val="22"/>
        </w:rPr>
        <w:t xml:space="preserve">Demonstrate the link between the implemented algorithms and the formal models studied in the course.</w:t>
      </w:r>
    </w:p>
    <w:p>
      <w:pPr>
        <w:pStyle w:val="ListParagraph"/>
        <w:numPr>
          <w:ilvl w:val="0"/>
          <w:numId w:val="2"/>
        </w:numPr>
        <w:spacing w:after="80" w:line="276"/>
      </w:pPr>
      <w:r>
        <w:rPr>
          <w:rFonts w:ascii="Calibri" w:cs="Calibri" w:eastAsia="Calibri" w:hAnsi="Calibri"/>
          <w:sz w:val="22"/>
          <w:szCs w:val="22"/>
        </w:rPr>
        <w:t xml:space="preserve">Organise the work cleanly across four members so that backend and frontend can progress in parallel under a tight deadline.</w:t>
      </w:r>
    </w:p>
    <w:p>
      <w:pPr>
        <w:pBdr>
          <w:bottom w:val="single" w:color="2E75B6" w:sz="6" w:space="1"/>
        </w:pBdr>
        <w:spacing w:after="140" w:before="40"/>
      </w:pPr>
      <w:r>
        <w:t xml:space="preserve"/>
      </w:r>
    </w:p>
    <w:p>
      <w:pPr>
        <w:pStyle w:val="Heading1"/>
      </w:pPr>
      <w:r>
        <w:t xml:space="preserve">2. Scope and Feature Catalogue</w:t>
      </w:r>
    </w:p>
    <w:p>
      <w:pPr>
        <w:spacing w:after="140" w:before="0" w:line="288"/>
      </w:pPr>
      <w:r>
        <w:rPr>
          <w:rFonts w:ascii="Calibri" w:cs="Calibri" w:eastAsia="Calibri" w:hAnsi="Calibri"/>
          <w:sz w:val="22"/>
          <w:szCs w:val="22"/>
        </w:rPr>
        <w:t xml:space="preserve">The functional scope is twelve operations grouped into four categories. Each category becomes a self-contained Python module with its own functions and unit tests, and each is owned by one team member. This structure keeps responsibilities clear and lets the modules be developed and tested independently.</w:t>
      </w:r>
    </w:p>
    <w:p>
      <w:pPr>
        <w:pStyle w:val="Heading2"/>
      </w:pPr>
      <w:r>
        <w:t xml:space="preserve">2.1 The Four Categories</w:t>
      </w:r>
    </w:p>
    <w:p>
      <w:pPr>
        <w:pStyle w:val="ListParagraph"/>
        <w:numPr>
          <w:ilvl w:val="0"/>
          <w:numId w:val="3"/>
        </w:numPr>
        <w:spacing w:after="80" w:line="276"/>
      </w:pPr>
      <w:r>
        <w:rPr>
          <w:rFonts w:ascii="Calibri" w:cs="Calibri" w:eastAsia="Calibri" w:hAnsi="Calibri"/>
          <w:b/>
          <w:bCs/>
          <w:sz w:val="22"/>
          <w:szCs w:val="22"/>
        </w:rPr>
        <w:t xml:space="preserve">Analysis and Properties</w:t>
      </w:r>
      <w:r>
        <w:rPr>
          <w:rFonts w:ascii="Calibri" w:cs="Calibri" w:eastAsia="Calibri" w:hAnsi="Calibri"/>
          <w:sz w:val="22"/>
          <w:szCs w:val="22"/>
        </w:rPr>
        <w:t xml:space="preserve"> — inspecting a single string to report its structure and characteristics.</w:t>
      </w:r>
    </w:p>
    <w:p>
      <w:pPr>
        <w:pStyle w:val="ListParagraph"/>
        <w:numPr>
          <w:ilvl w:val="0"/>
          <w:numId w:val="3"/>
        </w:numPr>
        <w:spacing w:after="80" w:line="276"/>
      </w:pPr>
      <w:r>
        <w:rPr>
          <w:rFonts w:ascii="Calibri" w:cs="Calibri" w:eastAsia="Calibri" w:hAnsi="Calibri"/>
          <w:b/>
          <w:bCs/>
          <w:sz w:val="22"/>
          <w:szCs w:val="22"/>
        </w:rPr>
        <w:t xml:space="preserve">Search and Matching</w:t>
      </w:r>
      <w:r>
        <w:rPr>
          <w:rFonts w:ascii="Calibri" w:cs="Calibri" w:eastAsia="Calibri" w:hAnsi="Calibri"/>
          <w:sz w:val="22"/>
          <w:szCs w:val="22"/>
        </w:rPr>
        <w:t xml:space="preserve"> — locating a pattern within a text and reporting where and how often it occurs.</w:t>
      </w:r>
    </w:p>
    <w:p>
      <w:pPr>
        <w:pStyle w:val="ListParagraph"/>
        <w:numPr>
          <w:ilvl w:val="0"/>
          <w:numId w:val="3"/>
        </w:numPr>
        <w:spacing w:after="80" w:line="276"/>
      </w:pPr>
      <w:r>
        <w:rPr>
          <w:rFonts w:ascii="Calibri" w:cs="Calibri" w:eastAsia="Calibri" w:hAnsi="Calibri"/>
          <w:b/>
          <w:bCs/>
          <w:sz w:val="22"/>
          <w:szCs w:val="22"/>
        </w:rPr>
        <w:t xml:space="preserve">Comparison and Similarity</w:t>
      </w:r>
      <w:r>
        <w:rPr>
          <w:rFonts w:ascii="Calibri" w:cs="Calibri" w:eastAsia="Calibri" w:hAnsi="Calibri"/>
          <w:sz w:val="22"/>
          <w:szCs w:val="22"/>
        </w:rPr>
        <w:t xml:space="preserve"> — measuring how two strings relate to one another.</w:t>
      </w:r>
    </w:p>
    <w:p>
      <w:pPr>
        <w:pStyle w:val="ListParagraph"/>
        <w:numPr>
          <w:ilvl w:val="0"/>
          <w:numId w:val="3"/>
        </w:numPr>
        <w:spacing w:after="80" w:line="276"/>
      </w:pPr>
      <w:r>
        <w:rPr>
          <w:rFonts w:ascii="Calibri" w:cs="Calibri" w:eastAsia="Calibri" w:hAnsi="Calibri"/>
          <w:b/>
          <w:bCs/>
          <w:sz w:val="22"/>
          <w:szCs w:val="22"/>
        </w:rPr>
        <w:t xml:space="preserve">Transformation and Encoding</w:t>
      </w:r>
      <w:r>
        <w:rPr>
          <w:rFonts w:ascii="Calibri" w:cs="Calibri" w:eastAsia="Calibri" w:hAnsi="Calibri"/>
          <w:sz w:val="22"/>
          <w:szCs w:val="22"/>
        </w:rPr>
        <w:t xml:space="preserve"> — producing a new string from an input through reversible or rule-based change.</w:t>
      </w:r>
    </w:p>
    <w:p>
      <w:pPr>
        <w:pStyle w:val="Heading2"/>
      </w:pPr>
      <w:r>
        <w:t xml:space="preserve">2.2 The Twelve Operations</w:t>
      </w:r>
    </w:p>
    <w:p>
      <w:pPr>
        <w:spacing w:after="80" w:before="0" w:line="288"/>
      </w:pPr>
      <w:r>
        <w:rPr>
          <w:rFonts w:ascii="Calibri" w:cs="Calibri" w:eastAsia="Calibri" w:hAnsi="Calibri"/>
          <w:sz w:val="22"/>
          <w:szCs w:val="22"/>
        </w:rPr>
        <w:t xml:space="preserve">The catalogue below lists every operation with its category, the core algorithm or technique used, its asymptotic complexity, and its visualisation level. The visualisation level reflects a deliberate scoping decision discussed in Section 9: two flagship operations receive a full step-by-step animation, two enhanced operations expose a narrated step log, and the remaining operations present a result with an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550"/>
        <w:gridCol w:w="2400"/>
        <w:gridCol w:w="1750"/>
        <w:gridCol w:w="1130"/>
        <w:gridCol w:w="1150"/>
      </w:tblGrid>
      <w:tr>
        <w:trPr>
          <w:tblHeader/>
        </w:trPr>
        <w:tc>
          <w:tcPr>
            <w:tcW w:type="dxa" w:w="38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w:t>
            </w:r>
          </w:p>
        </w:tc>
        <w:tc>
          <w:tcPr>
            <w:tcW w:type="dxa" w:w="255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Operation</w:t>
            </w:r>
          </w:p>
        </w:tc>
        <w:tc>
          <w:tcPr>
            <w:tcW w:type="dxa" w:w="24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Category</w:t>
            </w:r>
          </w:p>
        </w:tc>
        <w:tc>
          <w:tcPr>
            <w:tcW w:type="dxa" w:w="175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Technique</w:t>
            </w:r>
          </w:p>
        </w:tc>
        <w:tc>
          <w:tcPr>
            <w:tcW w:type="dxa" w:w="113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Complexity</w:t>
            </w:r>
          </w:p>
        </w:tc>
        <w:tc>
          <w:tcPr>
            <w:tcW w:type="dxa" w:w="115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Visual</w:t>
            </w:r>
          </w:p>
        </w:tc>
      </w:tr>
      <w:tr>
        <w:trPr>
          <w:tblHeader w:val="false"/>
        </w:trPr>
        <w:tc>
          <w:tcPr>
            <w:tcW w:type="dxa" w:w="3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1</w:t>
            </w:r>
          </w:p>
        </w:tc>
        <w:tc>
          <w:tcPr>
            <w:tcW w:type="dxa" w:w="25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Palindrome detection</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Analysis &amp; Properties</w:t>
            </w:r>
          </w:p>
        </w:tc>
        <w:tc>
          <w:tcPr>
            <w:tcW w:type="dxa" w:w="17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Two-pointer scan</w:t>
            </w:r>
          </w:p>
        </w:tc>
        <w:tc>
          <w:tcPr>
            <w:tcW w:type="dxa" w:w="11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 / O(1)</w:t>
            </w:r>
          </w:p>
        </w:tc>
        <w:tc>
          <w:tcPr>
            <w:tcW w:type="dxa" w:w="11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r>
      <w:tr>
        <w:trPr>
          <w:tblHeader w:val="false"/>
        </w:trPr>
        <w:tc>
          <w:tcPr>
            <w:tcW w:type="dxa" w:w="38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2</w:t>
            </w:r>
          </w:p>
        </w:tc>
        <w:tc>
          <w:tcPr>
            <w:tcW w:type="dxa" w:w="25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Character frequency analysis</w:t>
            </w:r>
          </w:p>
        </w:tc>
        <w:tc>
          <w:tcPr>
            <w:tcW w:type="dxa" w:w="24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Analysis &amp; Properties</w:t>
            </w:r>
          </w:p>
        </w:tc>
        <w:tc>
          <w:tcPr>
            <w:tcW w:type="dxa" w:w="17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Hash counting</w:t>
            </w:r>
          </w:p>
        </w:tc>
        <w:tc>
          <w:tcPr>
            <w:tcW w:type="dxa" w:w="113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 / O(k)</w:t>
            </w:r>
          </w:p>
        </w:tc>
        <w:tc>
          <w:tcPr>
            <w:tcW w:type="dxa" w:w="11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r>
      <w:tr>
        <w:trPr>
          <w:tblHeader w:val="false"/>
        </w:trPr>
        <w:tc>
          <w:tcPr>
            <w:tcW w:type="dxa" w:w="3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3</w:t>
            </w:r>
          </w:p>
        </w:tc>
        <w:tc>
          <w:tcPr>
            <w:tcW w:type="dxa" w:w="25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Longest palindromic substring</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Analysis &amp; Properties</w:t>
            </w:r>
          </w:p>
        </w:tc>
        <w:tc>
          <w:tcPr>
            <w:tcW w:type="dxa" w:w="17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Expand around centre</w:t>
            </w:r>
          </w:p>
        </w:tc>
        <w:tc>
          <w:tcPr>
            <w:tcW w:type="dxa" w:w="11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O(n²) / O(1)</w:t>
            </w:r>
          </w:p>
        </w:tc>
        <w:tc>
          <w:tcPr>
            <w:tcW w:type="dxa" w:w="11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Step log</w:t>
            </w:r>
          </w:p>
        </w:tc>
      </w:tr>
      <w:tr>
        <w:trPr>
          <w:tblHeader w:val="false"/>
        </w:trPr>
        <w:tc>
          <w:tcPr>
            <w:tcW w:type="dxa" w:w="38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4</w:t>
            </w:r>
          </w:p>
        </w:tc>
        <w:tc>
          <w:tcPr>
            <w:tcW w:type="dxa" w:w="25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Find all occurrences</w:t>
            </w:r>
          </w:p>
        </w:tc>
        <w:tc>
          <w:tcPr>
            <w:tcW w:type="dxa" w:w="24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Search &amp; Matching</w:t>
            </w:r>
          </w:p>
        </w:tc>
        <w:tc>
          <w:tcPr>
            <w:tcW w:type="dxa" w:w="17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Index scan</w:t>
            </w:r>
          </w:p>
        </w:tc>
        <w:tc>
          <w:tcPr>
            <w:tcW w:type="dxa" w:w="113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O(n·m) / O(1)</w:t>
            </w:r>
          </w:p>
        </w:tc>
        <w:tc>
          <w:tcPr>
            <w:tcW w:type="dxa" w:w="11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r>
      <w:tr>
        <w:trPr>
          <w:tblHeader w:val="false"/>
        </w:trPr>
        <w:tc>
          <w:tcPr>
            <w:tcW w:type="dxa" w:w="3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5</w:t>
            </w:r>
          </w:p>
        </w:tc>
        <w:tc>
          <w:tcPr>
            <w:tcW w:type="dxa" w:w="25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Occurrence counter</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Search &amp; Matching</w:t>
            </w:r>
          </w:p>
        </w:tc>
        <w:tc>
          <w:tcPr>
            <w:tcW w:type="dxa" w:w="17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Linear pass</w:t>
            </w:r>
          </w:p>
        </w:tc>
        <w:tc>
          <w:tcPr>
            <w:tcW w:type="dxa" w:w="11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 / O(1)</w:t>
            </w:r>
          </w:p>
        </w:tc>
        <w:tc>
          <w:tcPr>
            <w:tcW w:type="dxa" w:w="11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r>
      <w:tr>
        <w:trPr>
          <w:tblHeader w:val="false"/>
        </w:trPr>
        <w:tc>
          <w:tcPr>
            <w:tcW w:type="dxa" w:w="38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6</w:t>
            </w:r>
          </w:p>
        </w:tc>
        <w:tc>
          <w:tcPr>
            <w:tcW w:type="dxa" w:w="25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Knuth–Morris–Pratt search</w:t>
            </w:r>
          </w:p>
        </w:tc>
        <w:tc>
          <w:tcPr>
            <w:tcW w:type="dxa" w:w="24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Search &amp; Matching</w:t>
            </w:r>
          </w:p>
        </w:tc>
        <w:tc>
          <w:tcPr>
            <w:tcW w:type="dxa" w:w="17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Failure-function DFA</w:t>
            </w:r>
          </w:p>
        </w:tc>
        <w:tc>
          <w:tcPr>
            <w:tcW w:type="dxa" w:w="113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O(n+m) / O(m)</w:t>
            </w:r>
          </w:p>
        </w:tc>
        <w:tc>
          <w:tcPr>
            <w:tcW w:type="dxa" w:w="11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Full anim.</w:t>
            </w:r>
          </w:p>
        </w:tc>
      </w:tr>
      <w:tr>
        <w:trPr>
          <w:tblHeader w:val="false"/>
        </w:trPr>
        <w:tc>
          <w:tcPr>
            <w:tcW w:type="dxa" w:w="3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7</w:t>
            </w:r>
          </w:p>
        </w:tc>
        <w:tc>
          <w:tcPr>
            <w:tcW w:type="dxa" w:w="25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Anagram detection</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Comparison &amp; Similarity</w:t>
            </w:r>
          </w:p>
        </w:tc>
        <w:tc>
          <w:tcPr>
            <w:tcW w:type="dxa" w:w="17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Frequency compare</w:t>
            </w:r>
          </w:p>
        </w:tc>
        <w:tc>
          <w:tcPr>
            <w:tcW w:type="dxa" w:w="11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 / O(k)</w:t>
            </w:r>
          </w:p>
        </w:tc>
        <w:tc>
          <w:tcPr>
            <w:tcW w:type="dxa" w:w="11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r>
      <w:tr>
        <w:trPr>
          <w:tblHeader w:val="false"/>
        </w:trPr>
        <w:tc>
          <w:tcPr>
            <w:tcW w:type="dxa" w:w="38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8</w:t>
            </w:r>
          </w:p>
        </w:tc>
        <w:tc>
          <w:tcPr>
            <w:tcW w:type="dxa" w:w="25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Levenshtein edit distance</w:t>
            </w:r>
          </w:p>
        </w:tc>
        <w:tc>
          <w:tcPr>
            <w:tcW w:type="dxa" w:w="24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Comparison &amp; Similarity</w:t>
            </w:r>
          </w:p>
        </w:tc>
        <w:tc>
          <w:tcPr>
            <w:tcW w:type="dxa" w:w="17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Dynamic programming</w:t>
            </w:r>
          </w:p>
        </w:tc>
        <w:tc>
          <w:tcPr>
            <w:tcW w:type="dxa" w:w="113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O(n·m) / O(n·m)</w:t>
            </w:r>
          </w:p>
        </w:tc>
        <w:tc>
          <w:tcPr>
            <w:tcW w:type="dxa" w:w="11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Full anim.</w:t>
            </w:r>
          </w:p>
        </w:tc>
      </w:tr>
      <w:tr>
        <w:trPr>
          <w:tblHeader w:val="false"/>
        </w:trPr>
        <w:tc>
          <w:tcPr>
            <w:tcW w:type="dxa" w:w="3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9</w:t>
            </w:r>
          </w:p>
        </w:tc>
        <w:tc>
          <w:tcPr>
            <w:tcW w:type="dxa" w:w="25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Longest common subsequence</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Comparison &amp; Similarity</w:t>
            </w:r>
          </w:p>
        </w:tc>
        <w:tc>
          <w:tcPr>
            <w:tcW w:type="dxa" w:w="17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Dynamic programming</w:t>
            </w:r>
          </w:p>
        </w:tc>
        <w:tc>
          <w:tcPr>
            <w:tcW w:type="dxa" w:w="11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O(n·m) / O(n·m)</w:t>
            </w:r>
          </w:p>
        </w:tc>
        <w:tc>
          <w:tcPr>
            <w:tcW w:type="dxa" w:w="11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Step log</w:t>
            </w:r>
          </w:p>
        </w:tc>
      </w:tr>
      <w:tr>
        <w:trPr>
          <w:tblHeader w:val="false"/>
        </w:trPr>
        <w:tc>
          <w:tcPr>
            <w:tcW w:type="dxa" w:w="38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10</w:t>
            </w:r>
          </w:p>
        </w:tc>
        <w:tc>
          <w:tcPr>
            <w:tcW w:type="dxa" w:w="25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Reversal &amp; case transform</w:t>
            </w:r>
          </w:p>
        </w:tc>
        <w:tc>
          <w:tcPr>
            <w:tcW w:type="dxa" w:w="24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Transformation &amp; Encoding</w:t>
            </w:r>
          </w:p>
        </w:tc>
        <w:tc>
          <w:tcPr>
            <w:tcW w:type="dxa" w:w="17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Linear rewrite</w:t>
            </w:r>
          </w:p>
        </w:tc>
        <w:tc>
          <w:tcPr>
            <w:tcW w:type="dxa" w:w="113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 / O(n)</w:t>
            </w:r>
          </w:p>
        </w:tc>
        <w:tc>
          <w:tcPr>
            <w:tcW w:type="dxa" w:w="11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r>
      <w:tr>
        <w:trPr>
          <w:tblHeader w:val="false"/>
        </w:trPr>
        <w:tc>
          <w:tcPr>
            <w:tcW w:type="dxa" w:w="3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11</w:t>
            </w:r>
          </w:p>
        </w:tc>
        <w:tc>
          <w:tcPr>
            <w:tcW w:type="dxa" w:w="25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Caesar cipher encode/decode</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Transformation &amp; Encoding</w:t>
            </w:r>
          </w:p>
        </w:tc>
        <w:tc>
          <w:tcPr>
            <w:tcW w:type="dxa" w:w="17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Modular shift</w:t>
            </w:r>
          </w:p>
        </w:tc>
        <w:tc>
          <w:tcPr>
            <w:tcW w:type="dxa" w:w="11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 / O(n)</w:t>
            </w:r>
          </w:p>
        </w:tc>
        <w:tc>
          <w:tcPr>
            <w:tcW w:type="dxa" w:w="115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r>
      <w:tr>
        <w:trPr>
          <w:tblHeader w:val="false"/>
        </w:trPr>
        <w:tc>
          <w:tcPr>
            <w:tcW w:type="dxa" w:w="38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12</w:t>
            </w:r>
          </w:p>
        </w:tc>
        <w:tc>
          <w:tcPr>
            <w:tcW w:type="dxa" w:w="25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Run-length encode/decode</w:t>
            </w:r>
          </w:p>
        </w:tc>
        <w:tc>
          <w:tcPr>
            <w:tcW w:type="dxa" w:w="24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Transformation &amp; Encoding</w:t>
            </w:r>
          </w:p>
        </w:tc>
        <w:tc>
          <w:tcPr>
            <w:tcW w:type="dxa" w:w="17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Symbol run grouping</w:t>
            </w:r>
          </w:p>
        </w:tc>
        <w:tc>
          <w:tcPr>
            <w:tcW w:type="dxa" w:w="113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O(n) / O(n)</w:t>
            </w:r>
          </w:p>
        </w:tc>
        <w:tc>
          <w:tcPr>
            <w:tcW w:type="dxa" w:w="115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6FB" w:val="clear"/>
            <w:tcMar>
              <w:top w:type="dxa" w:w="120"/>
              <w:left w:type="dxa" w:w="200"/>
              <w:bottom w:type="dxa" w:w="120"/>
              <w:right w:type="dxa" w:w="160"/>
            </w:tcMar>
          </w:tcPr>
          <w:p>
            <w:pPr>
              <w:spacing w:after="40"/>
            </w:pPr>
            <w:r>
              <w:rPr>
                <w:rFonts w:ascii="Calibri" w:cs="Calibri" w:eastAsia="Calibri" w:hAnsi="Calibri"/>
                <w:b/>
                <w:bCs/>
                <w:color w:val="1F4E79"/>
                <w:sz w:val="20"/>
                <w:szCs w:val="20"/>
              </w:rPr>
              <w:t xml:space="preserve">Why twelve and not eight</w:t>
            </w:r>
          </w:p>
          <w:p>
            <w:r>
              <w:rPr>
                <w:rFonts w:ascii="Calibri" w:cs="Calibri" w:eastAsia="Calibri" w:hAnsi="Calibri"/>
                <w:i/>
                <w:iCs/>
                <w:color w:val="333333"/>
                <w:sz w:val="21"/>
                <w:szCs w:val="21"/>
              </w:rPr>
              <w:t xml:space="preserve">The brief sets eight operations as a minimum. At Master’s level the risk is not quantity but triviality — eight one-line operations would clear the count yet read as undergraduate work. Twelve provides breadth, a buffer if the deadline tightens (dropping two still leaves ten), and room to anchor the project on five genuinely algorithmic features (operations 3, 6, 8, 9, and 12).</w:t>
            </w:r>
          </w:p>
        </w:tc>
      </w:tr>
    </w:tbl>
    <w:p>
      <w:pPr>
        <w:pStyle w:val="Heading2"/>
      </w:pPr>
      <w:r>
        <w:t xml:space="preserve">2.3 Flagship versus Standard Operations</w:t>
      </w:r>
    </w:p>
    <w:p>
      <w:pPr>
        <w:spacing w:after="140" w:before="0" w:line="288"/>
      </w:pPr>
      <w:r>
        <w:rPr>
          <w:rFonts w:ascii="Calibri" w:cs="Calibri" w:eastAsia="Calibri" w:hAnsi="Calibri"/>
          <w:sz w:val="22"/>
          <w:szCs w:val="22"/>
        </w:rPr>
        <w:t xml:space="preserve">Operations 6 (Knuth–Morris–Pratt) and 8 (Levenshtein edit distance) are the flagships: they receive a complete step-by-step visual animation and form the centrepiece of any live demonstration. Operations 3 and 9 are enhanced with a narrated step log but are not animated on a canvas. The remaining operations return a result together with a static explanation. This tiering concentrates the limited development time where it produces the greatest visible impact.</w:t>
      </w:r>
    </w:p>
    <w:p>
      <w:pPr>
        <w:pBdr>
          <w:bottom w:val="single" w:color="2E75B6" w:sz="6" w:space="1"/>
        </w:pBdr>
        <w:spacing w:after="140" w:before="40"/>
      </w:pPr>
      <w:r>
        <w:t xml:space="preserve"/>
      </w:r>
    </w:p>
    <w:p>
      <w:pPr>
        <w:pStyle w:val="Heading1"/>
      </w:pPr>
      <w:r>
        <w:t xml:space="preserve">3. Team Organisation and Task Allocation</w:t>
      </w:r>
    </w:p>
    <w:p>
      <w:pPr>
        <w:spacing w:after="140" w:before="0" w:line="288"/>
      </w:pPr>
      <w:r>
        <w:rPr>
          <w:rFonts w:ascii="Calibri" w:cs="Calibri" w:eastAsia="Calibri" w:hAnsi="Calibri"/>
          <w:sz w:val="22"/>
          <w:szCs w:val="22"/>
        </w:rPr>
        <w:t xml:space="preserve">The four categories map one-to-one onto the four team members. Each member owns a Python module (its functions and tests) and contributes the matching frontend pieces and report sections. One member additionally owns the shared web shell and integration layer, since the categories must be wired together into a single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2760"/>
      </w:tblGrid>
      <w:tr>
        <w:trPr>
          <w:tblHeader/>
        </w:trPr>
        <w:tc>
          <w:tcPr>
            <w:tcW w:type="dxa" w:w="15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Member</w:t>
            </w:r>
          </w:p>
        </w:tc>
        <w:tc>
          <w:tcPr>
            <w:tcW w:type="dxa" w:w="24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Owned Category</w:t>
            </w:r>
          </w:p>
        </w:tc>
        <w:tc>
          <w:tcPr>
            <w:tcW w:type="dxa" w:w="27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Operations</w:t>
            </w:r>
          </w:p>
        </w:tc>
        <w:tc>
          <w:tcPr>
            <w:tcW w:type="dxa" w:w="27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Additional Responsibility</w:t>
            </w:r>
          </w:p>
        </w:tc>
      </w:tr>
      <w:tr>
        <w:trPr>
          <w:tblHeader w:val="false"/>
        </w:trPr>
        <w:tc>
          <w:tcPr>
            <w:tcW w:type="dxa" w:w="1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Member A</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Analysis &amp; Properties</w:t>
            </w:r>
          </w:p>
        </w:tc>
        <w:tc>
          <w:tcPr>
            <w:tcW w:type="dxa" w:w="2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1, 2, 3</w:t>
            </w:r>
          </w:p>
        </w:tc>
        <w:tc>
          <w:tcPr>
            <w:tcW w:type="dxa" w:w="2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Database schema &amp; seed data</w:t>
            </w:r>
          </w:p>
        </w:tc>
      </w:tr>
      <w:tr>
        <w:trPr>
          <w:tblHeader w:val="false"/>
        </w:trPr>
        <w:tc>
          <w:tcPr>
            <w:tcW w:type="dxa" w:w="15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Member B</w:t>
            </w:r>
          </w:p>
        </w:tc>
        <w:tc>
          <w:tcPr>
            <w:tcW w:type="dxa" w:w="24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Search &amp; Matching</w:t>
            </w:r>
          </w:p>
        </w:tc>
        <w:tc>
          <w:tcPr>
            <w:tcW w:type="dxa" w:w="27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4, 5, 6 (flagship)</w:t>
            </w:r>
          </w:p>
        </w:tc>
        <w:tc>
          <w:tcPr>
            <w:tcW w:type="dxa" w:w="27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KMP animation &amp; trace contract</w:t>
            </w:r>
          </w:p>
        </w:tc>
      </w:tr>
      <w:tr>
        <w:trPr>
          <w:tblHeader w:val="false"/>
        </w:trPr>
        <w:tc>
          <w:tcPr>
            <w:tcW w:type="dxa" w:w="1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Member C</w:t>
            </w:r>
          </w:p>
        </w:tc>
        <w:tc>
          <w:tcPr>
            <w:tcW w:type="dxa" w:w="24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Comparison &amp; Similarity</w:t>
            </w:r>
          </w:p>
        </w:tc>
        <w:tc>
          <w:tcPr>
            <w:tcW w:type="dxa" w:w="27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7, 8 (flagship), 9</w:t>
            </w:r>
          </w:p>
        </w:tc>
        <w:tc>
          <w:tcPr>
            <w:tcW w:type="dxa" w:w="27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DP-matrix animation component</w:t>
            </w:r>
          </w:p>
        </w:tc>
      </w:tr>
      <w:tr>
        <w:trPr>
          <w:tblHeader w:val="false"/>
        </w:trPr>
        <w:tc>
          <w:tcPr>
            <w:tcW w:type="dxa" w:w="15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Member D</w:t>
            </w:r>
          </w:p>
        </w:tc>
        <w:tc>
          <w:tcPr>
            <w:tcW w:type="dxa" w:w="24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Transformation &amp; Encoding</w:t>
            </w:r>
          </w:p>
        </w:tc>
        <w:tc>
          <w:tcPr>
            <w:tcW w:type="dxa" w:w="27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10, 11, 12</w:t>
            </w:r>
          </w:p>
        </w:tc>
        <w:tc>
          <w:tcPr>
            <w:tcW w:type="dxa" w:w="27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Web shell, API &amp; integration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6FB" w:val="clear"/>
            <w:tcMar>
              <w:top w:type="dxa" w:w="120"/>
              <w:left w:type="dxa" w:w="200"/>
              <w:bottom w:type="dxa" w:w="120"/>
              <w:right w:type="dxa" w:w="160"/>
            </w:tcMar>
          </w:tcPr>
          <w:p>
            <w:pPr>
              <w:spacing w:after="40"/>
            </w:pPr>
            <w:r>
              <w:rPr>
                <w:rFonts w:ascii="Calibri" w:cs="Calibri" w:eastAsia="Calibri" w:hAnsi="Calibri"/>
                <w:b/>
                <w:bCs/>
                <w:color w:val="1F4E79"/>
                <w:sz w:val="20"/>
                <w:szCs w:val="20"/>
              </w:rPr>
              <w:t xml:space="preserve">The single coordination rule</w:t>
            </w:r>
          </w:p>
          <w:p>
            <w:r>
              <w:rPr>
                <w:rFonts w:ascii="Calibri" w:cs="Calibri" w:eastAsia="Calibri" w:hAnsi="Calibri"/>
                <w:i/>
                <w:iCs/>
                <w:color w:val="333333"/>
                <w:sz w:val="21"/>
                <w:szCs w:val="21"/>
              </w:rPr>
              <w:t xml:space="preserve">On day one the team agrees one function-signature convention: every operation accepts the input string(s) and returns a structured object containing the result, a plain-language explanation, and — where applicable — an ordered list of trace steps. Once this contract is fixed, Member D can wire the web layer to all four modules without waiting for the algorithms to be finished.</w:t>
            </w:r>
          </w:p>
        </w:tc>
      </w:tr>
    </w:tbl>
    <w:p>
      <w:pPr>
        <w:pBdr>
          <w:bottom w:val="single" w:color="2E75B6" w:sz="6" w:space="1"/>
        </w:pBdr>
        <w:spacing w:after="140" w:before="40"/>
      </w:pPr>
      <w:r>
        <w:t xml:space="preserve"/>
      </w:r>
    </w:p>
    <w:p>
      <w:pPr>
        <w:pStyle w:val="Heading1"/>
      </w:pPr>
      <w:r>
        <w:t xml:space="preserve">4. System Analysis and Design</w:t>
      </w:r>
    </w:p>
    <w:p>
      <w:pPr>
        <w:spacing w:after="140" w:before="0" w:line="288"/>
      </w:pPr>
      <w:r>
        <w:rPr>
          <w:rFonts w:ascii="Calibri" w:cs="Calibri" w:eastAsia="Calibri" w:hAnsi="Calibri"/>
          <w:sz w:val="22"/>
          <w:szCs w:val="22"/>
        </w:rPr>
        <w:t xml:space="preserve">This section follows a deliberate three-step discipline: it states the functional requirements, clusters them into backend modules, then derives database tables only where a module genuinely needs to persist state. Stateless modules own no tables — an intentional design choice rather than an omission. It closes with the user-identity strategy and a traceability matrix linking every requirement to the module, table, and interface element that realises it.</w:t>
      </w:r>
    </w:p>
    <w:p>
      <w:pPr>
        <w:pStyle w:val="Heading2"/>
      </w:pPr>
      <w:r>
        <w:t xml:space="preserve">4.1 Functional Requirements</w:t>
      </w:r>
    </w:p>
    <w:p>
      <w:pPr>
        <w:spacing w:after="80" w:before="0" w:line="288"/>
      </w:pPr>
      <w:r>
        <w:rPr>
          <w:rFonts w:ascii="Calibri" w:cs="Calibri" w:eastAsia="Calibri" w:hAnsi="Calibri"/>
          <w:sz w:val="22"/>
          <w:szCs w:val="22"/>
        </w:rPr>
        <w:t xml:space="preserve">Requirements are grouped by functional area and numbered so that each can be traced downstream to a module and a table.</w:t>
      </w:r>
    </w:p>
    <w:p>
      <w:pPr>
        <w:pStyle w:val="Heading3"/>
      </w:pPr>
      <w:r>
        <w:t xml:space="preserve">FR-1 — Operation Catalogue and Discovery</w:t>
      </w:r>
    </w:p>
    <w:p>
      <w:pPr>
        <w:pStyle w:val="ListParagraph"/>
        <w:numPr>
          <w:ilvl w:val="0"/>
          <w:numId w:val="3"/>
        </w:numPr>
        <w:spacing w:after="70" w:line="270"/>
      </w:pPr>
      <w:r>
        <w:rPr>
          <w:rFonts w:ascii="Calibri" w:cs="Calibri" w:eastAsia="Calibri" w:hAnsi="Calibri"/>
          <w:b/>
          <w:bCs/>
          <w:color w:val="2E75B6"/>
          <w:sz w:val="22"/>
          <w:szCs w:val="22"/>
        </w:rPr>
        <w:t xml:space="preserve">FR-1.1  </w:t>
      </w:r>
      <w:r>
        <w:rPr>
          <w:rFonts w:ascii="Calibri" w:cs="Calibri" w:eastAsia="Calibri" w:hAnsi="Calibri"/>
          <w:sz w:val="22"/>
          <w:szCs w:val="22"/>
        </w:rPr>
        <w:t xml:space="preserve">The system shall present operations grouped into categories.</w:t>
      </w:r>
    </w:p>
    <w:p>
      <w:pPr>
        <w:pStyle w:val="ListParagraph"/>
        <w:numPr>
          <w:ilvl w:val="0"/>
          <w:numId w:val="3"/>
        </w:numPr>
        <w:spacing w:after="70" w:line="270"/>
      </w:pPr>
      <w:r>
        <w:rPr>
          <w:rFonts w:ascii="Calibri" w:cs="Calibri" w:eastAsia="Calibri" w:hAnsi="Calibri"/>
          <w:b/>
          <w:bCs/>
          <w:color w:val="2E75B6"/>
          <w:sz w:val="22"/>
          <w:szCs w:val="22"/>
        </w:rPr>
        <w:t xml:space="preserve">FR-1.2  </w:t>
      </w:r>
      <w:r>
        <w:rPr>
          <w:rFonts w:ascii="Calibri" w:cs="Calibri" w:eastAsia="Calibri" w:hAnsi="Calibri"/>
          <w:sz w:val="22"/>
          <w:szCs w:val="22"/>
        </w:rPr>
        <w:t xml:space="preserve">The system shall list the operations available within each category.</w:t>
      </w:r>
    </w:p>
    <w:p>
      <w:pPr>
        <w:pStyle w:val="ListParagraph"/>
        <w:numPr>
          <w:ilvl w:val="0"/>
          <w:numId w:val="3"/>
        </w:numPr>
        <w:spacing w:after="70" w:line="270"/>
      </w:pPr>
      <w:r>
        <w:rPr>
          <w:rFonts w:ascii="Calibri" w:cs="Calibri" w:eastAsia="Calibri" w:hAnsi="Calibri"/>
          <w:b/>
          <w:bCs/>
          <w:color w:val="2E75B6"/>
          <w:sz w:val="22"/>
          <w:szCs w:val="22"/>
        </w:rPr>
        <w:t xml:space="preserve">FR-1.3  </w:t>
      </w:r>
      <w:r>
        <w:rPr>
          <w:rFonts w:ascii="Calibri" w:cs="Calibri" w:eastAsia="Calibri" w:hAnsi="Calibri"/>
          <w:sz w:val="22"/>
          <w:szCs w:val="22"/>
        </w:rPr>
        <w:t xml:space="preserve">The system shall display each operation’s description, explanation, and time and space complexity.</w:t>
      </w:r>
    </w:p>
    <w:p>
      <w:pPr>
        <w:pStyle w:val="ListParagraph"/>
        <w:numPr>
          <w:ilvl w:val="0"/>
          <w:numId w:val="3"/>
        </w:numPr>
        <w:spacing w:after="70" w:line="270"/>
      </w:pPr>
      <w:r>
        <w:rPr>
          <w:rFonts w:ascii="Calibri" w:cs="Calibri" w:eastAsia="Calibri" w:hAnsi="Calibri"/>
          <w:b/>
          <w:bCs/>
          <w:color w:val="2E75B6"/>
          <w:sz w:val="22"/>
          <w:szCs w:val="22"/>
        </w:rPr>
        <w:t xml:space="preserve">FR-1.4  </w:t>
      </w:r>
      <w:r>
        <w:rPr>
          <w:rFonts w:ascii="Calibri" w:cs="Calibri" w:eastAsia="Calibri" w:hAnsi="Calibri"/>
          <w:sz w:val="22"/>
          <w:szCs w:val="22"/>
        </w:rPr>
        <w:t xml:space="preserve">The system shall expose each operation’s input specification — the number and labels of input fields.</w:t>
      </w:r>
    </w:p>
    <w:p>
      <w:pPr>
        <w:pStyle w:val="Heading3"/>
      </w:pPr>
      <w:r>
        <w:t xml:space="preserve">FR-2 — Input Handling and Validation</w:t>
      </w:r>
    </w:p>
    <w:p>
      <w:pPr>
        <w:pStyle w:val="ListParagraph"/>
        <w:numPr>
          <w:ilvl w:val="0"/>
          <w:numId w:val="3"/>
        </w:numPr>
        <w:spacing w:after="70" w:line="270"/>
      </w:pPr>
      <w:r>
        <w:rPr>
          <w:rFonts w:ascii="Calibri" w:cs="Calibri" w:eastAsia="Calibri" w:hAnsi="Calibri"/>
          <w:b/>
          <w:bCs/>
          <w:color w:val="2E75B6"/>
          <w:sz w:val="22"/>
          <w:szCs w:val="22"/>
        </w:rPr>
        <w:t xml:space="preserve">FR-2.1  </w:t>
      </w:r>
      <w:r>
        <w:rPr>
          <w:rFonts w:ascii="Calibri" w:cs="Calibri" w:eastAsia="Calibri" w:hAnsi="Calibri"/>
          <w:sz w:val="22"/>
          <w:szCs w:val="22"/>
        </w:rPr>
        <w:t xml:space="preserve">The system shall accept the input string or strings required by the selected operation.</w:t>
      </w:r>
    </w:p>
    <w:p>
      <w:pPr>
        <w:pStyle w:val="ListParagraph"/>
        <w:numPr>
          <w:ilvl w:val="0"/>
          <w:numId w:val="3"/>
        </w:numPr>
        <w:spacing w:after="70" w:line="270"/>
      </w:pPr>
      <w:r>
        <w:rPr>
          <w:rFonts w:ascii="Calibri" w:cs="Calibri" w:eastAsia="Calibri" w:hAnsi="Calibri"/>
          <w:b/>
          <w:bCs/>
          <w:color w:val="2E75B6"/>
          <w:sz w:val="22"/>
          <w:szCs w:val="22"/>
        </w:rPr>
        <w:t xml:space="preserve">FR-2.2  </w:t>
      </w:r>
      <w:r>
        <w:rPr>
          <w:rFonts w:ascii="Calibri" w:cs="Calibri" w:eastAsia="Calibri" w:hAnsi="Calibri"/>
          <w:sz w:val="22"/>
          <w:szCs w:val="22"/>
        </w:rPr>
        <w:t xml:space="preserve">The system shall verify that all required inputs are present before execution.</w:t>
      </w:r>
    </w:p>
    <w:p>
      <w:pPr>
        <w:pStyle w:val="ListParagraph"/>
        <w:numPr>
          <w:ilvl w:val="0"/>
          <w:numId w:val="3"/>
        </w:numPr>
        <w:spacing w:after="70" w:line="270"/>
      </w:pPr>
      <w:r>
        <w:rPr>
          <w:rFonts w:ascii="Calibri" w:cs="Calibri" w:eastAsia="Calibri" w:hAnsi="Calibri"/>
          <w:b/>
          <w:bCs/>
          <w:color w:val="2E75B6"/>
          <w:sz w:val="22"/>
          <w:szCs w:val="22"/>
        </w:rPr>
        <w:t xml:space="preserve">FR-2.3  </w:t>
      </w:r>
      <w:r>
        <w:rPr>
          <w:rFonts w:ascii="Calibri" w:cs="Calibri" w:eastAsia="Calibri" w:hAnsi="Calibri"/>
          <w:sz w:val="22"/>
          <w:szCs w:val="22"/>
        </w:rPr>
        <w:t xml:space="preserve">The system shall enforce input constraints such as maximum length and, where an operation requires it, alphabet restrictions.</w:t>
      </w:r>
    </w:p>
    <w:p>
      <w:pPr>
        <w:pStyle w:val="ListParagraph"/>
        <w:numPr>
          <w:ilvl w:val="0"/>
          <w:numId w:val="3"/>
        </w:numPr>
        <w:spacing w:after="70" w:line="270"/>
      </w:pPr>
      <w:r>
        <w:rPr>
          <w:rFonts w:ascii="Calibri" w:cs="Calibri" w:eastAsia="Calibri" w:hAnsi="Calibri"/>
          <w:b/>
          <w:bCs/>
          <w:color w:val="2E75B6"/>
          <w:sz w:val="22"/>
          <w:szCs w:val="22"/>
        </w:rPr>
        <w:t xml:space="preserve">FR-2.4  </w:t>
      </w:r>
      <w:r>
        <w:rPr>
          <w:rFonts w:ascii="Calibri" w:cs="Calibri" w:eastAsia="Calibri" w:hAnsi="Calibri"/>
          <w:sz w:val="22"/>
          <w:szCs w:val="22"/>
        </w:rPr>
        <w:t xml:space="preserve">The system shall report validation errors to the user before any computation runs.</w:t>
      </w:r>
    </w:p>
    <w:p>
      <w:pPr>
        <w:pStyle w:val="Heading3"/>
      </w:pPr>
      <w:r>
        <w:t xml:space="preserve">FR-3 — Computation and Explanation</w:t>
      </w:r>
    </w:p>
    <w:p>
      <w:pPr>
        <w:pStyle w:val="ListParagraph"/>
        <w:numPr>
          <w:ilvl w:val="0"/>
          <w:numId w:val="3"/>
        </w:numPr>
        <w:spacing w:after="70" w:line="270"/>
      </w:pPr>
      <w:r>
        <w:rPr>
          <w:rFonts w:ascii="Calibri" w:cs="Calibri" w:eastAsia="Calibri" w:hAnsi="Calibri"/>
          <w:b/>
          <w:bCs/>
          <w:color w:val="2E75B6"/>
          <w:sz w:val="22"/>
          <w:szCs w:val="22"/>
        </w:rPr>
        <w:t xml:space="preserve">FR-3.1  </w:t>
      </w:r>
      <w:r>
        <w:rPr>
          <w:rFonts w:ascii="Calibri" w:cs="Calibri" w:eastAsia="Calibri" w:hAnsi="Calibri"/>
          <w:sz w:val="22"/>
          <w:szCs w:val="22"/>
        </w:rPr>
        <w:t xml:space="preserve">The system shall execute the selected operation on the Python engine.</w:t>
      </w:r>
    </w:p>
    <w:p>
      <w:pPr>
        <w:pStyle w:val="ListParagraph"/>
        <w:numPr>
          <w:ilvl w:val="0"/>
          <w:numId w:val="3"/>
        </w:numPr>
        <w:spacing w:after="70" w:line="270"/>
      </w:pPr>
      <w:r>
        <w:rPr>
          <w:rFonts w:ascii="Calibri" w:cs="Calibri" w:eastAsia="Calibri" w:hAnsi="Calibri"/>
          <w:b/>
          <w:bCs/>
          <w:color w:val="2E75B6"/>
          <w:sz w:val="22"/>
          <w:szCs w:val="22"/>
        </w:rPr>
        <w:t xml:space="preserve">FR-3.2  </w:t>
      </w:r>
      <w:r>
        <w:rPr>
          <w:rFonts w:ascii="Calibri" w:cs="Calibri" w:eastAsia="Calibri" w:hAnsi="Calibri"/>
          <w:sz w:val="22"/>
          <w:szCs w:val="22"/>
        </w:rPr>
        <w:t xml:space="preserve">The system shall return the computed result.</w:t>
      </w:r>
    </w:p>
    <w:p>
      <w:pPr>
        <w:pStyle w:val="ListParagraph"/>
        <w:numPr>
          <w:ilvl w:val="0"/>
          <w:numId w:val="3"/>
        </w:numPr>
        <w:spacing w:after="70" w:line="270"/>
      </w:pPr>
      <w:r>
        <w:rPr>
          <w:rFonts w:ascii="Calibri" w:cs="Calibri" w:eastAsia="Calibri" w:hAnsi="Calibri"/>
          <w:b/>
          <w:bCs/>
          <w:color w:val="2E75B6"/>
          <w:sz w:val="22"/>
          <w:szCs w:val="22"/>
        </w:rPr>
        <w:t xml:space="preserve">FR-3.3  </w:t>
      </w:r>
      <w:r>
        <w:rPr>
          <w:rFonts w:ascii="Calibri" w:cs="Calibri" w:eastAsia="Calibri" w:hAnsi="Calibri"/>
          <w:sz w:val="22"/>
          <w:szCs w:val="22"/>
        </w:rPr>
        <w:t xml:space="preserve">The system shall return a plain-language explanation of how the result was obtained.</w:t>
      </w:r>
    </w:p>
    <w:p>
      <w:pPr>
        <w:pStyle w:val="ListParagraph"/>
        <w:numPr>
          <w:ilvl w:val="0"/>
          <w:numId w:val="3"/>
        </w:numPr>
        <w:spacing w:after="70" w:line="270"/>
      </w:pPr>
      <w:r>
        <w:rPr>
          <w:rFonts w:ascii="Calibri" w:cs="Calibri" w:eastAsia="Calibri" w:hAnsi="Calibri"/>
          <w:b/>
          <w:bCs/>
          <w:color w:val="2E75B6"/>
          <w:sz w:val="22"/>
          <w:szCs w:val="22"/>
        </w:rPr>
        <w:t xml:space="preserve">FR-3.4  </w:t>
      </w:r>
      <w:r>
        <w:rPr>
          <w:rFonts w:ascii="Calibri" w:cs="Calibri" w:eastAsia="Calibri" w:hAnsi="Calibri"/>
          <w:sz w:val="22"/>
          <w:szCs w:val="22"/>
        </w:rPr>
        <w:t xml:space="preserve">The system shall produce an ordered trace of computation steps for flagship and enhanced operations.</w:t>
      </w:r>
    </w:p>
    <w:p>
      <w:pPr>
        <w:pStyle w:val="ListParagraph"/>
        <w:numPr>
          <w:ilvl w:val="0"/>
          <w:numId w:val="3"/>
        </w:numPr>
        <w:spacing w:after="70" w:line="270"/>
      </w:pPr>
      <w:r>
        <w:rPr>
          <w:rFonts w:ascii="Calibri" w:cs="Calibri" w:eastAsia="Calibri" w:hAnsi="Calibri"/>
          <w:b/>
          <w:bCs/>
          <w:color w:val="2E75B6"/>
          <w:sz w:val="22"/>
          <w:szCs w:val="22"/>
        </w:rPr>
        <w:t xml:space="preserve">FR-3.5  </w:t>
      </w:r>
      <w:r>
        <w:rPr>
          <w:rFonts w:ascii="Calibri" w:cs="Calibri" w:eastAsia="Calibri" w:hAnsi="Calibri"/>
          <w:sz w:val="22"/>
          <w:szCs w:val="22"/>
        </w:rPr>
        <w:t xml:space="preserve">The system shall be deterministic: identical inputs yield an identical result and trace.</w:t>
      </w:r>
    </w:p>
    <w:p>
      <w:pPr>
        <w:pStyle w:val="Heading3"/>
      </w:pPr>
      <w:r>
        <w:t xml:space="preserve">FR-4 — Examples</w:t>
      </w:r>
    </w:p>
    <w:p>
      <w:pPr>
        <w:pStyle w:val="ListParagraph"/>
        <w:numPr>
          <w:ilvl w:val="0"/>
          <w:numId w:val="3"/>
        </w:numPr>
        <w:spacing w:after="70" w:line="270"/>
      </w:pPr>
      <w:r>
        <w:rPr>
          <w:rFonts w:ascii="Calibri" w:cs="Calibri" w:eastAsia="Calibri" w:hAnsi="Calibri"/>
          <w:b/>
          <w:bCs/>
          <w:color w:val="2E75B6"/>
          <w:sz w:val="22"/>
          <w:szCs w:val="22"/>
        </w:rPr>
        <w:t xml:space="preserve">FR-4.1  </w:t>
      </w:r>
      <w:r>
        <w:rPr>
          <w:rFonts w:ascii="Calibri" w:cs="Calibri" w:eastAsia="Calibri" w:hAnsi="Calibri"/>
          <w:sz w:val="22"/>
          <w:szCs w:val="22"/>
        </w:rPr>
        <w:t xml:space="preserve">The system shall provide curated example inputs for each operation.</w:t>
      </w:r>
    </w:p>
    <w:p>
      <w:pPr>
        <w:pStyle w:val="ListParagraph"/>
        <w:numPr>
          <w:ilvl w:val="0"/>
          <w:numId w:val="3"/>
        </w:numPr>
        <w:spacing w:after="70" w:line="270"/>
      </w:pPr>
      <w:r>
        <w:rPr>
          <w:rFonts w:ascii="Calibri" w:cs="Calibri" w:eastAsia="Calibri" w:hAnsi="Calibri"/>
          <w:b/>
          <w:bCs/>
          <w:color w:val="2E75B6"/>
          <w:sz w:val="22"/>
          <w:szCs w:val="22"/>
        </w:rPr>
        <w:t xml:space="preserve">FR-4.2  </w:t>
      </w:r>
      <w:r>
        <w:rPr>
          <w:rFonts w:ascii="Calibri" w:cs="Calibri" w:eastAsia="Calibri" w:hAnsi="Calibri"/>
          <w:sz w:val="22"/>
          <w:szCs w:val="22"/>
        </w:rPr>
        <w:t xml:space="preserve">The system shall let the user load an example to auto-fill the input fields.</w:t>
      </w:r>
    </w:p>
    <w:p>
      <w:pPr>
        <w:pStyle w:val="ListParagraph"/>
        <w:numPr>
          <w:ilvl w:val="0"/>
          <w:numId w:val="3"/>
        </w:numPr>
        <w:spacing w:after="70" w:line="270"/>
      </w:pPr>
      <w:r>
        <w:rPr>
          <w:rFonts w:ascii="Calibri" w:cs="Calibri" w:eastAsia="Calibri" w:hAnsi="Calibri"/>
          <w:b/>
          <w:bCs/>
          <w:color w:val="2E75B6"/>
          <w:sz w:val="22"/>
          <w:szCs w:val="22"/>
        </w:rPr>
        <w:t xml:space="preserve">FR-4.3  </w:t>
      </w:r>
      <w:r>
        <w:rPr>
          <w:rFonts w:ascii="Calibri" w:cs="Calibri" w:eastAsia="Calibri" w:hAnsi="Calibri"/>
          <w:sz w:val="22"/>
          <w:szCs w:val="22"/>
        </w:rPr>
        <w:t xml:space="preserve">The system shall display a note explaining why each example is interesting.</w:t>
      </w:r>
    </w:p>
    <w:p>
      <w:pPr>
        <w:pStyle w:val="Heading3"/>
      </w:pPr>
      <w:r>
        <w:t xml:space="preserve">FR-5 — Visualisation and Playback</w:t>
      </w:r>
    </w:p>
    <w:p>
      <w:pPr>
        <w:pStyle w:val="ListParagraph"/>
        <w:numPr>
          <w:ilvl w:val="0"/>
          <w:numId w:val="3"/>
        </w:numPr>
        <w:spacing w:after="70" w:line="270"/>
      </w:pPr>
      <w:r>
        <w:rPr>
          <w:rFonts w:ascii="Calibri" w:cs="Calibri" w:eastAsia="Calibri" w:hAnsi="Calibri"/>
          <w:b/>
          <w:bCs/>
          <w:color w:val="2E75B6"/>
          <w:sz w:val="22"/>
          <w:szCs w:val="22"/>
        </w:rPr>
        <w:t xml:space="preserve">FR-5.1  </w:t>
      </w:r>
      <w:r>
        <w:rPr>
          <w:rFonts w:ascii="Calibri" w:cs="Calibri" w:eastAsia="Calibri" w:hAnsi="Calibri"/>
          <w:sz w:val="22"/>
          <w:szCs w:val="22"/>
        </w:rPr>
        <w:t xml:space="preserve">The system shall animate flagship operations from their trace.</w:t>
      </w:r>
    </w:p>
    <w:p>
      <w:pPr>
        <w:pStyle w:val="ListParagraph"/>
        <w:numPr>
          <w:ilvl w:val="0"/>
          <w:numId w:val="3"/>
        </w:numPr>
        <w:spacing w:after="70" w:line="270"/>
      </w:pPr>
      <w:r>
        <w:rPr>
          <w:rFonts w:ascii="Calibri" w:cs="Calibri" w:eastAsia="Calibri" w:hAnsi="Calibri"/>
          <w:b/>
          <w:bCs/>
          <w:color w:val="2E75B6"/>
          <w:sz w:val="22"/>
          <w:szCs w:val="22"/>
        </w:rPr>
        <w:t xml:space="preserve">FR-5.2  </w:t>
      </w:r>
      <w:r>
        <w:rPr>
          <w:rFonts w:ascii="Calibri" w:cs="Calibri" w:eastAsia="Calibri" w:hAnsi="Calibri"/>
          <w:sz w:val="22"/>
          <w:szCs w:val="22"/>
        </w:rPr>
        <w:t xml:space="preserve">The system shall provide playback controls: play, pause, step forward and back, and speed.</w:t>
      </w:r>
    </w:p>
    <w:p>
      <w:pPr>
        <w:pStyle w:val="ListParagraph"/>
        <w:numPr>
          <w:ilvl w:val="0"/>
          <w:numId w:val="3"/>
        </w:numPr>
        <w:spacing w:after="70" w:line="270"/>
      </w:pPr>
      <w:r>
        <w:rPr>
          <w:rFonts w:ascii="Calibri" w:cs="Calibri" w:eastAsia="Calibri" w:hAnsi="Calibri"/>
          <w:b/>
          <w:bCs/>
          <w:color w:val="2E75B6"/>
          <w:sz w:val="22"/>
          <w:szCs w:val="22"/>
        </w:rPr>
        <w:t xml:space="preserve">FR-5.3  </w:t>
      </w:r>
      <w:r>
        <w:rPr>
          <w:rFonts w:ascii="Calibri" w:cs="Calibri" w:eastAsia="Calibri" w:hAnsi="Calibri"/>
          <w:sz w:val="22"/>
          <w:szCs w:val="22"/>
        </w:rPr>
        <w:t xml:space="preserve">The system shall narrate each step through a step log.</w:t>
      </w:r>
    </w:p>
    <w:p>
      <w:pPr>
        <w:pStyle w:val="ListParagraph"/>
        <w:numPr>
          <w:ilvl w:val="0"/>
          <w:numId w:val="3"/>
        </w:numPr>
        <w:spacing w:after="70" w:line="270"/>
      </w:pPr>
      <w:r>
        <w:rPr>
          <w:rFonts w:ascii="Calibri" w:cs="Calibri" w:eastAsia="Calibri" w:hAnsi="Calibri"/>
          <w:b/>
          <w:bCs/>
          <w:color w:val="2E75B6"/>
          <w:sz w:val="22"/>
          <w:szCs w:val="22"/>
        </w:rPr>
        <w:t xml:space="preserve">FR-5.4  </w:t>
      </w:r>
      <w:r>
        <w:rPr>
          <w:rFonts w:ascii="Calibri" w:cs="Calibri" w:eastAsia="Calibri" w:hAnsi="Calibri"/>
          <w:sz w:val="22"/>
          <w:szCs w:val="22"/>
        </w:rPr>
        <w:t xml:space="preserve">The system shall degrade gracefully for non-animated operations, showing a step log or result only.</w:t>
      </w:r>
    </w:p>
    <w:p>
      <w:pPr>
        <w:pStyle w:val="Heading3"/>
      </w:pPr>
      <w:r>
        <w:t xml:space="preserve">FR-6 — History and Persistence</w:t>
      </w:r>
    </w:p>
    <w:p>
      <w:pPr>
        <w:pStyle w:val="ListParagraph"/>
        <w:numPr>
          <w:ilvl w:val="0"/>
          <w:numId w:val="3"/>
        </w:numPr>
        <w:spacing w:after="70" w:line="270"/>
      </w:pPr>
      <w:r>
        <w:rPr>
          <w:rFonts w:ascii="Calibri" w:cs="Calibri" w:eastAsia="Calibri" w:hAnsi="Calibri"/>
          <w:b/>
          <w:bCs/>
          <w:color w:val="2E75B6"/>
          <w:sz w:val="22"/>
          <w:szCs w:val="22"/>
        </w:rPr>
        <w:t xml:space="preserve">FR-6.1  </w:t>
      </w:r>
      <w:r>
        <w:rPr>
          <w:rFonts w:ascii="Calibri" w:cs="Calibri" w:eastAsia="Calibri" w:hAnsi="Calibri"/>
          <w:sz w:val="22"/>
          <w:szCs w:val="22"/>
        </w:rPr>
        <w:t xml:space="preserve">The system shall record each run with its operation, inputs, result, and timestamp.</w:t>
      </w:r>
    </w:p>
    <w:p>
      <w:pPr>
        <w:pStyle w:val="ListParagraph"/>
        <w:numPr>
          <w:ilvl w:val="0"/>
          <w:numId w:val="3"/>
        </w:numPr>
        <w:spacing w:after="70" w:line="270"/>
      </w:pPr>
      <w:r>
        <w:rPr>
          <w:rFonts w:ascii="Calibri" w:cs="Calibri" w:eastAsia="Calibri" w:hAnsi="Calibri"/>
          <w:b/>
          <w:bCs/>
          <w:color w:val="2E75B6"/>
          <w:sz w:val="22"/>
          <w:szCs w:val="22"/>
        </w:rPr>
        <w:t xml:space="preserve">FR-6.2  </w:t>
      </w:r>
      <w:r>
        <w:rPr>
          <w:rFonts w:ascii="Calibri" w:cs="Calibri" w:eastAsia="Calibri" w:hAnsi="Calibri"/>
          <w:sz w:val="22"/>
          <w:szCs w:val="22"/>
        </w:rPr>
        <w:t xml:space="preserve">The system shall optionally cache the computed trace alongside the run.</w:t>
      </w:r>
    </w:p>
    <w:p>
      <w:pPr>
        <w:pStyle w:val="ListParagraph"/>
        <w:numPr>
          <w:ilvl w:val="0"/>
          <w:numId w:val="3"/>
        </w:numPr>
        <w:spacing w:after="70" w:line="270"/>
      </w:pPr>
      <w:r>
        <w:rPr>
          <w:rFonts w:ascii="Calibri" w:cs="Calibri" w:eastAsia="Calibri" w:hAnsi="Calibri"/>
          <w:b/>
          <w:bCs/>
          <w:color w:val="2E75B6"/>
          <w:sz w:val="22"/>
          <w:szCs w:val="22"/>
        </w:rPr>
        <w:t xml:space="preserve">FR-6.3  </w:t>
      </w:r>
      <w:r>
        <w:rPr>
          <w:rFonts w:ascii="Calibri" w:cs="Calibri" w:eastAsia="Calibri" w:hAnsi="Calibri"/>
          <w:sz w:val="22"/>
          <w:szCs w:val="22"/>
        </w:rPr>
        <w:t xml:space="preserve">The system shall allow retrieval of a visitor’s recent runs.</w:t>
      </w:r>
    </w:p>
    <w:p>
      <w:pPr>
        <w:pStyle w:val="ListParagraph"/>
        <w:numPr>
          <w:ilvl w:val="0"/>
          <w:numId w:val="3"/>
        </w:numPr>
        <w:spacing w:after="70" w:line="270"/>
      </w:pPr>
      <w:r>
        <w:rPr>
          <w:rFonts w:ascii="Calibri" w:cs="Calibri" w:eastAsia="Calibri" w:hAnsi="Calibri"/>
          <w:b/>
          <w:bCs/>
          <w:color w:val="2E75B6"/>
          <w:sz w:val="22"/>
          <w:szCs w:val="22"/>
        </w:rPr>
        <w:t xml:space="preserve">FR-6.4  </w:t>
      </w:r>
      <w:r>
        <w:rPr>
          <w:rFonts w:ascii="Calibri" w:cs="Calibri" w:eastAsia="Calibri" w:hAnsi="Calibri"/>
          <w:sz w:val="22"/>
          <w:szCs w:val="22"/>
        </w:rPr>
        <w:t xml:space="preserve">The system shall associate each run with the visitor’s anonymous session.</w:t>
      </w:r>
    </w:p>
    <w:p>
      <w:pPr>
        <w:pStyle w:val="Heading3"/>
      </w:pPr>
      <w:r>
        <w:t xml:space="preserve">FR-7 — Identity and Session State</w:t>
      </w:r>
    </w:p>
    <w:p>
      <w:pPr>
        <w:pStyle w:val="ListParagraph"/>
        <w:numPr>
          <w:ilvl w:val="0"/>
          <w:numId w:val="3"/>
        </w:numPr>
        <w:spacing w:after="70" w:line="270"/>
      </w:pPr>
      <w:r>
        <w:rPr>
          <w:rFonts w:ascii="Calibri" w:cs="Calibri" w:eastAsia="Calibri" w:hAnsi="Calibri"/>
          <w:b/>
          <w:bCs/>
          <w:color w:val="2E75B6"/>
          <w:sz w:val="22"/>
          <w:szCs w:val="22"/>
        </w:rPr>
        <w:t xml:space="preserve">FR-7.1  </w:t>
      </w:r>
      <w:r>
        <w:rPr>
          <w:rFonts w:ascii="Calibri" w:cs="Calibri" w:eastAsia="Calibri" w:hAnsi="Calibri"/>
          <w:sz w:val="22"/>
          <w:szCs w:val="22"/>
        </w:rPr>
        <w:t xml:space="preserve">The system shall preserve the user’s current input and selected operation across a page refresh (handled client-side in browser storage).</w:t>
      </w:r>
    </w:p>
    <w:p>
      <w:pPr>
        <w:pStyle w:val="ListParagraph"/>
        <w:numPr>
          <w:ilvl w:val="0"/>
          <w:numId w:val="3"/>
        </w:numPr>
        <w:spacing w:after="70" w:line="270"/>
      </w:pPr>
      <w:r>
        <w:rPr>
          <w:rFonts w:ascii="Calibri" w:cs="Calibri" w:eastAsia="Calibri" w:hAnsi="Calibri"/>
          <w:b/>
          <w:bCs/>
          <w:color w:val="2E75B6"/>
          <w:sz w:val="22"/>
          <w:szCs w:val="22"/>
        </w:rPr>
        <w:t xml:space="preserve">FR-7.2  </w:t>
      </w:r>
      <w:r>
        <w:rPr>
          <w:rFonts w:ascii="Calibri" w:cs="Calibri" w:eastAsia="Calibri" w:hAnsi="Calibri"/>
          <w:sz w:val="22"/>
          <w:szCs w:val="22"/>
        </w:rPr>
        <w:t xml:space="preserve">The system shall assign each new visitor an anonymous session identifier, delivered as an HttpOnly cookie, and use it to associate that visitor’s runs.</w:t>
      </w:r>
    </w:p>
    <w:p>
      <w:pPr>
        <w:pStyle w:val="ListParagraph"/>
        <w:numPr>
          <w:ilvl w:val="0"/>
          <w:numId w:val="3"/>
        </w:numPr>
        <w:spacing w:after="70" w:line="270"/>
      </w:pPr>
      <w:r>
        <w:rPr>
          <w:rFonts w:ascii="Calibri" w:cs="Calibri" w:eastAsia="Calibri" w:hAnsi="Calibri"/>
          <w:b/>
          <w:bCs/>
          <w:color w:val="2E75B6"/>
          <w:sz w:val="22"/>
          <w:szCs w:val="22"/>
        </w:rPr>
        <w:t xml:space="preserve">FR-7.3  </w:t>
      </w:r>
      <w:r>
        <w:rPr>
          <w:rFonts w:ascii="Calibri" w:cs="Calibri" w:eastAsia="Calibri" w:hAnsi="Calibri"/>
          <w:sz w:val="22"/>
          <w:szCs w:val="22"/>
        </w:rPr>
        <w:t xml:space="preserve">The system shall not require registration, login, or any personal data to use any operation.</w:t>
      </w:r>
    </w:p>
    <w:p>
      <w:pPr>
        <w:pStyle w:val="Heading2"/>
      </w:pPr>
      <w:r>
        <w:t xml:space="preserve">4.2 Backend Modules Derived from the Requirements</w:t>
      </w:r>
    </w:p>
    <w:p>
      <w:pPr>
        <w:spacing w:after="80" w:before="0" w:line="288"/>
      </w:pPr>
      <w:r>
        <w:rPr>
          <w:rFonts w:ascii="Calibri" w:cs="Calibri" w:eastAsia="Calibri" w:hAnsi="Calibri"/>
          <w:sz w:val="22"/>
          <w:szCs w:val="22"/>
        </w:rPr>
        <w:t xml:space="preserve">Each module is a cohesive cluster of related requirements. The right-hand column records whether the module persists state of its own — deciding this per module is what prevents a needless table being invented for every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Module</w:t>
            </w:r>
          </w:p>
        </w:tc>
        <w:tc>
          <w:tcPr>
            <w:tcW w:type="dxa" w:w="41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Requirements satisfied</w:t>
            </w:r>
          </w:p>
        </w:tc>
        <w:tc>
          <w:tcPr>
            <w:tcW w:type="dxa" w:w="26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Persistent state?</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M1 — Catalogue</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FR-1.1 to FR-1.4</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Yes</w:t>
            </w:r>
          </w:p>
        </w:tc>
      </w:tr>
      <w:tr>
        <w:trPr>
          <w:tblHeader w:val="false"/>
        </w:trPr>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M2 — Validation</w:t>
            </w:r>
          </w:p>
        </w:tc>
        <w:tc>
          <w:tcPr>
            <w:tcW w:type="dxa" w:w="4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FR-2.1 to FR-2.4</w:t>
            </w:r>
          </w:p>
        </w:tc>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No (reads M1)</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M3 — Computation Engine</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FR-3.1 to FR-3.5</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No (runtime trace)</w:t>
            </w:r>
          </w:p>
        </w:tc>
      </w:tr>
      <w:tr>
        <w:trPr>
          <w:tblHeader w:val="false"/>
        </w:trPr>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M4 — Examples</w:t>
            </w:r>
          </w:p>
        </w:tc>
        <w:tc>
          <w:tcPr>
            <w:tcW w:type="dxa" w:w="4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FR-4.1 to FR-4.3</w:t>
            </w:r>
          </w:p>
        </w:tc>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Yes</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M5 — History &amp; Session</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FR-6.1 to FR-6.4, FR-7.2</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Yes</w:t>
            </w:r>
          </w:p>
        </w:tc>
      </w:tr>
      <w:tr>
        <w:trPr>
          <w:tblHeader w:val="false"/>
        </w:trPr>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Visualisation (frontend)</w:t>
            </w:r>
          </w:p>
        </w:tc>
        <w:tc>
          <w:tcPr>
            <w:tcW w:type="dxa" w:w="4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FR-5.1 to FR-5.4</w:t>
            </w:r>
          </w:p>
        </w:tc>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No (consumes M3 trace)</w:t>
            </w:r>
          </w:p>
        </w:tc>
      </w:tr>
    </w:tbl>
    <w:p>
      <w:pPr>
        <w:spacing w:after="50"/>
      </w:pPr>
      <w:r>
        <w:t xml:space="preserve"/>
      </w:r>
    </w:p>
    <w:p>
      <w:pPr>
        <w:spacing w:after="140" w:before="0" w:line="288"/>
      </w:pPr>
      <w:r>
        <w:rPr>
          <w:rFonts w:ascii="Calibri" w:cs="Calibri" w:eastAsia="Calibri" w:hAnsi="Calibri"/>
          <w:sz w:val="22"/>
          <w:szCs w:val="22"/>
        </w:rPr>
        <w:t xml:space="preserve">Two requirements intentionally map to no backend module: FR-7.1 is satisfied client-side in browser storage, and FR-7.3 is a project-wide constraint honoured by every module rather than implemented in one. The stateless modules M2 and M3 own no tables — validation is pure logic over the catalogue, and the computation engine returns runtime data, not stored records.</w:t>
      </w:r>
    </w:p>
    <w:p>
      <w:pPr>
        <w:pStyle w:val="Heading2"/>
      </w:pPr>
      <w:r>
        <w:t xml:space="preserve">4.3 Data Persistence — Tables Derived per Module</w:t>
      </w:r>
    </w:p>
    <w:p>
      <w:pPr>
        <w:spacing w:after="80" w:before="0" w:line="288"/>
      </w:pPr>
      <w:r>
        <w:rPr>
          <w:rFonts w:ascii="Calibri" w:cs="Calibri" w:eastAsia="Calibri" w:hAnsi="Calibri"/>
          <w:sz w:val="22"/>
          <w:szCs w:val="22"/>
        </w:rPr>
        <w:t xml:space="preserve">Tables are introduced only where a stateful module requires them. The derivation below justifies each table by the module that owns it; full field-level schemas appear in Section 7 (Database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Module</w:t>
            </w:r>
          </w:p>
        </w:tc>
        <w:tc>
          <w:tcPr>
            <w:tcW w:type="dxa" w:w="26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Table(s)</w:t>
            </w:r>
          </w:p>
        </w:tc>
        <w:tc>
          <w:tcPr>
            <w:tcW w:type="dxa" w:w="41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Why the module needs it</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M1 — Catalogue</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categories, operations</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Describes the fixed set of operations and their grouping (FR-1)</w:t>
            </w:r>
          </w:p>
        </w:tc>
      </w:tr>
      <w:tr>
        <w:trPr>
          <w:tblHeader w:val="false"/>
        </w:trPr>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M2 — Validation</w:t>
            </w:r>
          </w:p>
        </w:tc>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none</w:t>
            </w:r>
          </w:p>
        </w:tc>
        <w:tc>
          <w:tcPr>
            <w:tcW w:type="dxa" w:w="4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Pure logic; reads operations.input_spec from M1</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M3 — Computation Engine</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none</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Stateless functions; the trace is runtime output, not stored data</w:t>
            </w:r>
          </w:p>
        </w:tc>
      </w:tr>
      <w:tr>
        <w:trPr>
          <w:tblHeader w:val="false"/>
        </w:trPr>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M4 — Examples</w:t>
            </w:r>
          </w:p>
        </w:tc>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examples</w:t>
            </w:r>
          </w:p>
        </w:tc>
        <w:tc>
          <w:tcPr>
            <w:tcW w:type="dxa" w:w="4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Curated inputs tied to each operation (FR-4)</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M5 — History &amp; Session</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runs (+ optional sessions)</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Records executions and links them to a session (FR-6, FR-7.2)</w:t>
            </w:r>
          </w:p>
        </w:tc>
      </w:tr>
    </w:tbl>
    <w:p>
      <w:pPr>
        <w:spacing w:after="50"/>
      </w:pPr>
      <w:r>
        <w:t xml:space="preserve"/>
      </w:r>
    </w:p>
    <w:p>
      <w:pPr>
        <w:spacing w:after="140" w:before="0" w:line="288"/>
      </w:pPr>
      <w:r>
        <w:rPr>
          <w:rFonts w:ascii="Calibri" w:cs="Calibri" w:eastAsia="Calibri" w:hAnsi="Calibri"/>
          <w:sz w:val="22"/>
          <w:szCs w:val="22"/>
        </w:rPr>
        <w:t xml:space="preserve">The derivation lands on four core tables — categories, operations, examples, and runs — each justified by the requirements of the module that owns it, plus one optional sessions table discussed next. This requirement-to-module-to-table chain is exactly the traceability a reviewer looks for.</w:t>
      </w:r>
    </w:p>
    <w:p>
      <w:pPr>
        <w:pStyle w:val="Heading2"/>
      </w:pPr>
      <w:r>
        <w:t xml:space="preserve">4.4 User Identity and Session Strategy</w:t>
      </w:r>
    </w:p>
    <w:p>
      <w:pPr>
        <w:spacing w:after="140" w:before="0" w:line="288"/>
      </w:pPr>
      <w:r>
        <w:rPr>
          <w:rFonts w:ascii="Calibri" w:cs="Calibri" w:eastAsia="Calibri" w:hAnsi="Calibri"/>
          <w:sz w:val="22"/>
          <w:szCs w:val="22"/>
        </w:rPr>
        <w:t xml:space="preserve">The history features (FR-6) must know which runs belong to which visitor, which raises whether the application needs user accounts. The distinction that settles it: authentication answers “who are you, provably” and suits private or device-portable data, whereas identification answers “is this the same browser as before” and is enough to show a visitor their own recent runs. Because a run carries nothing private — it is simply a computation someone performed — continuity, not authentication, is what the requirements actually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Option</w:t>
            </w:r>
          </w:p>
        </w:tc>
        <w:tc>
          <w:tcPr>
            <w:tcW w:type="dxa" w:w="41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Approach</w:t>
            </w:r>
          </w:p>
        </w:tc>
        <w:tc>
          <w:tcPr>
            <w:tcW w:type="dxa" w:w="26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Verdict</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1. Anonymous session</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Server issues a random identifier on first visit; every run is tagged with it</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bCs/>
                <w:color w:val="1F7A3D"/>
                <w:sz w:val="20"/>
                <w:szCs w:val="20"/>
              </w:rPr>
              <w:t xml:space="preserve">Chosen</w:t>
            </w:r>
          </w:p>
        </w:tc>
      </w:tr>
      <w:tr>
        <w:trPr>
          <w:tblHeader w:val="false"/>
        </w:trPr>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2. No identity</w:t>
            </w:r>
          </w:p>
        </w:tc>
        <w:tc>
          <w:tcPr>
            <w:tcW w:type="dxa" w:w="4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History is global across all visitors, not per-person</w:t>
            </w:r>
          </w:p>
        </w:tc>
        <w:tc>
          <w:tcPr>
            <w:tcW w:type="dxa" w:w="26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Rejected</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3. Full authentication</w:t>
            </w:r>
          </w:p>
        </w:tc>
        <w:tc>
          <w:tcPr>
            <w:tcW w:type="dxa" w:w="4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Accounts with credentials and a users table</w:t>
            </w:r>
          </w:p>
        </w:tc>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Rejected</w:t>
            </w:r>
          </w:p>
        </w:tc>
      </w:tr>
    </w:tbl>
    <w:p>
      <w:pPr>
        <w:spacing w:after="50"/>
      </w:pPr>
      <w:r>
        <w:t xml:space="preserve"/>
      </w:r>
    </w:p>
    <w:p>
      <w:pPr>
        <w:spacing w:after="140" w:before="0" w:line="288"/>
      </w:pPr>
      <w:r>
        <w:rPr>
          <w:rFonts w:ascii="Calibri" w:cs="Calibri" w:eastAsia="Calibri" w:hAnsi="Calibri"/>
          <w:sz w:val="22"/>
          <w:szCs w:val="22"/>
        </w:rPr>
        <w:t xml:space="preserve">The application uses Option 1. On a visitor’s first request the backend generates an anonymous session identifier and returns it as an HttpOnly cookie, so the browser stores and resends it automatically and client-side scripts can neither read nor tamper with it. The cookie is marked SameSite=Lax as a sensible cross-site baseline, and Secure when served over HTTPS in production (the Secure flag is omitted in local development over plain HTTP, where it would otherwise prevent the cookie from being sent). The identifier is used purely server-side to group a visitor’s runs; the frontend never needs its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6FB" w:val="clear"/>
            <w:tcMar>
              <w:top w:type="dxa" w:w="120"/>
              <w:left w:type="dxa" w:w="200"/>
              <w:bottom w:type="dxa" w:w="120"/>
              <w:right w:type="dxa" w:w="160"/>
            </w:tcMar>
          </w:tcPr>
          <w:p>
            <w:pPr>
              <w:spacing w:after="40"/>
            </w:pPr>
            <w:r>
              <w:rPr>
                <w:rFonts w:ascii="Calibri" w:cs="Calibri" w:eastAsia="Calibri" w:hAnsi="Calibri"/>
                <w:b/>
                <w:bCs/>
                <w:color w:val="1F4E79"/>
                <w:sz w:val="20"/>
                <w:szCs w:val="20"/>
              </w:rPr>
              <w:t xml:space="preserve">No users table, by design</w:t>
            </w:r>
          </w:p>
          <w:p>
            <w:r>
              <w:rPr>
                <w:rFonts w:ascii="Calibri" w:cs="Calibri" w:eastAsia="Calibri" w:hAnsi="Calibri"/>
                <w:i/>
                <w:iCs/>
                <w:color w:val="333333"/>
                <w:sz w:val="21"/>
                <w:szCs w:val="21"/>
              </w:rPr>
              <w:t xml:space="preserve">Because visitors are identified anonymously rather than through accounts, the schema deliberately contains no users table. The accepted trade-off is that history lives in a single browser: it will not follow a user across devices and will not survive clearing the cookie. For a non-sensitive string toolkit this is the proportionate choice — and stating it explicitly turns a possible “where is your user management?” question into evidence of deliberate scoping.</w:t>
            </w:r>
          </w:p>
        </w:tc>
      </w:tr>
    </w:tbl>
    <w:p>
      <w:pPr>
        <w:spacing w:after="140" w:before="10" w:line="288"/>
      </w:pPr>
      <w:r>
        <w:rPr>
          <w:rFonts w:ascii="Calibri" w:cs="Calibri" w:eastAsia="Calibri" w:hAnsi="Calibri"/>
          <w:sz w:val="22"/>
          <w:szCs w:val="22"/>
        </w:rPr>
        <w:t xml:space="preserve">Separately from identity, FR-7.1 — restoring the current input and selected operation after a page refresh — is handled in browser storage on the client and involves no server-side session.</w:t>
      </w:r>
    </w:p>
    <w:p>
      <w:pPr>
        <w:pStyle w:val="Heading2"/>
      </w:pPr>
      <w:r>
        <w:t xml:space="preserve">4.5 Requirements Traceability</w:t>
      </w:r>
    </w:p>
    <w:p>
      <w:pPr>
        <w:spacing w:after="80" w:before="0" w:line="288"/>
      </w:pPr>
      <w:r>
        <w:rPr>
          <w:rFonts w:ascii="Calibri" w:cs="Calibri" w:eastAsia="Calibri" w:hAnsi="Calibri"/>
          <w:sz w:val="22"/>
          <w:szCs w:val="22"/>
        </w:rPr>
        <w:t xml:space="preserve">The matrix links each requirement group to the module that implements it, the table(s) it relies on, and the interface element through which the user exercises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60"/>
        <w:gridCol w:w="3000"/>
      </w:tblGrid>
      <w:tr>
        <w:trPr>
          <w:tblHeader/>
        </w:trPr>
        <w:tc>
          <w:tcPr>
            <w:tcW w:type="dxa" w:w="22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FR Group</w:t>
            </w:r>
          </w:p>
        </w:tc>
        <w:tc>
          <w:tcPr>
            <w:tcW w:type="dxa" w:w="20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Module</w:t>
            </w:r>
          </w:p>
        </w:tc>
        <w:tc>
          <w:tcPr>
            <w:tcW w:type="dxa" w:w="21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Table(s)</w:t>
            </w:r>
          </w:p>
        </w:tc>
        <w:tc>
          <w:tcPr>
            <w:tcW w:type="dxa" w:w="30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Primary UI element</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FR-1 Catalogue</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M1</w:t>
            </w:r>
          </w:p>
        </w:tc>
        <w:tc>
          <w:tcPr>
            <w:tcW w:type="dxa" w:w="2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categories, operations</w:t>
            </w:r>
          </w:p>
        </w:tc>
        <w:tc>
          <w:tcPr>
            <w:tcW w:type="dxa" w:w="3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Category menu, operation header</w:t>
            </w:r>
          </w:p>
        </w:tc>
      </w:tr>
      <w:tr>
        <w:trPr>
          <w:tblHeader w:val="false"/>
        </w:trPr>
        <w:tc>
          <w:tcPr>
            <w:tcW w:type="dxa" w:w="22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FR-2 Validation</w:t>
            </w:r>
          </w:p>
        </w:tc>
        <w:tc>
          <w:tcPr>
            <w:tcW w:type="dxa" w:w="20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M2</w:t>
            </w:r>
          </w:p>
        </w:tc>
        <w:tc>
          <w:tcPr>
            <w:tcW w:type="dxa" w:w="2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w:t>
            </w:r>
          </w:p>
        </w:tc>
        <w:tc>
          <w:tcPr>
            <w:tcW w:type="dxa" w:w="30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Input panel, inline errors</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FR-3 Computation</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M3</w:t>
            </w:r>
          </w:p>
        </w:tc>
        <w:tc>
          <w:tcPr>
            <w:tcW w:type="dxa" w:w="2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w:t>
            </w:r>
          </w:p>
        </w:tc>
        <w:tc>
          <w:tcPr>
            <w:tcW w:type="dxa" w:w="3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 panel, step log</w:t>
            </w:r>
          </w:p>
        </w:tc>
      </w:tr>
      <w:tr>
        <w:trPr>
          <w:tblHeader w:val="false"/>
        </w:trPr>
        <w:tc>
          <w:tcPr>
            <w:tcW w:type="dxa" w:w="22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FR-4 Examples</w:t>
            </w:r>
          </w:p>
        </w:tc>
        <w:tc>
          <w:tcPr>
            <w:tcW w:type="dxa" w:w="20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M4</w:t>
            </w:r>
          </w:p>
        </w:tc>
        <w:tc>
          <w:tcPr>
            <w:tcW w:type="dxa" w:w="2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examples</w:t>
            </w:r>
          </w:p>
        </w:tc>
        <w:tc>
          <w:tcPr>
            <w:tcW w:type="dxa" w:w="30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Example selector buttons</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FR-5 Visualisation</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Frontend</w:t>
            </w:r>
          </w:p>
        </w:tc>
        <w:tc>
          <w:tcPr>
            <w:tcW w:type="dxa" w:w="2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w:t>
            </w:r>
          </w:p>
        </w:tc>
        <w:tc>
          <w:tcPr>
            <w:tcW w:type="dxa" w:w="3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Animation canvas, controls</w:t>
            </w:r>
          </w:p>
        </w:tc>
      </w:tr>
      <w:tr>
        <w:trPr>
          <w:tblHeader w:val="false"/>
        </w:trPr>
        <w:tc>
          <w:tcPr>
            <w:tcW w:type="dxa" w:w="22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FR-6 History</w:t>
            </w:r>
          </w:p>
        </w:tc>
        <w:tc>
          <w:tcPr>
            <w:tcW w:type="dxa" w:w="20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M5</w:t>
            </w:r>
          </w:p>
        </w:tc>
        <w:tc>
          <w:tcPr>
            <w:tcW w:type="dxa" w:w="21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runs</w:t>
            </w:r>
          </w:p>
        </w:tc>
        <w:tc>
          <w:tcPr>
            <w:tcW w:type="dxa" w:w="30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Recent-runs view</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FR-7 Identity/Session</w:t>
            </w:r>
          </w:p>
        </w:tc>
        <w:tc>
          <w:tcPr>
            <w:tcW w:type="dxa" w:w="2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M5 + client</w:t>
            </w:r>
          </w:p>
        </w:tc>
        <w:tc>
          <w:tcPr>
            <w:tcW w:type="dxa" w:w="21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runs (+ sessions)</w:t>
            </w:r>
          </w:p>
        </w:tc>
        <w:tc>
          <w:tcPr>
            <w:tcW w:type="dxa" w:w="30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Session cookie; restored input</w:t>
            </w:r>
          </w:p>
        </w:tc>
      </w:tr>
    </w:tbl>
    <w:p>
      <w:pPr>
        <w:pBdr>
          <w:bottom w:val="single" w:color="2E75B6" w:sz="6" w:space="1"/>
        </w:pBdr>
        <w:spacing w:after="140" w:before="40"/>
      </w:pPr>
      <w:r>
        <w:t xml:space="preserve"/>
      </w:r>
    </w:p>
    <w:p>
      <w:pPr>
        <w:pStyle w:val="Heading1"/>
      </w:pPr>
      <w:r>
        <w:t xml:space="preserve">5. User Experience and Workflow</w:t>
      </w:r>
    </w:p>
    <w:p>
      <w:pPr>
        <w:spacing w:after="140" w:before="0" w:line="288"/>
      </w:pPr>
      <w:r>
        <w:rPr>
          <w:rFonts w:ascii="Calibri" w:cs="Calibri" w:eastAsia="Calibri" w:hAnsi="Calibri"/>
          <w:sz w:val="22"/>
          <w:szCs w:val="22"/>
        </w:rPr>
        <w:t xml:space="preserve">The application’s value lies less in the answers it produces than in the journey it shows on the way to them. Any group can compute that the edit distance between “kitten” and “sitting” is three; the result cannot differentiate the project. StringLab differentiates on making the computation observable.</w:t>
      </w:r>
    </w:p>
    <w:p>
      <w:pPr>
        <w:pStyle w:val="Heading2"/>
      </w:pPr>
      <w:r>
        <w:t xml:space="preserve">4.1 The User Journey</w:t>
      </w:r>
    </w:p>
    <w:p>
      <w:pPr>
        <w:pStyle w:val="ListParagraph"/>
        <w:numPr>
          <w:ilvl w:val="0"/>
          <w:numId w:val="2"/>
        </w:numPr>
        <w:spacing w:after="80" w:line="276"/>
      </w:pPr>
      <w:r>
        <w:rPr>
          <w:rFonts w:ascii="Calibri" w:cs="Calibri" w:eastAsia="Calibri" w:hAnsi="Calibri"/>
          <w:sz w:val="22"/>
          <w:szCs w:val="22"/>
        </w:rPr>
        <w:t xml:space="preserve">The user lands on a home screen listing the four categories, each with its operations and a one-line description, and selects an operation.</w:t>
      </w:r>
    </w:p>
    <w:p>
      <w:pPr>
        <w:pStyle w:val="ListParagraph"/>
        <w:numPr>
          <w:ilvl w:val="0"/>
          <w:numId w:val="2"/>
        </w:numPr>
        <w:spacing w:after="80" w:line="276"/>
      </w:pPr>
      <w:r>
        <w:rPr>
          <w:rFonts w:ascii="Calibri" w:cs="Calibri" w:eastAsia="Calibri" w:hAnsi="Calibri"/>
          <w:sz w:val="22"/>
          <w:szCs w:val="22"/>
        </w:rPr>
        <w:t xml:space="preserve">A workspace opens with the input field or fields (the number and labels are driven by the operation), a short description, a “Load example” button, and a Run button.</w:t>
      </w:r>
    </w:p>
    <w:p>
      <w:pPr>
        <w:pStyle w:val="ListParagraph"/>
        <w:numPr>
          <w:ilvl w:val="0"/>
          <w:numId w:val="2"/>
        </w:numPr>
        <w:spacing w:after="80" w:line="276"/>
      </w:pPr>
      <w:r>
        <w:rPr>
          <w:rFonts w:ascii="Calibri" w:cs="Calibri" w:eastAsia="Calibri" w:hAnsi="Calibri"/>
          <w:sz w:val="22"/>
          <w:szCs w:val="22"/>
        </w:rPr>
        <w:t xml:space="preserve">The user types an input or loads a curated example that demonstrates an interesting case.</w:t>
      </w:r>
    </w:p>
    <w:p>
      <w:pPr>
        <w:pStyle w:val="ListParagraph"/>
        <w:numPr>
          <w:ilvl w:val="0"/>
          <w:numId w:val="2"/>
        </w:numPr>
        <w:spacing w:after="80" w:line="276"/>
      </w:pPr>
      <w:r>
        <w:rPr>
          <w:rFonts w:ascii="Calibri" w:cs="Calibri" w:eastAsia="Calibri" w:hAnsi="Calibri"/>
          <w:sz w:val="22"/>
          <w:szCs w:val="22"/>
        </w:rPr>
        <w:t xml:space="preserve">On Run, instead of the result appearing instantly, the application plays the computation — for flagship operations as an animation, for others as a narrated sequence.</w:t>
      </w:r>
    </w:p>
    <w:p>
      <w:pPr>
        <w:pStyle w:val="ListParagraph"/>
        <w:numPr>
          <w:ilvl w:val="0"/>
          <w:numId w:val="2"/>
        </w:numPr>
        <w:spacing w:after="80" w:line="276"/>
      </w:pPr>
      <w:r>
        <w:rPr>
          <w:rFonts w:ascii="Calibri" w:cs="Calibri" w:eastAsia="Calibri" w:hAnsi="Calibri"/>
          <w:sz w:val="22"/>
          <w:szCs w:val="22"/>
        </w:rPr>
        <w:t xml:space="preserve">The final result appears alongside a plain-language explanation of how it was reached and the operation’s complexity.</w:t>
      </w:r>
    </w:p>
    <w:p>
      <w:pPr>
        <w:pStyle w:val="ListParagraph"/>
        <w:numPr>
          <w:ilvl w:val="0"/>
          <w:numId w:val="2"/>
        </w:numPr>
        <w:spacing w:after="80" w:line="276"/>
      </w:pPr>
      <w:r>
        <w:rPr>
          <w:rFonts w:ascii="Calibri" w:cs="Calibri" w:eastAsia="Calibri" w:hAnsi="Calibri"/>
          <w:sz w:val="22"/>
          <w:szCs w:val="22"/>
        </w:rPr>
        <w:t xml:space="preserve">The user can replay, step forward and backward, adjust speed, load another example, or switch operations.</w:t>
      </w:r>
    </w:p>
    <w:p>
      <w:pPr>
        <w:spacing w:after="140" w:before="40" w:line="288"/>
      </w:pPr>
      <w:r>
        <w:rPr>
          <w:rFonts w:ascii="Calibri" w:cs="Calibri" w:eastAsia="Calibri" w:hAnsi="Calibri"/>
          <w:sz w:val="22"/>
          <w:szCs w:val="22"/>
        </w:rPr>
        <w:t xml:space="preserve">The pivot is step four. A generic tool performs “input then result.” StringLab performs “input, then watch it work, then result.”</w:t>
      </w:r>
    </w:p>
    <w:p>
      <w:pPr>
        <w:pStyle w:val="Heading2"/>
      </w:pPr>
      <w:r>
        <w:t xml:space="preserve">4.2 Differentiation Strategy</w:t>
      </w:r>
    </w:p>
    <w:p>
      <w:pPr>
        <w:pStyle w:val="Heading3"/>
      </w:pPr>
      <w:r>
        <w:t xml:space="preserve">Curated examples library</w:t>
      </w:r>
    </w:p>
    <w:p>
      <w:pPr>
        <w:spacing w:after="140" w:before="0" w:line="288"/>
      </w:pPr>
      <w:r>
        <w:rPr>
          <w:rFonts w:ascii="Calibri" w:cs="Calibri" w:eastAsia="Calibri" w:hAnsi="Calibri"/>
          <w:sz w:val="22"/>
          <w:szCs w:val="22"/>
        </w:rPr>
        <w:t xml:space="preserve">Each operation ships with one or more hand-picked inputs chosen to reveal its interesting behaviour — for instance, a Knuth–Morris–Pratt text that forces the failure function to fire, or the classic “kitten” / “sitting” pair for edit distance. The library makes the application immediately explorable and keeps the live demonstration dependable.</w:t>
      </w:r>
    </w:p>
    <w:p>
      <w:pPr>
        <w:pStyle w:val="Heading3"/>
      </w:pPr>
      <w:r>
        <w:t xml:space="preserve">Two-tier explanations</w:t>
      </w:r>
    </w:p>
    <w:p>
      <w:pPr>
        <w:spacing w:after="140" w:before="0" w:line="288"/>
      </w:pPr>
      <w:r>
        <w:rPr>
          <w:rFonts w:ascii="Calibri" w:cs="Calibri" w:eastAsia="Calibri" w:hAnsi="Calibri"/>
          <w:sz w:val="22"/>
          <w:szCs w:val="22"/>
        </w:rPr>
        <w:t xml:space="preserve">Every operation carries a static description of what it does, plus a dynamic step log that narrates what just happened during a specific run (for example, “comparing position 4 — mismatch — jumping back to position 2 using the failure table”). The dynamic tier is what most clearly signals genuine understanding of the algorithm.</w:t>
      </w:r>
    </w:p>
    <w:p>
      <w:pPr>
        <w:pStyle w:val="Heading3"/>
      </w:pPr>
      <w:r>
        <w:t xml:space="preserve">Complexity tags</w:t>
      </w:r>
    </w:p>
    <w:p>
      <w:pPr>
        <w:spacing w:after="140" w:before="0" w:line="288"/>
      </w:pPr>
      <w:r>
        <w:rPr>
          <w:rFonts w:ascii="Calibri" w:cs="Calibri" w:eastAsia="Calibri" w:hAnsi="Calibri"/>
          <w:sz w:val="22"/>
          <w:szCs w:val="22"/>
        </w:rPr>
        <w:t xml:space="preserve">Each operation displays its time and space complexity in big-O notation. This costs almost nothing to add and is a strong, expected signal for an engineering Master’s audience.</w:t>
      </w:r>
    </w:p>
    <w:p>
      <w:pPr>
        <w:pStyle w:val="Heading3"/>
      </w:pPr>
      <w:r>
        <w:t xml:space="preserve">Algorithm visualisation</w:t>
      </w:r>
    </w:p>
    <w:p>
      <w:pPr>
        <w:spacing w:after="140" w:before="0" w:line="288"/>
      </w:pPr>
      <w:r>
        <w:rPr>
          <w:rFonts w:ascii="Calibri" w:cs="Calibri" w:eastAsia="Calibri" w:hAnsi="Calibri"/>
          <w:sz w:val="22"/>
          <w:szCs w:val="22"/>
        </w:rPr>
        <w:t xml:space="preserve">The centrepiece. For Knuth–Morris–Pratt, the pattern slides beneath the text, character comparisons are highlighted in green and red, and the failure-table jump is shown on each mismatch — behaviour that visibly resembles a scanning automaton. For edit distance and longest common subsequence, the dynamic-programming matrix fills cell by cell and the optimal path is traced back through it. A grid lighting up on screen is convincing evidence that the work is not a one-line library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6FB" w:val="clear"/>
            <w:tcMar>
              <w:top w:type="dxa" w:w="120"/>
              <w:left w:type="dxa" w:w="200"/>
              <w:bottom w:type="dxa" w:w="120"/>
              <w:right w:type="dxa" w:w="160"/>
            </w:tcMar>
          </w:tcPr>
          <w:p>
            <w:pPr>
              <w:spacing w:after="40"/>
            </w:pPr>
            <w:r>
              <w:rPr>
                <w:rFonts w:ascii="Calibri" w:cs="Calibri" w:eastAsia="Calibri" w:hAnsi="Calibri"/>
                <w:b/>
                <w:bCs/>
                <w:color w:val="1F4E79"/>
                <w:sz w:val="20"/>
                <w:szCs w:val="20"/>
              </w:rPr>
              <w:t xml:space="preserve">A deliberate omission</w:t>
            </w:r>
          </w:p>
          <w:p>
            <w:r>
              <w:rPr>
                <w:rFonts w:ascii="Calibri" w:cs="Calibri" w:eastAsia="Calibri" w:hAnsi="Calibri"/>
                <w:i/>
                <w:iCs/>
                <w:color w:val="333333"/>
                <w:sz w:val="21"/>
                <w:szCs w:val="21"/>
              </w:rPr>
              <w:t xml:space="preserve">An animation that types the user’s input out letter by letter was considered and rejected. It is decoration that conveys nothing about computation; the development time it would consume is better spent on the algorithm animation. The user typing is not interesting — the algorithm thinking is.</w:t>
            </w:r>
          </w:p>
        </w:tc>
      </w:tr>
    </w:tbl>
    <w:p>
      <w:pPr>
        <w:pBdr>
          <w:bottom w:val="single" w:color="2E75B6" w:sz="6" w:space="1"/>
        </w:pBdr>
        <w:spacing w:after="140" w:before="40"/>
      </w:pPr>
      <w:r>
        <w:t xml:space="preserve"/>
      </w:r>
    </w:p>
    <w:p>
      <w:pPr>
        <w:pStyle w:val="Heading1"/>
      </w:pPr>
      <w:r>
        <w:t xml:space="preserve">6. System Architecture</w:t>
      </w:r>
    </w:p>
    <w:p>
      <w:pPr>
        <w:pStyle w:val="Heading2"/>
      </w:pPr>
      <w:r>
        <w:t xml:space="preserve">5.1 Three-Tier Overview</w:t>
      </w:r>
    </w:p>
    <w:p>
      <w:pPr>
        <w:spacing w:after="140" w:before="0" w:line="288"/>
      </w:pPr>
      <w:r>
        <w:rPr>
          <w:rFonts w:ascii="Calibri" w:cs="Calibri" w:eastAsia="Calibri" w:hAnsi="Calibri"/>
          <w:sz w:val="22"/>
          <w:szCs w:val="22"/>
        </w:rPr>
        <w:t xml:space="preserve">StringLab follows a conventional three-tier architecture. The browser-based presentation tier is a React single-page application written in TypeScript (TSX) and styled with Tailwind CSS; it renders the interface and plays animations. The application tier is a Python web service built with FastAPI that exposes the operations through a small HTTP API and runs the algorithms. The data tier is a PostgreSQL database, accessed through the SQLAlchemy ORM, holding the operations catalogue, the examples library, and a history of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Tier</w:t>
            </w:r>
          </w:p>
        </w:tc>
        <w:tc>
          <w:tcPr>
            <w:tcW w:type="dxa" w:w="338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Technology</w:t>
            </w:r>
          </w:p>
        </w:tc>
        <w:tc>
          <w:tcPr>
            <w:tcW w:type="dxa" w:w="378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Responsibility</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Presentation</w:t>
            </w:r>
          </w:p>
        </w:tc>
        <w:tc>
          <w:tcPr>
            <w:tcW w:type="dxa" w:w="33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React + TypeScript (TSX), Tailwind CSS</w:t>
            </w:r>
          </w:p>
        </w:tc>
        <w:tc>
          <w:tcPr>
            <w:tcW w:type="dxa" w:w="37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Interface, animation playback, client-side validation, session persistence</w:t>
            </w:r>
          </w:p>
        </w:tc>
      </w:tr>
      <w:tr>
        <w:trPr>
          <w:tblHeader w:val="false"/>
        </w:trPr>
        <w:tc>
          <w:tcPr>
            <w:tcW w:type="dxa" w:w="22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Application</w:t>
            </w:r>
          </w:p>
        </w:tc>
        <w:tc>
          <w:tcPr>
            <w:tcW w:type="dxa" w:w="338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Python + FastAPI</w:t>
            </w:r>
          </w:p>
        </w:tc>
        <w:tc>
          <w:tcPr>
            <w:tcW w:type="dxa" w:w="378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Algorithm execution, trace generation, API endpoints</w:t>
            </w:r>
          </w:p>
        </w:tc>
      </w:tr>
      <w:tr>
        <w:trPr>
          <w:tblHeader w:val="false"/>
        </w:trPr>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Data</w:t>
            </w:r>
          </w:p>
        </w:tc>
        <w:tc>
          <w:tcPr>
            <w:tcW w:type="dxa" w:w="33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PostgreSQL via SQLAlchemy ORM</w:t>
            </w:r>
          </w:p>
        </w:tc>
        <w:tc>
          <w:tcPr>
            <w:tcW w:type="dxa" w:w="378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Operations catalogue, examples, run history</w:t>
            </w:r>
          </w:p>
        </w:tc>
      </w:tr>
    </w:tbl>
    <w:p>
      <w:pPr>
        <w:spacing w:after="60"/>
      </w:pPr>
      <w:r>
        <w:t xml:space="preserve"/>
      </w:r>
    </w:p>
    <w:p>
      <w:pPr>
        <w:spacing w:after="140" w:before="0" w:line="288"/>
      </w:pPr>
      <w:r>
        <w:rPr>
          <w:rFonts w:ascii="Calibri" w:cs="Calibri" w:eastAsia="Calibri" w:hAnsi="Calibri"/>
          <w:sz w:val="22"/>
          <w:szCs w:val="22"/>
        </w:rPr>
        <w:t xml:space="preserve">Because the assignment requires a Python program and the course is about computation, the algorithms must run server-side in Python; a Python backend is therefore intrinsic to the project rather than optional. Browser-side storage (such as localStorage) complements this by preserving the current input and selected operation across a page refresh, while the database handles genuinely persistent data. Visitor continuity for the history features is provided separately by an anonymous session cookie issued by the backend, detailed in Section 4.4.</w:t>
      </w:r>
    </w:p>
    <w:p>
      <w:pPr>
        <w:pStyle w:val="Heading2"/>
      </w:pPr>
      <w:r>
        <w:t xml:space="preserve">5.2 The Backend Engine</w:t>
      </w:r>
    </w:p>
    <w:p>
      <w:pPr>
        <w:spacing w:after="140" w:before="0" w:line="288"/>
      </w:pPr>
      <w:r>
        <w:rPr>
          <w:rFonts w:ascii="Calibri" w:cs="Calibri" w:eastAsia="Calibri" w:hAnsi="Calibri"/>
          <w:sz w:val="22"/>
          <w:szCs w:val="22"/>
        </w:rPr>
        <w:t xml:space="preserve">Each category is a Python module exposing one function per operation. Every function obeys the shared contract: it accepts the input string or strings and returns a structured result object. A thin FastAPI layer maps an operation identifier and input values to the correct function, validates the request with Pydantic models, and returns its output as JSON. Keeping the algorithms in plain, testable modules — separate from the web framework — makes them straightforward to unit-test and to reason about.</w:t>
      </w:r>
    </w:p>
    <w:p>
      <w:pPr>
        <w:pStyle w:val="Heading2"/>
      </w:pPr>
      <w:r>
        <w:t xml:space="preserve">5.3 The Trace Contract — the Central Abstraction</w:t>
      </w:r>
    </w:p>
    <w:p>
      <w:pPr>
        <w:spacing w:after="140" w:before="0" w:line="288"/>
      </w:pPr>
      <w:r>
        <w:rPr>
          <w:rFonts w:ascii="Calibri" w:cs="Calibri" w:eastAsia="Calibri" w:hAnsi="Calibri"/>
          <w:sz w:val="22"/>
          <w:szCs w:val="22"/>
        </w:rPr>
        <w:t xml:space="preserve">The most important design decision is the shape of the object an operation returns, because it is the contract between backend and frontend. A run produces a result, an explanation, and an ordered list of trace steps. Each step describes one moment in the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tblHeader/>
        </w:trPr>
        <w:tc>
          <w:tcPr>
            <w:tcW w:type="dxa" w:w="21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Field</w:t>
            </w:r>
          </w:p>
        </w:tc>
        <w:tc>
          <w:tcPr>
            <w:tcW w:type="dxa" w:w="50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Meaning</w:t>
            </w:r>
          </w:p>
        </w:tc>
        <w:tc>
          <w:tcPr>
            <w:tcW w:type="dxa" w:w="22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Example</w:t>
            </w:r>
          </w:p>
        </w:tc>
      </w:tr>
      <w:tr>
        <w:trPr>
          <w:tblHeader w:val="false"/>
        </w:trPr>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index</w:t>
            </w:r>
          </w:p>
        </w:tc>
        <w:tc>
          <w:tcPr>
            <w:tcW w:type="dxa" w:w="50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Sequential position of the step</w:t>
            </w:r>
          </w:p>
        </w:tc>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0, 1, 2, …</w:t>
            </w:r>
          </w:p>
        </w:tc>
      </w:tr>
      <w:tr>
        <w:trPr>
          <w:tblHeader w:val="false"/>
        </w:trPr>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action</w:t>
            </w:r>
          </w:p>
        </w:tc>
        <w:tc>
          <w:tcPr>
            <w:tcW w:type="dxa" w:w="50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What happens at this step</w:t>
            </w:r>
          </w:p>
        </w:tc>
        <w:tc>
          <w:tcPr>
            <w:tcW w:type="dxa" w:w="22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comparing, match, mismatch, jump, fill_cell</w:t>
            </w:r>
          </w:p>
        </w:tc>
      </w:tr>
      <w:tr>
        <w:trPr>
          <w:tblHeader w:val="false"/>
        </w:trPr>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state</w:t>
            </w:r>
          </w:p>
        </w:tc>
        <w:tc>
          <w:tcPr>
            <w:tcW w:type="dxa" w:w="50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Algorithm pointers at this moment</w:t>
            </w:r>
          </w:p>
        </w:tc>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text index, pattern index, or matrix cell</w:t>
            </w:r>
          </w:p>
        </w:tc>
      </w:tr>
      <w:tr>
        <w:trPr>
          <w:tblHeader w:val="false"/>
        </w:trPr>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highlights</w:t>
            </w:r>
          </w:p>
        </w:tc>
        <w:tc>
          <w:tcPr>
            <w:tcW w:type="dxa" w:w="50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Which characters or cells to colour, and how</w:t>
            </w:r>
          </w:p>
        </w:tc>
        <w:tc>
          <w:tcPr>
            <w:tcW w:type="dxa" w:w="22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 pos: 4, colour: red }</w:t>
            </w:r>
          </w:p>
        </w:tc>
      </w:tr>
      <w:tr>
        <w:trPr>
          <w:tblHeader w:val="false"/>
        </w:trPr>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message</w:t>
            </w:r>
          </w:p>
        </w:tc>
        <w:tc>
          <w:tcPr>
            <w:tcW w:type="dxa" w:w="50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Human-readable narration of the step</w:t>
            </w:r>
          </w:p>
        </w:tc>
        <w:tc>
          <w:tcPr>
            <w:tcW w:type="dxa" w:w="2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“Mismatch at position 4 — jump to 2”</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6FB" w:val="clear"/>
            <w:tcMar>
              <w:top w:type="dxa" w:w="120"/>
              <w:left w:type="dxa" w:w="200"/>
              <w:bottom w:type="dxa" w:w="120"/>
              <w:right w:type="dxa" w:w="160"/>
            </w:tcMar>
          </w:tcPr>
          <w:p>
            <w:pPr>
              <w:spacing w:after="40"/>
            </w:pPr>
            <w:r>
              <w:rPr>
                <w:rFonts w:ascii="Calibri" w:cs="Calibri" w:eastAsia="Calibri" w:hAnsi="Calibri"/>
                <w:b/>
                <w:bCs/>
                <w:color w:val="1F4E79"/>
                <w:sz w:val="20"/>
                <w:szCs w:val="20"/>
              </w:rPr>
              <w:t xml:space="preserve">Why this contract matters</w:t>
            </w:r>
          </w:p>
          <w:p>
            <w:r>
              <w:rPr>
                <w:rFonts w:ascii="Calibri" w:cs="Calibri" w:eastAsia="Calibri" w:hAnsi="Calibri"/>
                <w:i/>
                <w:iCs/>
                <w:color w:val="333333"/>
                <w:sz w:val="21"/>
                <w:szCs w:val="21"/>
              </w:rPr>
              <w:t xml:space="preserve">The frontend never needs to understand Knuth–Morris–Pratt or dynamic programming. It only renders a list of step objects. Fixing this shape on day one decouples the two halves of the project so that backend algorithms and frontend rendering can be built in parallel — the key to delivering within a tight deadline.</w:t>
            </w:r>
          </w:p>
        </w:tc>
      </w:tr>
    </w:tbl>
    <w:p>
      <w:pPr>
        <w:pBdr>
          <w:bottom w:val="single" w:color="2E75B6" w:sz="6" w:space="1"/>
        </w:pBdr>
        <w:spacing w:after="140" w:before="40"/>
      </w:pPr>
      <w:r>
        <w:t xml:space="preserve"/>
      </w:r>
    </w:p>
    <w:p>
      <w:pPr>
        <w:pStyle w:val="Heading1"/>
      </w:pPr>
      <w:r>
        <w:t xml:space="preserve">7. Database Design (PostgreSQL)</w:t>
      </w:r>
    </w:p>
    <w:p>
      <w:pPr>
        <w:pStyle w:val="Heading2"/>
      </w:pPr>
      <w:r>
        <w:t xml:space="preserve">6.1 Rationale and the Role of JSONB</w:t>
      </w:r>
    </w:p>
    <w:p>
      <w:pPr>
        <w:spacing w:after="140" w:before="0" w:line="288"/>
      </w:pPr>
      <w:r>
        <w:rPr>
          <w:rFonts w:ascii="Calibri" w:cs="Calibri" w:eastAsia="Calibri" w:hAnsi="Calibri"/>
          <w:sz w:val="22"/>
          <w:szCs w:val="22"/>
        </w:rPr>
        <w:t xml:space="preserve">PostgreSQL was selected as the data tier, accessed from the Python application through the SQLAlchemy ORM. Its relational core gives the operations catalogue and examples library clear structure and referential integrity, while its native JSONB type elegantly stores the parts of the model that are naturally semi-structured — the input specification of an operation, the input values of an example, and the result and trace of a run. SQLAlchemy maps each table to a Python model and serialises the JSONB columns to and from native objects, letting the team keep strict structure where it helps and flexible structure where the shape varies by operation, without resorting to a sprawling set of narrow tables.</w:t>
      </w:r>
    </w:p>
    <w:p>
      <w:pPr>
        <w:spacing w:after="140" w:before="0" w:line="288"/>
      </w:pPr>
      <w:r>
        <w:rPr>
          <w:rFonts w:ascii="Calibri" w:cs="Calibri" w:eastAsia="Calibri" w:hAnsi="Calibri"/>
          <w:sz w:val="22"/>
          <w:szCs w:val="22"/>
        </w:rPr>
        <w:t xml:space="preserve">The catalogue and examples are reference data, seeded once. The runs table provides persistence: it records what users have tried, surviving refreshes and sessions, and optionally caches a computed trace so a repeated request need not be recomputed.</w:t>
      </w:r>
    </w:p>
    <w:p>
      <w:pPr>
        <w:pStyle w:val="Heading2"/>
      </w:pPr>
      <w:r>
        <w:t xml:space="preserve">6.2 Schema</w:t>
      </w:r>
    </w:p>
    <w:p>
      <w:pPr>
        <w:spacing w:after="80" w:before="0" w:line="288"/>
      </w:pPr>
      <w:r>
        <w:rPr>
          <w:rFonts w:ascii="Calibri" w:cs="Calibri" w:eastAsia="Calibri" w:hAnsi="Calibri"/>
          <w:sz w:val="22"/>
          <w:szCs w:val="22"/>
        </w:rPr>
        <w:t xml:space="preserve">Four tables make up the schema. Primary keys are shown in bold; foreign keys reference the parent table’s key.</w:t>
      </w:r>
    </w:p>
    <w:p>
      <w:pPr>
        <w:pStyle w:val="Heading3"/>
      </w:pPr>
      <w: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Column</w:t>
            </w:r>
          </w:p>
        </w:tc>
        <w:tc>
          <w:tcPr>
            <w:tcW w:type="dxa" w:w="21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Type</w:t>
            </w:r>
          </w:p>
        </w:tc>
        <w:tc>
          <w:tcPr>
            <w:tcW w:type="dxa" w:w="49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Notes</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category_id</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SERIAL</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Primary key</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slug</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VARCHAR(40)</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Unique machine name, e.g. analysis</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name</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VARCHAR(80)</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Display title</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description</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TEXT</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Short category summary</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display_order</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INTEGER</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Ordering on the home screen</w:t>
            </w:r>
          </w:p>
        </w:tc>
      </w:tr>
    </w:tbl>
    <w:p>
      <w:pPr>
        <w:spacing w:after="50"/>
      </w:pPr>
      <w:r>
        <w:t xml:space="preserve"/>
      </w:r>
    </w:p>
    <w:p>
      <w:pPr>
        <w:pStyle w:val="Heading3"/>
      </w:pPr>
      <w:r>
        <w:t xml:space="preserve">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Column</w:t>
            </w:r>
          </w:p>
        </w:tc>
        <w:tc>
          <w:tcPr>
            <w:tcW w:type="dxa" w:w="21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Type</w:t>
            </w:r>
          </w:p>
        </w:tc>
        <w:tc>
          <w:tcPr>
            <w:tcW w:type="dxa" w:w="49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Notes</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operation_id</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SERIAL</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Primary key</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slug</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VARCHAR(50)</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Unique machine name, e.g. kmp_search</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name</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VARCHAR(120)</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Display title</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category_id</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INTEGER</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References categories(category_id)</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description</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TEXT</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What the operation does</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explanation</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TEXT</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Static “how it works” narrative</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input_spec</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JSONB</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Number and labels of input fields</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time_complexity</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VARCHAR(40)</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Big-O time, e.g. O(n+m)</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space_complexity</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VARCHAR(40)</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Big-O space</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visualisation_level</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VARCHAR(20)</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 | step_log | full</w:t>
            </w:r>
          </w:p>
        </w:tc>
      </w:tr>
    </w:tbl>
    <w:p>
      <w:pPr>
        <w:spacing w:after="50"/>
      </w:pPr>
      <w:r>
        <w:t xml:space="preserve"/>
      </w:r>
    </w:p>
    <w:p>
      <w:pPr>
        <w:pStyle w:val="Heading3"/>
      </w:pPr>
      <w:r>
        <w:t xml:space="preserve">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Column</w:t>
            </w:r>
          </w:p>
        </w:tc>
        <w:tc>
          <w:tcPr>
            <w:tcW w:type="dxa" w:w="21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Type</w:t>
            </w:r>
          </w:p>
        </w:tc>
        <w:tc>
          <w:tcPr>
            <w:tcW w:type="dxa" w:w="49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Notes</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example_id</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SERIAL</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Primary key</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operation_id</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INTEGER</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References operations(operation_id)</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label</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VARCHAR(120)</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Display name, e.g. “Classic mismatch case”</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inputs</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JSONB</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Field values keyed by input name</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note</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TEXT</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Why this example is interesting</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display_order</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INTEGER</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Ordering within the operation</w:t>
            </w:r>
          </w:p>
        </w:tc>
      </w:tr>
    </w:tbl>
    <w:p>
      <w:pPr>
        <w:spacing w:after="50"/>
      </w:pPr>
      <w:r>
        <w:t xml:space="preserve"/>
      </w:r>
    </w:p>
    <w:p>
      <w:pPr>
        <w:pStyle w:val="Heading3"/>
      </w:pPr>
      <w:r>
        <w:t xml:space="preserve">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960"/>
      </w:tblGrid>
      <w:tr>
        <w:trPr>
          <w:tblHeader/>
        </w:trPr>
        <w:tc>
          <w:tcPr>
            <w:tcW w:type="dxa" w:w="23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Column</w:t>
            </w:r>
          </w:p>
        </w:tc>
        <w:tc>
          <w:tcPr>
            <w:tcW w:type="dxa" w:w="21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Type</w:t>
            </w:r>
          </w:p>
        </w:tc>
        <w:tc>
          <w:tcPr>
            <w:tcW w:type="dxa" w:w="49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Notes</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bCs/>
                <w:sz w:val="20"/>
                <w:szCs w:val="20"/>
              </w:rPr>
              <w:t xml:space="preserve">run_id</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SERIAL</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Primary key</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operation_id</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INTEGER</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References operations(operation_id)</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input_values</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JSONB</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Exact inputs submitted by the user</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JSONB</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Computed result object</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trace</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JSONB</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Cached ordered step list (nullable)</w:t>
            </w:r>
          </w:p>
        </w:tc>
      </w:tr>
      <w:tr>
        <w:trPr>
          <w:tblHeader w:val="false"/>
        </w:trPr>
        <w:tc>
          <w:tcPr>
            <w:tcW w:type="dxa" w:w="2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session_id</w:t>
            </w:r>
          </w:p>
        </w:tc>
        <w:tc>
          <w:tcPr>
            <w:tcW w:type="dxa" w:w="21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VARCHAR(64)</w:t>
            </w:r>
          </w:p>
        </w:tc>
        <w:tc>
          <w:tcPr>
            <w:tcW w:type="dxa" w:w="49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Anonymous session id from the HttpOnly cookie</w:t>
            </w:r>
          </w:p>
        </w:tc>
      </w:tr>
      <w:tr>
        <w:trPr>
          <w:tblHeader w:val="false"/>
        </w:trPr>
        <w:tc>
          <w:tcPr>
            <w:tcW w:type="dxa" w:w="2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created_at</w:t>
            </w:r>
          </w:p>
        </w:tc>
        <w:tc>
          <w:tcPr>
            <w:tcW w:type="dxa" w:w="21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TIMESTAMPTZ</w:t>
            </w:r>
          </w:p>
        </w:tc>
        <w:tc>
          <w:tcPr>
            <w:tcW w:type="dxa" w:w="4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Defaults to now()</w:t>
            </w:r>
          </w:p>
        </w:tc>
      </w:tr>
    </w:tbl>
    <w:p>
      <w:pPr>
        <w:spacing w:after="60"/>
      </w:pPr>
      <w:r>
        <w:t xml:space="preserve"/>
      </w:r>
    </w:p>
    <w:p>
      <w:pPr>
        <w:spacing w:after="140" w:before="20" w:line="288"/>
      </w:pPr>
      <w:r>
        <w:rPr>
          <w:rFonts w:ascii="Calibri" w:cs="Calibri" w:eastAsia="Calibri" w:hAnsi="Calibri"/>
          <w:sz w:val="22"/>
          <w:szCs w:val="22"/>
        </w:rPr>
        <w:t xml:space="preserve">The relationships are simple: a category has many operations, and an operation has many examples and many runs. The reference tables (categories, operations, examples) are populated once from a seed script; the runs table grows as the application is used and powers an optional “recent activity” view.</w:t>
      </w:r>
    </w:p>
    <w:p>
      <w:pPr>
        <w:spacing w:after="140" w:before="0" w:line="288"/>
      </w:pPr>
      <w:r>
        <w:rPr>
          <w:rFonts w:ascii="Calibri" w:cs="Calibri" w:eastAsia="Calibri" w:hAnsi="Calibri"/>
          <w:sz w:val="22"/>
          <w:szCs w:val="22"/>
        </w:rPr>
        <w:t xml:space="preserve">The schema deliberately contains no users table. Visitors are identified anonymously by the HttpOnly session cookie described in Section 4.4 rather than by accounts, so the session_id column on runs is sufficient. If session-level analytics become desirable, an optional sessions table (session_id as primary key, created_at, last_seen) can be introduced and referenced by runs.session_id as a foreign key; for the current scope this is left out and session_id remains a plain column.</w:t>
      </w:r>
    </w:p>
    <w:p>
      <w:pPr>
        <w:pBdr>
          <w:bottom w:val="single" w:color="2E75B6" w:sz="6" w:space="1"/>
        </w:pBdr>
        <w:spacing w:after="140" w:before="40"/>
      </w:pPr>
      <w:r>
        <w:t xml:space="preserve"/>
      </w:r>
    </w:p>
    <w:p>
      <w:pPr>
        <w:pStyle w:val="Heading1"/>
      </w:pPr>
      <w:r>
        <w:t xml:space="preserve">8. Frontend Design</w:t>
      </w:r>
    </w:p>
    <w:p>
      <w:pPr>
        <w:spacing w:after="140" w:before="0" w:line="288"/>
      </w:pPr>
      <w:r>
        <w:rPr>
          <w:rFonts w:ascii="Calibri" w:cs="Calibri" w:eastAsia="Calibri" w:hAnsi="Calibri"/>
          <w:sz w:val="22"/>
          <w:szCs w:val="22"/>
        </w:rPr>
        <w:t xml:space="preserve">The frontend work splits cleanly into two buckets, and stating the split explicitly is a clean separation of concerns. Some components are driven by data the backend provides and cannot be finalised until that data shape is fixed; others are pure presentation and interaction logic that depend on nothing from the backend and can be built immediately and in parallel.</w:t>
      </w:r>
    </w:p>
    <w:p>
      <w:pPr>
        <w:pStyle w:val="Heading2"/>
      </w:pPr>
      <w:r>
        <w:t xml:space="preserve">7.1 Backend-Dependent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Component</w:t>
            </w:r>
          </w:p>
        </w:tc>
        <w:tc>
          <w:tcPr>
            <w:tcW w:type="dxa" w:w="58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Driven by</w:t>
            </w:r>
          </w:p>
        </w:tc>
      </w:tr>
      <w:tr>
        <w:trPr>
          <w:tblHeader w:val="false"/>
        </w:trPr>
        <w:tc>
          <w:tcPr>
            <w:tcW w:type="dxa" w:w="3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Operations menu</w:t>
            </w:r>
          </w:p>
        </w:tc>
        <w:tc>
          <w:tcPr>
            <w:tcW w:type="dxa" w:w="58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The categories and operations catalogue</w:t>
            </w:r>
          </w:p>
        </w:tc>
      </w:tr>
      <w:tr>
        <w:trPr>
          <w:tblHeader w:val="false"/>
        </w:trPr>
        <w:tc>
          <w:tcPr>
            <w:tcW w:type="dxa" w:w="35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Input panel</w:t>
            </w:r>
          </w:p>
        </w:tc>
        <w:tc>
          <w:tcPr>
            <w:tcW w:type="dxa" w:w="58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input_spec — the number and labels of fields</w:t>
            </w:r>
          </w:p>
        </w:tc>
      </w:tr>
      <w:tr>
        <w:trPr>
          <w:tblHeader w:val="false"/>
        </w:trPr>
        <w:tc>
          <w:tcPr>
            <w:tcW w:type="dxa" w:w="3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Complexity badges &amp; descriptions</w:t>
            </w:r>
          </w:p>
        </w:tc>
        <w:tc>
          <w:tcPr>
            <w:tcW w:type="dxa" w:w="58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operations fields</w:t>
            </w:r>
          </w:p>
        </w:tc>
      </w:tr>
      <w:tr>
        <w:trPr>
          <w:tblHeader w:val="false"/>
        </w:trPr>
        <w:tc>
          <w:tcPr>
            <w:tcW w:type="dxa" w:w="35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 &amp; step-log narration</w:t>
            </w:r>
          </w:p>
        </w:tc>
        <w:tc>
          <w:tcPr>
            <w:tcW w:type="dxa" w:w="58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result and the message field of each trace step</w:t>
            </w:r>
          </w:p>
        </w:tc>
      </w:tr>
      <w:tr>
        <w:trPr>
          <w:tblHeader w:val="false"/>
        </w:trPr>
        <w:tc>
          <w:tcPr>
            <w:tcW w:type="dxa" w:w="3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Example buttons</w:t>
            </w:r>
          </w:p>
        </w:tc>
        <w:tc>
          <w:tcPr>
            <w:tcW w:type="dxa" w:w="58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examples records (auto-fill inputs)</w:t>
            </w:r>
          </w:p>
        </w:tc>
      </w:tr>
      <w:tr>
        <w:trPr>
          <w:tblHeader w:val="false"/>
        </w:trPr>
        <w:tc>
          <w:tcPr>
            <w:tcW w:type="dxa" w:w="35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Animation canvas content</w:t>
            </w:r>
          </w:p>
        </w:tc>
        <w:tc>
          <w:tcPr>
            <w:tcW w:type="dxa" w:w="58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highlights and state of each trace step</w:t>
            </w:r>
          </w:p>
        </w:tc>
      </w:tr>
    </w:tbl>
    <w:p>
      <w:pPr>
        <w:spacing w:after="50"/>
      </w:pPr>
      <w:r>
        <w:t xml:space="preserve"/>
      </w:r>
    </w:p>
    <w:p>
      <w:pPr>
        <w:spacing w:after="140" w:before="0" w:line="288"/>
      </w:pPr>
      <w:r>
        <w:rPr>
          <w:rFonts w:ascii="Calibri" w:cs="Calibri" w:eastAsia="Calibri" w:hAnsi="Calibri"/>
          <w:sz w:val="22"/>
          <w:szCs w:val="22"/>
        </w:rPr>
        <w:t xml:space="preserve">A single input-panel component serves all twelve operations by reading the input specification, rather than hand-coding twelve forms.</w:t>
      </w:r>
    </w:p>
    <w:p>
      <w:pPr>
        <w:pStyle w:val="Heading2"/>
      </w:pPr>
      <w:r>
        <w:t xml:space="preserve">7.2 Pure Frontend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Component</w:t>
            </w:r>
          </w:p>
        </w:tc>
        <w:tc>
          <w:tcPr>
            <w:tcW w:type="dxa" w:w="586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Why it is independent</w:t>
            </w:r>
          </w:p>
        </w:tc>
      </w:tr>
      <w:tr>
        <w:trPr>
          <w:tblHeader w:val="false"/>
        </w:trPr>
        <w:tc>
          <w:tcPr>
            <w:tcW w:type="dxa" w:w="3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Layout, theme, navigation tabs</w:t>
            </w:r>
          </w:p>
        </w:tc>
        <w:tc>
          <w:tcPr>
            <w:tcW w:type="dxa" w:w="58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Presentation only</w:t>
            </w:r>
          </w:p>
        </w:tc>
      </w:tr>
      <w:tr>
        <w:trPr>
          <w:tblHeader w:val="false"/>
        </w:trPr>
        <w:tc>
          <w:tcPr>
            <w:tcW w:type="dxa" w:w="35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Playback controls</w:t>
            </w:r>
          </w:p>
        </w:tc>
        <w:tc>
          <w:tcPr>
            <w:tcW w:type="dxa" w:w="58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Operate on a step list already in hand; only move a current-step index</w:t>
            </w:r>
          </w:p>
        </w:tc>
      </w:tr>
      <w:tr>
        <w:trPr>
          <w:tblHeader w:val="false"/>
        </w:trPr>
        <w:tc>
          <w:tcPr>
            <w:tcW w:type="dxa" w:w="3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Transition timing &amp; easing</w:t>
            </w:r>
          </w:p>
        </w:tc>
        <w:tc>
          <w:tcPr>
            <w:tcW w:type="dxa" w:w="58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Visual behaviour, no data needed</w:t>
            </w:r>
          </w:p>
        </w:tc>
      </w:tr>
      <w:tr>
        <w:trPr>
          <w:tblHeader w:val="false"/>
        </w:trPr>
        <w:tc>
          <w:tcPr>
            <w:tcW w:type="dxa" w:w="35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Green / red highlight styling</w:t>
            </w:r>
          </w:p>
        </w:tc>
        <w:tc>
          <w:tcPr>
            <w:tcW w:type="dxa" w:w="58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Pure CSS</w:t>
            </w:r>
          </w:p>
        </w:tc>
      </w:tr>
      <w:tr>
        <w:trPr>
          <w:tblHeader w:val="false"/>
        </w:trPr>
        <w:tc>
          <w:tcPr>
            <w:tcW w:type="dxa" w:w="35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Loading &amp; empty states</w:t>
            </w:r>
          </w:p>
        </w:tc>
        <w:tc>
          <w:tcPr>
            <w:tcW w:type="dxa" w:w="58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UI states</w:t>
            </w:r>
          </w:p>
        </w:tc>
      </w:tr>
      <w:tr>
        <w:trPr>
          <w:tblHeader w:val="false"/>
        </w:trPr>
        <w:tc>
          <w:tcPr>
            <w:tcW w:type="dxa" w:w="35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Client-side input validation</w:t>
            </w:r>
          </w:p>
        </w:tc>
        <w:tc>
          <w:tcPr>
            <w:tcW w:type="dxa" w:w="586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Runs before any request is sent</w:t>
            </w:r>
          </w:p>
        </w:tc>
      </w:tr>
    </w:tbl>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24"/>
              <w:bottom w:val="none"/>
              <w:right w:val="none"/>
            </w:tcBorders>
            <w:shd w:fill="F2F6FB" w:val="clear"/>
            <w:tcMar>
              <w:top w:type="dxa" w:w="120"/>
              <w:left w:type="dxa" w:w="200"/>
              <w:bottom w:type="dxa" w:w="120"/>
              <w:right w:type="dxa" w:w="160"/>
            </w:tcMar>
          </w:tcPr>
          <w:p>
            <w:pPr>
              <w:spacing w:after="40"/>
            </w:pPr>
            <w:r>
              <w:rPr>
                <w:rFonts w:ascii="Calibri" w:cs="Calibri" w:eastAsia="Calibri" w:hAnsi="Calibri"/>
                <w:b/>
                <w:bCs/>
                <w:color w:val="1F4E79"/>
                <w:sz w:val="20"/>
                <w:szCs w:val="20"/>
              </w:rPr>
              <w:t xml:space="preserve">The one decision that makes the animation tractable</w:t>
            </w:r>
          </w:p>
          <w:p>
            <w:r>
              <w:rPr>
                <w:rFonts w:ascii="Calibri" w:cs="Calibri" w:eastAsia="Calibri" w:hAnsi="Calibri"/>
                <w:i/>
                <w:iCs/>
                <w:color w:val="333333"/>
                <w:sz w:val="21"/>
                <w:szCs w:val="21"/>
              </w:rPr>
              <w:t xml:space="preserve">The visualiser renders as a pure function of (steps, current_step). The backend hands over the entire trace at once; the frontend simply holds a current-step index, and the play, pause, step, and speed controls only move that index. This removes all timing complexity from the data layer and is what makes the animation achievable within three days.</w:t>
            </w:r>
          </w:p>
        </w:tc>
      </w:tr>
    </w:tbl>
    <w:p>
      <w:pPr>
        <w:pStyle w:val="Heading2"/>
      </w:pPr>
      <w:r>
        <w:t xml:space="preserve">7.3 Component Architecture</w:t>
      </w:r>
    </w:p>
    <w:p>
      <w:pPr>
        <w:spacing w:after="140" w:before="0" w:line="288"/>
      </w:pPr>
      <w:r>
        <w:rPr>
          <w:rFonts w:ascii="Calibri" w:cs="Calibri" w:eastAsia="Calibri" w:hAnsi="Calibri"/>
          <w:sz w:val="22"/>
          <w:szCs w:val="22"/>
        </w:rPr>
        <w:t xml:space="preserve">A natural component tree falls out of the two buckets, implemented as React components in TypeScript and styled with Tailwind CSS: an application shell with category navigation contains an operation workspace, which holds an input panel, an example selector, a Run button, a result panel, a scrollable step log, and a visualiser that wraps the playback controls. Component state is held with React hooks — notably the current-step index that drives playback — and the typed API responses (shared as TypeScript interfaces) keep the data contract explicit across the component tree. The visualiser and step log are the only complex pieces; everything else is straightforward. Operations without visual highlights degrade gracefully — the canvas simply stays empty while the narration still plays.</w:t>
      </w:r>
    </w:p>
    <w:p>
      <w:pPr>
        <w:pBdr>
          <w:bottom w:val="single" w:color="2E75B6" w:sz="6" w:space="1"/>
        </w:pBdr>
        <w:spacing w:after="140" w:before="40"/>
      </w:pPr>
      <w:r>
        <w:t xml:space="preserve"/>
      </w:r>
    </w:p>
    <w:p>
      <w:pPr>
        <w:pStyle w:val="Heading1"/>
      </w:pPr>
      <w:r>
        <w:t xml:space="preserve">9. Implementation Strategy and Timeline</w:t>
      </w:r>
    </w:p>
    <w:p>
      <w:pPr>
        <w:pStyle w:val="Heading2"/>
      </w:pPr>
      <w:r>
        <w:t xml:space="preserve">8.1 Scoping Decisions</w:t>
      </w:r>
    </w:p>
    <w:p>
      <w:pPr>
        <w:spacing w:after="140" w:before="0" w:line="288"/>
      </w:pPr>
      <w:r>
        <w:rPr>
          <w:rFonts w:ascii="Calibri" w:cs="Calibri" w:eastAsia="Calibri" w:hAnsi="Calibri"/>
          <w:sz w:val="22"/>
          <w:szCs w:val="22"/>
        </w:rPr>
        <w:t xml:space="preserve">“Great” within a three-day window does not mean twelve animated features, an elaborate interface, and every optional extra. That path leads to twelve half-finished things and nothing to demonstrate. Great here means depth on a few features plus a sharp report. Concretely:</w:t>
      </w:r>
    </w:p>
    <w:p>
      <w:pPr>
        <w:pStyle w:val="ListParagraph"/>
        <w:numPr>
          <w:ilvl w:val="0"/>
          <w:numId w:val="3"/>
        </w:numPr>
        <w:spacing w:after="80" w:line="276"/>
      </w:pPr>
      <w:r>
        <w:rPr>
          <w:rFonts w:ascii="Calibri" w:cs="Calibri" w:eastAsia="Calibri" w:hAnsi="Calibri"/>
          <w:sz w:val="22"/>
          <w:szCs w:val="22"/>
        </w:rPr>
        <w:t xml:space="preserve">Two flagship operations (Knuth–Morris–Pratt and edit distance) are fully animated and form the opening and closing of the demonstration.</w:t>
      </w:r>
    </w:p>
    <w:p>
      <w:pPr>
        <w:pStyle w:val="ListParagraph"/>
        <w:numPr>
          <w:ilvl w:val="0"/>
          <w:numId w:val="3"/>
        </w:numPr>
        <w:spacing w:after="80" w:line="276"/>
      </w:pPr>
      <w:r>
        <w:rPr>
          <w:rFonts w:ascii="Calibri" w:cs="Calibri" w:eastAsia="Calibri" w:hAnsi="Calibri"/>
          <w:sz w:val="22"/>
          <w:szCs w:val="22"/>
        </w:rPr>
        <w:t xml:space="preserve">The other ten operations work correctly and present their explanation, examples, and complexity.</w:t>
      </w:r>
    </w:p>
    <w:p>
      <w:pPr>
        <w:pStyle w:val="ListParagraph"/>
        <w:numPr>
          <w:ilvl w:val="0"/>
          <w:numId w:val="3"/>
        </w:numPr>
        <w:spacing w:after="80" w:line="276"/>
      </w:pPr>
      <w:r>
        <w:rPr>
          <w:rFonts w:ascii="Calibri" w:cs="Calibri" w:eastAsia="Calibri" w:hAnsi="Calibri"/>
          <w:sz w:val="22"/>
          <w:szCs w:val="22"/>
        </w:rPr>
        <w:t xml:space="preserve">The report frames these as deliberate engineering choices — why no sprawling relational schema, why localStorage for session state, why animate two rather than twelve.</w:t>
      </w:r>
    </w:p>
    <w:p>
      <w:pPr>
        <w:spacing w:after="140" w:before="20" w:line="288"/>
      </w:pPr>
      <w:r>
        <w:rPr>
          <w:rFonts w:ascii="Calibri" w:cs="Calibri" w:eastAsia="Calibri" w:hAnsi="Calibri"/>
          <w:sz w:val="22"/>
          <w:szCs w:val="22"/>
        </w:rPr>
        <w:t xml:space="preserve">A reader who sees “we scoped X as flagship and Y as plain compute for these reasons” perceives maturity; a reader who sees twelve broken animations perceives panic.</w:t>
      </w:r>
    </w:p>
    <w:p>
      <w:pPr>
        <w:pStyle w:val="Heading2"/>
      </w:pPr>
      <w:r>
        <w:t xml:space="preserve">8.2 Three-Day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030"/>
        <w:gridCol w:w="5030"/>
      </w:tblGrid>
      <w:tr>
        <w:trPr>
          <w:tblHeader/>
        </w:trPr>
        <w:tc>
          <w:tcPr>
            <w:tcW w:type="dxa" w:w="130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Day</w:t>
            </w:r>
          </w:p>
        </w:tc>
        <w:tc>
          <w:tcPr>
            <w:tcW w:type="dxa" w:w="303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Theme</w:t>
            </w:r>
          </w:p>
        </w:tc>
        <w:tc>
          <w:tcPr>
            <w:tcW w:type="dxa" w:w="5030"/>
            <w:tcBorders>
              <w:top w:val="single" w:color="BBBBBB" w:sz="2"/>
              <w:left w:val="single" w:color="BBBBBB" w:sz="2"/>
              <w:bottom w:val="single" w:color="BBBBBB" w:sz="2"/>
              <w:right w:val="single" w:color="BBBBBB" w:sz="2"/>
            </w:tcBorders>
            <w:shd w:fill="1F4E79" w:val="clear"/>
            <w:tcMar>
              <w:top w:type="dxa" w:w="60"/>
              <w:left w:type="dxa" w:w="110"/>
              <w:bottom w:type="dxa" w:w="60"/>
              <w:right w:type="dxa" w:w="110"/>
            </w:tcMar>
            <w:vAlign w:val="center"/>
          </w:tcPr>
          <w:p>
            <w:pPr>
              <w:spacing w:after="0" w:line="252"/>
            </w:pPr>
            <w:r>
              <w:rPr>
                <w:rFonts w:ascii="Calibri" w:cs="Calibri" w:eastAsia="Calibri" w:hAnsi="Calibri"/>
                <w:b/>
                <w:bCs/>
                <w:color w:val="FFFFFF"/>
                <w:sz w:val="20"/>
                <w:szCs w:val="20"/>
              </w:rPr>
              <w:t xml:space="preserve">Activities</w:t>
            </w:r>
          </w:p>
        </w:tc>
      </w:tr>
      <w:tr>
        <w:trPr>
          <w:tblHeader w:val="false"/>
        </w:trPr>
        <w:tc>
          <w:tcPr>
            <w:tcW w:type="dxa" w:w="1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Day 1</w:t>
            </w:r>
          </w:p>
        </w:tc>
        <w:tc>
          <w:tcPr>
            <w:tcW w:type="dxa" w:w="30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Contracts &amp; skeletons</w:t>
            </w:r>
          </w:p>
        </w:tc>
        <w:tc>
          <w:tcPr>
            <w:tcW w:type="dxa" w:w="50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Agree the function-signature and trace contract; create the PostgreSQL schema and SQLAlchemy models with seed data; scaffold the FastAPI service and the React (TSX/Tailwind) app shell and input panel; each member begins their module’s standard operations.</w:t>
            </w:r>
          </w:p>
        </w:tc>
      </w:tr>
      <w:tr>
        <w:trPr>
          <w:tblHeader w:val="false"/>
        </w:trPr>
        <w:tc>
          <w:tcPr>
            <w:tcW w:type="dxa" w:w="130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Day 2</w:t>
            </w:r>
          </w:p>
        </w:tc>
        <w:tc>
          <w:tcPr>
            <w:tcW w:type="dxa" w:w="303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Algorithms &amp; flagship animations</w:t>
            </w:r>
          </w:p>
        </w:tc>
        <w:tc>
          <w:tcPr>
            <w:tcW w:type="dxa" w:w="5030"/>
            <w:tcBorders>
              <w:top w:val="single" w:color="BBBBBB" w:sz="2"/>
              <w:left w:val="single" w:color="BBBBBB" w:sz="2"/>
              <w:bottom w:val="single" w:color="BBBBBB" w:sz="2"/>
              <w:right w:val="single" w:color="BBBBBB" w:sz="2"/>
            </w:tcBorders>
            <w:shd w:fill="EAF1F8"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Complete all twelve operations with explanations and examples; build the KMP and DP-matrix visual components against the agreed trace shape; wire playback controls; write unit tests.</w:t>
            </w:r>
          </w:p>
        </w:tc>
      </w:tr>
      <w:tr>
        <w:trPr>
          <w:tblHeader w:val="false"/>
        </w:trPr>
        <w:tc>
          <w:tcPr>
            <w:tcW w:type="dxa" w:w="13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Day 3</w:t>
            </w:r>
          </w:p>
        </w:tc>
        <w:tc>
          <w:tcPr>
            <w:tcW w:type="dxa" w:w="30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Integration, polish &amp; report</w:t>
            </w:r>
          </w:p>
        </w:tc>
        <w:tc>
          <w:tcPr>
            <w:tcW w:type="dxa" w:w="503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vAlign w:val="center"/>
          </w:tcPr>
          <w:p>
            <w:pPr>
              <w:spacing w:after="0" w:line="252"/>
            </w:pPr>
            <w:r>
              <w:rPr>
                <w:rFonts w:ascii="Calibri" w:cs="Calibri" w:eastAsia="Calibri" w:hAnsi="Calibri"/>
                <w:b w:val="false"/>
                <w:bCs w:val="false"/>
                <w:sz w:val="20"/>
                <w:szCs w:val="20"/>
              </w:rPr>
              <w:t xml:space="preserve">Integrate all modules through the API; add complexity badges, validation, loading and empty states; rehearse the demo on curated examples; finalise this report and prepare the presentation.</w:t>
            </w:r>
          </w:p>
        </w:tc>
      </w:tr>
    </w:tbl>
    <w:p>
      <w:pPr>
        <w:spacing w:after="60"/>
      </w:pPr>
      <w:r>
        <w:t xml:space="preserve"/>
      </w:r>
    </w:p>
    <w:p>
      <w:pPr>
        <w:spacing w:after="140" w:before="10" w:line="288"/>
      </w:pPr>
      <w:r>
        <w:rPr>
          <w:rFonts w:ascii="Calibri" w:cs="Calibri" w:eastAsia="Calibri" w:hAnsi="Calibri"/>
          <w:sz w:val="22"/>
          <w:szCs w:val="22"/>
        </w:rPr>
        <w:t xml:space="preserve">A practical buffer is built in: the six standard operations are quick to implement, so the bulk of the effort concentrates on the five algorithmic functions and the two animations. If Day 2 slips, the enhanced step-log operations can fall back to plain results without affecting the flagships.</w:t>
      </w:r>
    </w:p>
    <w:p>
      <w:pPr>
        <w:pBdr>
          <w:bottom w:val="single" w:color="2E75B6" w:sz="6" w:space="1"/>
        </w:pBdr>
        <w:spacing w:after="140" w:before="40"/>
      </w:pPr>
      <w:r>
        <w:t xml:space="preserve"/>
      </w:r>
    </w:p>
    <w:p>
      <w:pPr>
        <w:pStyle w:val="Heading1"/>
      </w:pPr>
      <w:r>
        <w:t xml:space="preserve">10. Theoretical Significance</w:t>
      </w:r>
    </w:p>
    <w:p>
      <w:pPr>
        <w:spacing w:after="140" w:before="0" w:line="288"/>
      </w:pPr>
      <w:r>
        <w:rPr>
          <w:rFonts w:ascii="Calibri" w:cs="Calibri" w:eastAsia="Calibri" w:hAnsi="Calibri"/>
          <w:sz w:val="22"/>
          <w:szCs w:val="22"/>
        </w:rPr>
        <w:t xml:space="preserve">Although Project 4 is the general-purpose string toolkit, its strongest features are chosen and implemented to keep it firmly within the spirit of a computation-theory course.</w:t>
      </w:r>
    </w:p>
    <w:p>
      <w:pPr>
        <w:spacing w:after="140" w:before="0" w:line="288"/>
      </w:pPr>
      <w:r>
        <w:rPr>
          <w:rFonts w:ascii="Calibri" w:cs="Calibri" w:eastAsia="Calibri" w:hAnsi="Calibri"/>
          <w:sz w:val="22"/>
          <w:szCs w:val="22"/>
        </w:rPr>
        <w:t xml:space="preserve">The clearest link is the Knuth–Morris–Pratt algorithm. Its precomputed failure function is, in effect, the transition behaviour of a deterministic finite automaton that recognises the pattern: as the text is scanned left to right, the automaton never re-examines a character, moving between states exactly as a DFA would. The animation makes this concrete — the sliding pattern and the failure-table jumps visibly enact a scanning machine — connecting the feature to the automata material without overlapping the grammar and QR-code projects.</w:t>
      </w:r>
    </w:p>
    <w:p>
      <w:pPr>
        <w:spacing w:after="140" w:before="0" w:line="288"/>
      </w:pPr>
      <w:r>
        <w:rPr>
          <w:rFonts w:ascii="Calibri" w:cs="Calibri" w:eastAsia="Calibri" w:hAnsi="Calibri"/>
          <w:sz w:val="22"/>
          <w:szCs w:val="22"/>
        </w:rPr>
        <w:t xml:space="preserve">The dynamic-programming operations (edit distance and longest common subsequence) illustrate a second pillar of the field: how an apparently exponential search over edit sequences is tamed to polynomial time by reusing overlapping subproblems. Run-length encoding, in turn, offers a small but genuine example of lossless compression and the encode/decode symmetry that underpins coding theory. Together these features let the application demonstrate understanding of formal models rather than mere familiarity with built-in string functions.</w:t>
      </w:r>
    </w:p>
    <w:p>
      <w:pPr>
        <w:pBdr>
          <w:bottom w:val="single" w:color="2E75B6" w:sz="6" w:space="1"/>
        </w:pBdr>
        <w:spacing w:after="140" w:before="40"/>
      </w:pPr>
      <w:r>
        <w:t xml:space="preserve"/>
      </w:r>
    </w:p>
    <w:p>
      <w:pPr>
        <w:pStyle w:val="Heading1"/>
      </w:pPr>
      <w:r>
        <w:t xml:space="preserve">11. Future Work</w:t>
      </w:r>
    </w:p>
    <w:p>
      <w:pPr>
        <w:pStyle w:val="ListParagraph"/>
        <w:numPr>
          <w:ilvl w:val="0"/>
          <w:numId w:val="3"/>
        </w:numPr>
        <w:spacing w:after="80" w:line="276"/>
      </w:pPr>
      <w:r>
        <w:rPr>
          <w:rFonts w:ascii="Calibri" w:cs="Calibri" w:eastAsia="Calibri" w:hAnsi="Calibri"/>
          <w:sz w:val="22"/>
          <w:szCs w:val="22"/>
        </w:rPr>
        <w:t xml:space="preserve">Extend full animation to the enhanced operations (longest common subsequence and longest palindromic substring) and beyond.</w:t>
      </w:r>
    </w:p>
    <w:p>
      <w:pPr>
        <w:pStyle w:val="ListParagraph"/>
        <w:numPr>
          <w:ilvl w:val="0"/>
          <w:numId w:val="3"/>
        </w:numPr>
        <w:spacing w:after="80" w:line="276"/>
      </w:pPr>
      <w:r>
        <w:rPr>
          <w:rFonts w:ascii="Calibri" w:cs="Calibri" w:eastAsia="Calibri" w:hAnsi="Calibri"/>
          <w:sz w:val="22"/>
          <w:szCs w:val="22"/>
        </w:rPr>
        <w:t xml:space="preserve">Add a visible automaton view for Knuth–Morris–Pratt that draws the failure function as an explicit state diagram.</w:t>
      </w:r>
    </w:p>
    <w:p>
      <w:pPr>
        <w:pStyle w:val="ListParagraph"/>
        <w:numPr>
          <w:ilvl w:val="0"/>
          <w:numId w:val="3"/>
        </w:numPr>
        <w:spacing w:after="80" w:line="276"/>
      </w:pPr>
      <w:r>
        <w:rPr>
          <w:rFonts w:ascii="Calibri" w:cs="Calibri" w:eastAsia="Calibri" w:hAnsi="Calibri"/>
          <w:sz w:val="22"/>
          <w:szCs w:val="22"/>
        </w:rPr>
        <w:t xml:space="preserve">Introduce further operations — suffix structures, Boyer–Moore search, or Huffman coding — to broaden the catalogue.</w:t>
      </w:r>
    </w:p>
    <w:p>
      <w:pPr>
        <w:pStyle w:val="ListParagraph"/>
        <w:numPr>
          <w:ilvl w:val="0"/>
          <w:numId w:val="3"/>
        </w:numPr>
        <w:spacing w:after="80" w:line="276"/>
      </w:pPr>
      <w:r>
        <w:rPr>
          <w:rFonts w:ascii="Calibri" w:cs="Calibri" w:eastAsia="Calibri" w:hAnsi="Calibri"/>
          <w:sz w:val="22"/>
          <w:szCs w:val="22"/>
        </w:rPr>
        <w:t xml:space="preserve">Use the runs history to surface popular inputs and aggregate usage statistics.</w:t>
      </w:r>
    </w:p>
    <w:p>
      <w:pPr>
        <w:pStyle w:val="ListParagraph"/>
        <w:numPr>
          <w:ilvl w:val="0"/>
          <w:numId w:val="3"/>
        </w:numPr>
        <w:spacing w:after="80" w:line="276"/>
      </w:pPr>
      <w:r>
        <w:rPr>
          <w:rFonts w:ascii="Calibri" w:cs="Calibri" w:eastAsia="Calibri" w:hAnsi="Calibri"/>
          <w:sz w:val="22"/>
          <w:szCs w:val="22"/>
        </w:rPr>
        <w:t xml:space="preserve">Add accessibility features and internationalisation so the explanations can be offered in more than one language.</w:t>
      </w:r>
    </w:p>
    <w:p>
      <w:pPr>
        <w:pStyle w:val="ListParagraph"/>
        <w:numPr>
          <w:ilvl w:val="0"/>
          <w:numId w:val="3"/>
        </w:numPr>
        <w:spacing w:after="80" w:line="276"/>
      </w:pPr>
      <w:r>
        <w:rPr>
          <w:rFonts w:ascii="Calibri" w:cs="Calibri" w:eastAsia="Calibri" w:hAnsi="Calibri"/>
          <w:sz w:val="22"/>
          <w:szCs w:val="22"/>
        </w:rPr>
        <w:t xml:space="preserve">Introduce optional user accounts so history can follow a person across devices, building on the current anonymous-session foundation rather than replacing it.</w:t>
      </w:r>
    </w:p>
    <w:p>
      <w:pPr>
        <w:pBdr>
          <w:bottom w:val="single" w:color="2E75B6" w:sz="6" w:space="1"/>
        </w:pBdr>
        <w:spacing w:after="140" w:before="40"/>
      </w:pPr>
      <w:r>
        <w:t xml:space="preserve"/>
      </w:r>
    </w:p>
    <w:p>
      <w:pPr>
        <w:pStyle w:val="Heading1"/>
      </w:pPr>
      <w:r>
        <w:t xml:space="preserve">12. Conclusion</w:t>
      </w:r>
    </w:p>
    <w:p>
      <w:pPr>
        <w:spacing w:after="140" w:before="0" w:line="288"/>
      </w:pPr>
      <w:r>
        <w:rPr>
          <w:rFonts w:ascii="Calibri" w:cs="Calibri" w:eastAsia="Calibri" w:hAnsi="Calibri"/>
          <w:sz w:val="22"/>
          <w:szCs w:val="22"/>
        </w:rPr>
        <w:t xml:space="preserve">StringLab answers Project 4 with a focused, well-scoped web application: twelve string operations across four categories, a Python computation engine, and a PostgreSQL data tier, delivered through an interface whose distinguishing quality is that it makes computation visible. By concentrating effort on two fully animated flagship algorithms, anchoring the work to computation theory through deliberate algorithm choices, and dividing responsibilities cleanly across four members against a fixed data contract, the team can produce a polished and defensible result within the available time. The accompanying report frames each significant decision as a considered engineering trade-off — the surest signal, at Master’s level, of genuine understanding.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6"/>
        <w:szCs w:val="16"/>
      </w:rPr>
      <w:t xml:space="preserve">Page </w:t>
    </w:r>
    <w:r>
      <w:rPr>
        <w:rFonts w:ascii="Calibri" w:cs="Calibri" w:eastAsia="Calibri" w:hAnsi="Calibri"/>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4"/>
      </w:pBdr>
      <w:tabs>
        <w:tab w:val="right" w:pos="9360"/>
      </w:tabs>
    </w:pPr>
    <w:r>
      <w:rPr>
        <w:rFonts w:ascii="Calibri" w:cs="Calibri" w:eastAsia="Calibri" w:hAnsi="Calibri"/>
        <w:color w:val="8A8A8A"/>
        <w:sz w:val="16"/>
        <w:szCs w:val="16"/>
      </w:rPr>
      <w:t xml:space="preserve">StringLab — Project 4</w:t>
    </w:r>
    <w:r>
      <w:rPr>
        <w:rFonts w:ascii="Calibri" w:cs="Calibri" w:eastAsia="Calibri" w:hAnsi="Calibri"/>
        <w:color w:val="8A8A8A"/>
        <w:sz w:val="16"/>
        <w:szCs w:val="16"/>
      </w:rPr>
      <w:t xml:space="preserve">	Theory of Computation &amp; Automata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4E79"/>
      <w:sz w:val="56"/>
      <w:szCs w:val="56"/>
    </w:rPr>
  </w:style>
  <w:style w:type="paragraph" w:styleId="Heading1">
    <w:name w:val="Heading 1"/>
    <w:basedOn w:val="Normal"/>
    <w:next w:val="Normal"/>
    <w:qFormat/>
    <w:pPr>
      <w:keepNext/>
      <w:spacing w:after="140" w:before="28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6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StringLab — Project 4 Report</dc:title>
  <dc:creator>StringLab Team</dc:creator>
  <cp:lastModifiedBy>Un-named</cp:lastModifiedBy>
  <cp:revision>1</cp:revision>
  <dcterms:created xsi:type="dcterms:W3CDTF">2026-06-12T02:14:01.278Z</dcterms:created>
  <dcterms:modified xsi:type="dcterms:W3CDTF">2026-06-12T02:14:01.292Z</dcterms:modified>
</cp:coreProperties>
</file>

<file path=docProps/custom.xml><?xml version="1.0" encoding="utf-8"?>
<Properties xmlns="http://schemas.openxmlformats.org/officeDocument/2006/custom-properties" xmlns:vt="http://schemas.openxmlformats.org/officeDocument/2006/docPropsVTypes"/>
</file>