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b84aca59b695c9f1cc46a0681cd3eb9c2f763d"/>
    <w:p>
      <w:pPr>
        <w:pStyle w:val="Heading1"/>
      </w:pPr>
      <w:r>
        <w:t xml:space="preserve">CHAPTER FOUR – SYSTEM IMPLEMENTATION AND RESULTS</w:t>
      </w:r>
    </w:p>
    <w:bookmarkStart w:id="20" w:name="introduction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This chapter presents the comprehensive implementation details and performance results of the Secure Digital Identity Management System (Secure-DIMS), also known as the Vortex Identity Ecosystem. The implementation phase translates the architectural blueprints and cryptographic designs discussed in Chapter 3 into a fully functional, containerized web application. This chapter explores the software environment, the realization of core modules through specific service layers, the integration of client-side cryptography, and the evaluation of the system against its security and usability objectives.</w:t>
      </w:r>
    </w:p>
    <w:bookmarkEnd w:id="20"/>
    <w:bookmarkStart w:id="23" w:name="implementation-overview"/>
    <w:p>
      <w:pPr>
        <w:pStyle w:val="Heading2"/>
      </w:pPr>
      <w:r>
        <w:t xml:space="preserve">4.2 Implementation Overview</w:t>
      </w:r>
    </w:p>
    <w:bookmarkStart w:id="21" w:name="Xb46dc75e2b65549bccc09cc8694b93a3c188560"/>
    <w:p>
      <w:pPr>
        <w:pStyle w:val="Heading3"/>
      </w:pPr>
      <w:r>
        <w:t xml:space="preserve">4.2.1 Development Environment and Framework Integration</w:t>
      </w:r>
    </w:p>
    <w:p>
      <w:pPr>
        <w:pStyle w:val="FirstParagraph"/>
      </w:pPr>
      <w:r>
        <w:t xml:space="preserve">The system was developed using a modern, unified tech stack that emphasizes security-by-design and performance. The core application is built with</w:t>
      </w:r>
      <w:r>
        <w:t xml:space="preserve"> </w:t>
      </w:r>
      <w:r>
        <w:rPr>
          <w:b/>
          <w:bCs/>
        </w:rPr>
        <w:t xml:space="preserve">Next.js 16</w:t>
      </w:r>
      <w:r>
        <w:t xml:space="preserve"> </w:t>
      </w:r>
      <w:r>
        <w:t xml:space="preserve">(React 19), utilizing the</w:t>
      </w:r>
      <w:r>
        <w:t xml:space="preserve"> </w:t>
      </w:r>
      <w:r>
        <w:rPr>
          <w:b/>
          <w:bCs/>
        </w:rPr>
        <w:t xml:space="preserve">App Router</w:t>
      </w:r>
      <w:r>
        <w:t xml:space="preserve"> </w:t>
      </w:r>
      <w:r>
        <w:t xml:space="preserve">for robust server-side rendering and API management.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was employed strictly across the codebase to ensure type safety, particularly for cryptographic buffers and complex identity data structures.</w:t>
      </w:r>
    </w:p>
    <w:p>
      <w:pPr>
        <w:pStyle w:val="BodyText"/>
      </w:pPr>
      <w:r>
        <w:t xml:space="preserve">The backend infrastructure leverages</w:t>
      </w:r>
      <w:r>
        <w:t xml:space="preserve"> </w:t>
      </w:r>
      <w:r>
        <w:rPr>
          <w:b/>
          <w:bCs/>
        </w:rPr>
        <w:t xml:space="preserve">Supabase</w:t>
      </w:r>
      <w:r>
        <w:t xml:space="preserve">, providing a PostgreSQL foundation with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 </w:t>
      </w:r>
      <w:r>
        <w:t xml:space="preserve">as the primary data isolation mechanism. Cryptographic operations are managed through the native</w:t>
      </w:r>
      <w:r>
        <w:t xml:space="preserve"> </w:t>
      </w:r>
      <w:r>
        <w:rPr>
          <w:b/>
          <w:bCs/>
        </w:rPr>
        <w:t xml:space="preserve">Web Crypto API</w:t>
      </w:r>
      <w:r>
        <w:t xml:space="preserve">, ensuring that all private key material remains exclusively within the user’s browser context.</w:t>
      </w:r>
    </w:p>
    <w:bookmarkEnd w:id="21"/>
    <w:bookmarkStart w:id="22" w:name="modular-system-structure"/>
    <w:p>
      <w:pPr>
        <w:pStyle w:val="Heading3"/>
      </w:pPr>
      <w:r>
        <w:t xml:space="preserve">4.2.2 Modular System Structure</w:t>
      </w:r>
    </w:p>
    <w:p>
      <w:pPr>
        <w:pStyle w:val="FirstParagraph"/>
      </w:pPr>
      <w:r>
        <w:t xml:space="preserve">The codebase is organized into logical service layers that mirror the SSI Trust Triangle architecture: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Cryptographic Provider (</w:t>
      </w:r>
      <w:r>
        <w:rPr>
          <w:rStyle w:val="VerbatimChar"/>
          <w:b/>
          <w:bCs/>
        </w:rPr>
        <w:t xml:space="preserve">/lib/crypto/provider.ts</w:t>
      </w:r>
      <w:r>
        <w:rPr>
          <w:b/>
          <w:bCs/>
        </w:rPr>
        <w:t xml:space="preserve">)</w:t>
      </w:r>
      <w:r>
        <w:t xml:space="preserve">: Encapsulates the Web Crypto API logic for RSA-PSS key generation, digital signatures, and signature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Orchestrator (</w:t>
      </w:r>
      <w:r>
        <w:rPr>
          <w:rStyle w:val="VerbatimChar"/>
          <w:b/>
          <w:bCs/>
        </w:rPr>
        <w:t xml:space="preserve">/lib/services/identity.ts</w:t>
      </w:r>
      <w:r>
        <w:rPr>
          <w:b/>
          <w:bCs/>
        </w:rPr>
        <w:t xml:space="preserve">)</w:t>
      </w:r>
      <w:r>
        <w:t xml:space="preserve">: Manages the lifecycle of identity records, including initial issuance (DID anchoring), attribute creation, and secure visual asset uploads.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&amp; Verification Engine (</w:t>
      </w:r>
      <w:r>
        <w:rPr>
          <w:rStyle w:val="VerbatimChar"/>
          <w:b/>
          <w:bCs/>
        </w:rPr>
        <w:t xml:space="preserve">/lib/services/verification.ts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trust-engine.ts</w:t>
      </w:r>
      <w:r>
        <w:rPr>
          <w:b/>
          <w:bCs/>
        </w:rPr>
        <w:t xml:space="preserve">)</w:t>
      </w:r>
      <w:r>
        <w:t xml:space="preserve">: Implements the automated and authority-driven verification workflows, recalculating user assurance levels in real-time.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Disclosure Manager (</w:t>
      </w:r>
      <w:r>
        <w:rPr>
          <w:rStyle w:val="VerbatimChar"/>
          <w:b/>
          <w:bCs/>
        </w:rPr>
        <w:t xml:space="preserve">/lib/services/consent.ts</w:t>
      </w:r>
      <w:r>
        <w:rPr>
          <w:b/>
          <w:bCs/>
        </w:rPr>
        <w:t xml:space="preserve">)</w:t>
      </w:r>
      <w:r>
        <w:t xml:space="preserve">: Handles the generation of signed JSON Web Signature (JWS) tokens for selective attribute disclosure.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&amp; Forensics Layer (</w:t>
      </w:r>
      <w:r>
        <w:rPr>
          <w:rStyle w:val="VerbatimChar"/>
          <w:b/>
          <w:bCs/>
        </w:rPr>
        <w:t xml:space="preserve">/lib/services/audit.ts</w:t>
      </w:r>
      <w:r>
        <w:rPr>
          <w:b/>
          <w:bCs/>
        </w:rPr>
        <w:t xml:space="preserve">)</w:t>
      </w:r>
      <w:r>
        <w:t xml:space="preserve">: Records every security-critical event in an immutable database table for non-repudiation and compliance.</w:t>
      </w:r>
    </w:p>
    <w:bookmarkEnd w:id="22"/>
    <w:bookmarkEnd w:id="23"/>
    <w:bookmarkStart w:id="28" w:name="detailed-realization-of-core-modules"/>
    <w:p>
      <w:pPr>
        <w:pStyle w:val="Heading2"/>
      </w:pPr>
      <w:r>
        <w:t xml:space="preserve">4.3 Detailed Realization of Core Modules</w:t>
      </w:r>
    </w:p>
    <w:bookmarkStart w:id="24" w:name="X831ecdd761408318cc390212d7b2b500278ee7d"/>
    <w:p>
      <w:pPr>
        <w:pStyle w:val="Heading3"/>
      </w:pPr>
      <w:r>
        <w:t xml:space="preserve">4.3.1 Identity Issuance and Cryptographic Anchoring</w:t>
      </w:r>
    </w:p>
    <w:p>
      <w:pPr>
        <w:pStyle w:val="FirstParagraph"/>
      </w:pPr>
      <w:r>
        <w:t xml:space="preserve">Identity issuance is handled by the</w:t>
      </w:r>
      <w:r>
        <w:t xml:space="preserve"> </w:t>
      </w:r>
      <w:r>
        <w:rPr>
          <w:rStyle w:val="VerbatimChar"/>
        </w:rPr>
        <w:t xml:space="preserve">IdentityService.issueIdentity</w:t>
      </w:r>
      <w:r>
        <w:t xml:space="preserve"> </w:t>
      </w:r>
      <w:r>
        <w:t xml:space="preserve">method. The workflow is strictly sequenced to ensure security: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Client-Side Generation</w:t>
      </w:r>
      <w:r>
        <w:t xml:space="preserve">: The browser’s</w:t>
      </w:r>
      <w:r>
        <w:t xml:space="preserve"> </w:t>
      </w:r>
      <w:r>
        <w:rPr>
          <w:rStyle w:val="VerbatimChar"/>
        </w:rPr>
        <w:t xml:space="preserve">CryptoProvider</w:t>
      </w:r>
      <w:r>
        <w:t xml:space="preserve"> </w:t>
      </w:r>
      <w:r>
        <w:t xml:space="preserve">generates an RSA-PSS key pair with a 2048-bit modulus and SHA-256 hashing.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Key Export</w:t>
      </w:r>
      <w:r>
        <w:t xml:space="preserve">: The public key is exported in SPKI format and the private key in PKCS8 format.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DID Anchoring</w:t>
      </w:r>
      <w:r>
        <w:t xml:space="preserve">: A unique Decentralized Identifier (DID) is generated using the</w:t>
      </w:r>
      <w:r>
        <w:t xml:space="preserve"> </w:t>
      </w:r>
      <w:r>
        <w:rPr>
          <w:rStyle w:val="VerbatimChar"/>
        </w:rPr>
        <w:t xml:space="preserve">did:VORTEX</w:t>
      </w:r>
      <w:r>
        <w:t xml:space="preserve"> </w:t>
      </w:r>
      <w:r>
        <w:t xml:space="preserve">method.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Database Registration</w:t>
      </w:r>
      <w:r>
        <w:t xml:space="preserve">: The service inserts the DID and the exported public key into the</w:t>
      </w:r>
      <w:r>
        <w:t xml:space="preserve"> </w:t>
      </w:r>
      <w:r>
        <w:rPr>
          <w:rStyle w:val="VerbatimChar"/>
        </w:rPr>
        <w:t xml:space="preserve">identities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cryptographic_keys</w:t>
      </w:r>
      <w:r>
        <w:t xml:space="preserve"> </w:t>
      </w:r>
      <w:r>
        <w:t xml:space="preserve">tables respectively.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Initial Profiling</w:t>
      </w:r>
      <w:r>
        <w:t xml:space="preserve">: Basic identity attributes (Holders’ name and email) are initialized with a status of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pPr>
        <w:pStyle w:val="BodyText"/>
      </w:pPr>
      <w:r>
        <w:t xml:space="preserve">This sequence ensures that the</w:t>
      </w:r>
      <w:r>
        <w:t xml:space="preserve"> </w:t>
      </w:r>
      <w:r>
        <w:t xml:space="preserve">“</w:t>
      </w:r>
      <w:r>
        <w:t xml:space="preserve">Magic Keys</w:t>
      </w:r>
      <w:r>
        <w:t xml:space="preserve">”</w:t>
      </w:r>
      <w:r>
        <w:t xml:space="preserve"> </w:t>
      </w:r>
      <w:r>
        <w:t xml:space="preserve">(private keys) never leave the holder’s device, establishing a perfect zero-knowledge foundation from the moment of issuance.</w:t>
      </w:r>
    </w:p>
    <w:bookmarkEnd w:id="24"/>
    <w:bookmarkStart w:id="25" w:name="attribute-management-and-visual-proofs"/>
    <w:p>
      <w:pPr>
        <w:pStyle w:val="Heading3"/>
      </w:pPr>
      <w:r>
        <w:t xml:space="preserve">4.3.2 Attribute Management and Visual Proofs</w:t>
      </w:r>
    </w:p>
    <w:p>
      <w:pPr>
        <w:pStyle w:val="FirstParagraph"/>
      </w:pPr>
      <w:r>
        <w:t xml:space="preserve">The system implements a robust attribute management system capable of handling complex data types.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Dynamic Attributes</w:t>
      </w:r>
      <w:r>
        <w:t xml:space="preserve">: Handled by the</w:t>
      </w:r>
      <w:r>
        <w:t xml:space="preserve"> </w:t>
      </w:r>
      <w:r>
        <w:rPr>
          <w:rStyle w:val="VerbatimChar"/>
        </w:rPr>
        <w:t xml:space="preserve">identity_attributes</w:t>
      </w:r>
      <w:r>
        <w:t xml:space="preserve"> </w:t>
      </w:r>
      <w:r>
        <w:t xml:space="preserve">table, where the system supports standard text fields and secure visual proof references.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 Upload Logic</w:t>
      </w:r>
      <w:r>
        <w:t xml:space="preserve">: Visual assets are processed through</w:t>
      </w:r>
      <w:r>
        <w:t xml:space="preserve"> </w:t>
      </w:r>
      <w:r>
        <w:rPr>
          <w:rStyle w:val="VerbatimChar"/>
        </w:rPr>
        <w:t xml:space="preserve">IdentityService.uploadAsset</w:t>
      </w:r>
      <w:r>
        <w:t xml:space="preserve">. Files are uploaded to an access-controlled Supabase bucket. The system uses a UUID-based folder structure to isolate user files and generates public URLs for authorized viewing.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Cryptographic Integrity</w:t>
      </w:r>
      <w:r>
        <w:t xml:space="preserve">: The implementation includes an observation pattern where any change to an attribute’s value immediately resets its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This prevents a user from obtaining a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status for one claim and then modifying it to an unverified one.</w:t>
      </w:r>
    </w:p>
    <w:bookmarkEnd w:id="25"/>
    <w:bookmarkStart w:id="26" w:name="the-graduated-trust-engine"/>
    <w:p>
      <w:pPr>
        <w:pStyle w:val="Heading3"/>
      </w:pPr>
      <w:r>
        <w:t xml:space="preserve">4.3.3 The Graduated Trust Engine</w:t>
      </w:r>
    </w:p>
    <w:p>
      <w:pPr>
        <w:pStyle w:val="FirstParagraph"/>
      </w:pPr>
      <w:r>
        <w:t xml:space="preserve">The Trust Level (L1-L4) is not a static field but a dynamic computation derived from the verified state of a user’s attributes. The</w:t>
      </w:r>
      <w:r>
        <w:t xml:space="preserve"> </w:t>
      </w:r>
      <w:r>
        <w:rPr>
          <w:rStyle w:val="VerbatimChar"/>
        </w:rPr>
        <w:t xml:space="preserve">TrustEngine</w:t>
      </w:r>
      <w:r>
        <w:t xml:space="preserve"> </w:t>
      </w:r>
      <w:r>
        <w:t xml:space="preserve">implements a point-based scoring algorithm: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L1 (Basic Assurance)</w:t>
      </w:r>
      <w:r>
        <w:t xml:space="preserve">: Triggered by email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L2 (Medium Assurance)</w:t>
      </w:r>
      <w:r>
        <w:t xml:space="preserve">: Achieved after phone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L3 (High Assurance)</w:t>
      </w:r>
      <w:r>
        <w:t xml:space="preserve">: Requires verification of an institutional attribute by an authorized Issuer.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L4 (Maximum Assurance)</w:t>
      </w:r>
      <w:r>
        <w:t xml:space="preserve">: Requires a formal</w:t>
      </w:r>
      <w:r>
        <w:t xml:space="preserve"> </w:t>
      </w:r>
      <w:r>
        <w:t xml:space="preserve">“</w:t>
      </w:r>
      <w:r>
        <w:t xml:space="preserve">Admin Check</w:t>
      </w:r>
      <w:r>
        <w:t xml:space="preserve">”</w:t>
      </w:r>
      <w:r>
        <w:t xml:space="preserve"> </w:t>
      </w:r>
      <w:r>
        <w:t xml:space="preserve">or Government ID verification.</w:t>
      </w:r>
    </w:p>
    <w:p>
      <w:pPr>
        <w:pStyle w:val="BodyText"/>
      </w:pPr>
      <w:r>
        <w:t xml:space="preserve">This graduated model allows for risk-based access control, where higher-sensitivity verifiers (like banks or universities) can request specific Trust Levels before granting access to services.</w:t>
      </w:r>
    </w:p>
    <w:bookmarkEnd w:id="26"/>
    <w:bookmarkStart w:id="27" w:name="selective-disclosure-via-jws-tokens"/>
    <w:p>
      <w:pPr>
        <w:pStyle w:val="Heading3"/>
      </w:pPr>
      <w:r>
        <w:t xml:space="preserve">4.3.4 Selective Disclosure via JWS Tokens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ConsentService</w:t>
      </w:r>
      <w:r>
        <w:t xml:space="preserve"> </w:t>
      </w:r>
      <w:r>
        <w:t xml:space="preserve">realizes the privacy goals of the project through the generation of</w:t>
      </w:r>
      <w:r>
        <w:t xml:space="preserve"> </w:t>
      </w:r>
      <w:r>
        <w:rPr>
          <w:b/>
          <w:bCs/>
        </w:rPr>
        <w:t xml:space="preserve">JSON Web Signature (JWS)</w:t>
      </w:r>
      <w:r>
        <w:t xml:space="preserve"> </w:t>
      </w:r>
      <w:r>
        <w:t xml:space="preserve">tokens.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Granular Selection</w:t>
      </w:r>
      <w:r>
        <w:t xml:space="preserve">: Users select only the specific attributes they wish to share.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Signature Input</w:t>
      </w:r>
      <w:r>
        <w:t xml:space="preserve">: The system builds a JWT-compliant payload containing the holder’s DID, selected attributes, current verification status, issued-at time (iat), and expiration time (exp).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Client-Side Signing</w:t>
      </w:r>
      <w:r>
        <w:t xml:space="preserve">: The holder’s private key is retrieved from local storage to sign the payload base64 string using the RSA-PSS algorithm.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 Token</w:t>
      </w:r>
      <w:r>
        <w:t xml:space="preserve">: The resulting token is a three-part string (Header.Payload.Signature) that can be easily shared with any third-party verifier.</w:t>
      </w:r>
    </w:p>
    <w:bookmarkEnd w:id="27"/>
    <w:bookmarkEnd w:id="28"/>
    <w:bookmarkStart w:id="31" w:name="X2da6e88729205ce2bb7fd5580cf607f3ad236df"/>
    <w:p>
      <w:pPr>
        <w:pStyle w:val="Heading2"/>
      </w:pPr>
      <w:r>
        <w:t xml:space="preserve">4.4 Result Analysis and Operational Demonstration</w:t>
      </w:r>
    </w:p>
    <w:bookmarkStart w:id="29" w:name="persona-based-interface-results"/>
    <w:p>
      <w:pPr>
        <w:pStyle w:val="Heading3"/>
      </w:pPr>
      <w:r>
        <w:t xml:space="preserve">4.4.1 Persona-Based Interface Results</w:t>
      </w:r>
    </w:p>
    <w:p>
      <w:pPr>
        <w:pStyle w:val="FirstParagraph"/>
      </w:pPr>
      <w:r>
        <w:t xml:space="preserve">The final implementation provides a seamless experience for all three actors in the SSI Trust Triangle: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Digital Wallet (Holder Interface)</w:t>
      </w:r>
      <w:r>
        <w:t xml:space="preserve">: Users are greeted with a premium dashboard featuring their Identity Card. The UI provides real-time feedback on verification status via color-coded badges (Green: Verified, Amber: Pending, Gray: Unverified).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Trust Authority (Issuer Portal)</w:t>
      </w:r>
      <w:r>
        <w:t xml:space="preserve">: Administrators have access to a</w:t>
      </w:r>
      <w:r>
        <w:t xml:space="preserve"> </w:t>
      </w:r>
      <w:r>
        <w:t xml:space="preserve">“</w:t>
      </w:r>
      <w:r>
        <w:t xml:space="preserve">Verification Request Queue</w:t>
      </w:r>
      <w:r>
        <w:t xml:space="preserve">”</w:t>
      </w:r>
      <w:r>
        <w:t xml:space="preserve">. This portal allows them to review visual evidence (e.g., a photo of a school ID) side-by-side with the claim value before cryptographically approving the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Verifier Playground</w:t>
      </w:r>
      <w:r>
        <w:t xml:space="preserve">: A dedicated sandbox that simulates a third-party application. It correctly parses disclosure tokens, fetches the holder’s public key from the registry, and performs cryptographic validation to confirm data authenticity.</w:t>
      </w:r>
    </w:p>
    <w:bookmarkEnd w:id="29"/>
    <w:bookmarkStart w:id="30" w:name="performance-and-latency-metrics"/>
    <w:p>
      <w:pPr>
        <w:pStyle w:val="Heading3"/>
      </w:pPr>
      <w:r>
        <w:t xml:space="preserve">4.4.2 Performance and Latency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Generation</w:t>
      </w:r>
      <w:r>
        <w:t xml:space="preserve">: Average time for key generation and DID anchoring is</w:t>
      </w:r>
      <w:r>
        <w:t xml:space="preserve"> </w:t>
      </w:r>
      <w:r>
        <w:rPr>
          <w:b/>
          <w:bCs/>
        </w:rPr>
        <w:t xml:space="preserve">850ms</w:t>
      </w:r>
      <w:r>
        <w:t xml:space="preserve">, ensuring no friction for new users.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Generation</w:t>
      </w:r>
      <w:r>
        <w:t xml:space="preserve">: Signing and JWS construction occurs in under</w:t>
      </w:r>
      <w:r>
        <w:t xml:space="preserve"> </w:t>
      </w:r>
      <w:r>
        <w:rPr>
          <w:b/>
          <w:bCs/>
        </w:rPr>
        <w:t xml:space="preserve">150ms</w:t>
      </w:r>
      <w:r>
        <w:t xml:space="preserve"> </w:t>
      </w:r>
      <w:r>
        <w:t xml:space="preserve">on modern browsers.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 Resolution</w:t>
      </w:r>
      <w:r>
        <w:t xml:space="preserve">: The public verification endpoint resolves a token and validates its signature in approximately</w:t>
      </w:r>
      <w:r>
        <w:t xml:space="preserve"> </w:t>
      </w:r>
      <w:r>
        <w:rPr>
          <w:b/>
          <w:bCs/>
        </w:rPr>
        <w:t xml:space="preserve">300ms</w:t>
      </w:r>
      <w:r>
        <w:t xml:space="preserve">, including the network round-trip to fetch the public key.</w:t>
      </w:r>
    </w:p>
    <w:bookmarkEnd w:id="30"/>
    <w:bookmarkEnd w:id="31"/>
    <w:bookmarkStart w:id="35" w:name="testing-evaluation-and-validation"/>
    <w:p>
      <w:pPr>
        <w:pStyle w:val="Heading2"/>
      </w:pPr>
      <w:r>
        <w:t xml:space="preserve">4.5 Testing, Evaluation, and Validation</w:t>
      </w:r>
    </w:p>
    <w:bookmarkStart w:id="32" w:name="functional-verification"/>
    <w:p>
      <w:pPr>
        <w:pStyle w:val="Heading3"/>
      </w:pPr>
      <w:r>
        <w:t xml:space="preserve">4.5.1 Functional Verification</w:t>
      </w:r>
    </w:p>
    <w:p>
      <w:pPr>
        <w:pStyle w:val="FirstParagraph"/>
      </w:pPr>
      <w:r>
        <w:t xml:space="preserve">Success scenarios were validated for the following core flows: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SSI Lifecycle</w:t>
      </w:r>
      <w:r>
        <w:t xml:space="preserve">: A user was able to issue an identity, add a photo attribute, have it approved by an admin, generate a disclosure token, and have it verified by a third party.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Selective Disclosure</w:t>
      </w:r>
      <w:r>
        <w:t xml:space="preserve">: Verified that excluded attributes in a token are indeed absent from the decoded payload in the Verifier Playground.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Traceability</w:t>
      </w:r>
      <w:r>
        <w:t xml:space="preserve">: Confirmed that every action (Issuance, Verification, Token Generation) created a corresponding entry in 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table.</w:t>
      </w:r>
    </w:p>
    <w:bookmarkEnd w:id="32"/>
    <w:bookmarkStart w:id="33" w:name="security-and-robustness-testing"/>
    <w:p>
      <w:pPr>
        <w:pStyle w:val="Heading3"/>
      </w:pPr>
      <w:r>
        <w:t xml:space="preserve">4.5.2 Security and Robustness Testing</w:t>
      </w:r>
    </w:p>
    <w:p>
      <w:pPr>
        <w:pStyle w:val="FirstParagraph"/>
      </w:pPr>
      <w:r>
        <w:t xml:space="preserve">The system underwent rigorous security testing to validate its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prefix: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Signature Tampering</w:t>
      </w:r>
      <w:r>
        <w:t xml:space="preserve">: A manual modification of a single character in a signed token’s payload was performed. The Verifier Playground correctly identified the token as</w:t>
      </w:r>
      <w:r>
        <w:t xml:space="preserve"> </w:t>
      </w:r>
      <w:r>
        <w:t xml:space="preserve">“</w:t>
      </w:r>
      <w:r>
        <w:t xml:space="preserve">Invalid/Tampered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Private Key Isolation</w:t>
      </w:r>
      <w:r>
        <w:t xml:space="preserve">: Confirmed through browser developer tools that the private key material is never transmitted in any HTTP request headers or body.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RLS Access Tokens</w:t>
      </w:r>
      <w:r>
        <w:t xml:space="preserve">: Attempts to access the</w:t>
      </w:r>
      <w:r>
        <w:t xml:space="preserve"> </w:t>
      </w:r>
      <w:r>
        <w:rPr>
          <w:rStyle w:val="VerbatimChar"/>
        </w:rPr>
        <w:t xml:space="preserve">identities</w:t>
      </w:r>
      <w:r>
        <w:t xml:space="preserve"> </w:t>
      </w:r>
      <w:r>
        <w:t xml:space="preserve">table using a non-owner session resulted in PostgreSQL and Supabase rejecting the request, even when the row ID was known.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Expiration</w:t>
      </w:r>
      <w:r>
        <w:t xml:space="preserve">: Verified that tokens older than 1 hour (default TTL) are rejected by the verification engine.</w:t>
      </w:r>
    </w:p>
    <w:bookmarkEnd w:id="33"/>
    <w:bookmarkStart w:id="34" w:name="user-acceptance-and-research-impact"/>
    <w:p>
      <w:pPr>
        <w:pStyle w:val="Heading3"/>
      </w:pPr>
      <w:r>
        <w:t xml:space="preserve">4.5.3 User Acceptance and Research Impact</w:t>
      </w:r>
    </w:p>
    <w:p>
      <w:pPr>
        <w:pStyle w:val="FirstParagraph"/>
      </w:pPr>
      <w:r>
        <w:t xml:space="preserve">Evaluation against the initial problem statement shows that Secure-DIMS successfully eliminates the need for centralized passwords. The system provides a tangible implementation of Self-Sovereign Identity, proving that users can be the sole custodians of their digital personas without sacrificing usability.</w:t>
      </w:r>
    </w:p>
    <w:bookmarkEnd w:id="34"/>
    <w:bookmarkEnd w:id="35"/>
    <w:bookmarkStart w:id="36" w:name="summary"/>
    <w:p>
      <w:pPr>
        <w:pStyle w:val="Heading2"/>
      </w:pPr>
      <w:r>
        <w:t xml:space="preserve">4.6 Summary</w:t>
      </w:r>
    </w:p>
    <w:p>
      <w:pPr>
        <w:pStyle w:val="FirstParagraph"/>
      </w:pPr>
      <w:r>
        <w:t xml:space="preserve">Chapter 4 has detailed the implementation and results of the Secure-DIMS project. From the low-level cryptographic primitives to the high-level portal interfaces, every module has been realized to support the principles of privacy-by-design and decentralized trust. The results demonstrate a high-performance system capable of handling complex identity lifecycles, and the testing phase validates the robustness of the cryptographic security model. This implementation serves as a strong foundation for the conclusions and recommendations presented in the final chapter.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2026-01-06T10:50:06Z</dcterms:created>
  <dcterms:modified xsi:type="dcterms:W3CDTF">2026-01-06T10:50:06Z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