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Общество с ограниченной ответственностью «ХЛЕБНИК ФРАНЧАЙЗИНГ»</w:t>
      </w:r>
    </w:p>
    <w:p>
      <w:pPr>
        <w:jc w:val="center"/>
      </w:pPr>
      <w:r>
        <w:rPr>
          <w:sz w:val="18"/>
        </w:rPr>
        <w:t>ОГРН 1207800059334  ИНН 4703175107  КПП 470301001</w:t>
      </w:r>
    </w:p>
    <w:p>
      <w:pPr>
        <w:jc w:val="center"/>
      </w:pPr>
      <w:r>
        <w:rPr>
          <w:sz w:val="18"/>
        </w:rPr>
        <w:t>Юридический адрес: 188640, Всеволожск, проспект Всеволожский, д. 53, кв./оф. 1Н/№1</w:t>
      </w:r>
    </w:p>
    <w:p>
      <w:pPr>
        <w:jc w:val="center"/>
      </w:pPr>
      <w:r>
        <w:rPr>
          <w:sz w:val="18"/>
        </w:rPr>
        <w:t>р/с 40702810632200003317  ФИЛИАЛ «САНКТ-ПЕТЕРБУРГСКИЙ» АО «АЛЬФА-БАНК»</w:t>
      </w:r>
    </w:p>
    <w:p>
      <w:pPr>
        <w:jc w:val="center"/>
      </w:pPr>
      <w:r>
        <w:rPr>
          <w:sz w:val="18"/>
        </w:rPr>
        <w:t>БИК: 044030786  к/с: 30101810600000000786</w:t>
      </w:r>
    </w:p>
    <w:p/>
    <w:p>
      <w:pPr>
        <w:jc w:val="right"/>
      </w:pPr>
      <w:r>
        <w:rPr>
          <w:sz w:val="22"/>
        </w:rPr>
        <w:t>Кому: Индивидуальному предпринимателю</w:t>
      </w:r>
    </w:p>
    <w:p>
      <w:pPr>
        <w:jc w:val="right"/>
      </w:pPr>
      <w:r>
        <w:rPr>
          <w:sz w:val="22"/>
        </w:rPr>
        <w:t>{{ full_fio }}</w:t>
      </w:r>
    </w:p>
    <w:p>
      <w:pPr>
        <w:jc w:val="right"/>
      </w:pPr>
      <w:r>
        <w:rPr>
          <w:sz w:val="22"/>
        </w:rPr>
        <w:t>ОГРНИП {{ ogrnip }}, ИНН {{ inn }}</w:t>
      </w:r>
    </w:p>
    <w:p>
      <w:pPr>
        <w:jc w:val="right"/>
      </w:pPr>
      <w:r>
        <w:rPr>
          <w:sz w:val="22"/>
        </w:rPr>
        <w:t>Адрес: {{ address }}</w:t>
      </w:r>
    </w:p>
    <w:p>
      <w:pPr>
        <w:jc w:val="right"/>
      </w:pPr>
      <w:r>
        <w:rPr>
          <w:sz w:val="22"/>
        </w:rPr>
        <w:t>E-mail: {{ email }}, тел.: {{ phone }}</w:t>
      </w:r>
    </w:p>
    <w:p>
      <w:pPr>
        <w:jc w:val="left"/>
      </w:pPr>
      <w:r>
        <w:t>Исх. б/н от {{ doc_date }} г.</w:t>
      </w:r>
    </w:p>
    <w:p/>
    <w:p>
      <w:pPr>
        <w:jc w:val="center"/>
      </w:pPr>
      <w:r>
        <w:rPr>
          <w:b/>
          <w:sz w:val="28"/>
        </w:rPr>
        <w:t>УВЕДОМЛЕНИЕ</w:t>
      </w:r>
    </w:p>
    <w:p/>
    <w:p>
      <w:pPr>
        <w:jc w:val="left"/>
      </w:pPr>
      <w:r>
        <w:rPr>
          <w:b w:val="0"/>
        </w:rPr>
        <w:t>Уважаемый(ая) {{ full_fio }}!</w:t>
      </w:r>
    </w:p>
    <w:p/>
    <w:p>
      <w:pPr>
        <w:ind w:firstLine="709"/>
        <w:jc w:val="both"/>
      </w:pPr>
      <w:r>
        <w:rPr>
          <w:b w:val="0"/>
        </w:rPr>
        <w:t>Между ООО «Хлебник Франчайзинг» (далее – «Правообладатель») и Индивидуальным предпринимателем {{ full_fio }} (далее – «Пользователь») заключен Договор коммерческой концессии №{{ dkk_number }} от {{ dkk_date }} года (далее – «Договор»), по которому Правообладатель на условиях настоящего Договора за вознаграждение передает Пользователю право на использование Комплекса прав, в т.ч.:</w:t>
      </w:r>
    </w:p>
    <w:p>
      <w:pPr>
        <w:ind w:firstLine="709"/>
        <w:jc w:val="both"/>
      </w:pPr>
      <w:r>
        <w:rPr>
          <w:b w:val="0"/>
        </w:rPr>
        <w:t>– неисключительное право на использование товарного знака (Свидетельство на товарный знак № 664346, зарегистрированного в Государственном реестре товарных знаков и знаков обслуживания Российской Федерации 26.07.2018 (Приложение № 1 к настоящему Договору)) – далее «Товарный знак» в отношении всех товаров и услуг, указанных в государственной регистрации Товарного знака;</w:t>
      </w:r>
    </w:p>
    <w:p>
      <w:pPr>
        <w:ind w:firstLine="709"/>
        <w:jc w:val="both"/>
      </w:pPr>
      <w:r>
        <w:rPr>
          <w:b w:val="0"/>
        </w:rPr>
        <w:t>– право на использование Системы и конфиденциальной информации, коммерческого опыта, сведений о способах осуществления профессиональной деятельности Правообладателя.</w:t>
      </w:r>
    </w:p>
    <w:p>
      <w:pPr>
        <w:ind w:firstLine="709"/>
        <w:jc w:val="both"/>
      </w:pPr>
      <w:r>
        <w:rPr>
          <w:b w:val="0"/>
        </w:rPr>
        <w:t>Согласно п. 5.1. Договора Пользователь обязан обеспечивать соответствие качества оказания услуг и соответствие с Договором свое Предприятие в соответствии с инструкциями и указаниями Правообладателя так, как они изложены в Системе, содержащей обязательные требования и рекомендуемые спецификации, стандарты (в том числе, но не ограничиваясь, стандарты обслуживания клиентов) и рабочие процедуры, и иные указания Правообладателя, которые относятся к эксплуатации Предприятия и которые совершенствуются (изменяются) в соответствии с накопленным опытом, изменениями в законодательстве или ситуацией на рынке. Нарушение данного условия трактуется как Существенное нарушение условий Договора.</w:t>
      </w:r>
    </w:p>
    <w:p>
      <w:pPr>
        <w:ind w:firstLine="709"/>
        <w:jc w:val="both"/>
      </w:pPr>
      <w:r>
        <w:rPr>
          <w:b w:val="0"/>
        </w:rPr>
        <w:t>Статьей 1031 Гражданского кодекса Российской Федерации предусмотрена обязанность для Правообладателя контролировать качество товаров (работ, услуг), производимых (выполняемых, оказываемых) Пользователем на основании договора коммерческой концессии.</w:t>
      </w:r>
    </w:p>
    <w:p>
      <w:pPr>
        <w:ind w:firstLine="709"/>
        <w:jc w:val="both"/>
      </w:pPr>
      <w:r>
        <w:rPr>
          <w:b w:val="0"/>
        </w:rPr>
        <w:t>Пунктом 9.9. Договора предусмотрено право Правообладателя организовать контроль над производственной деятельностью Пользователя на его Предприятии, в том числе: своими силами и средствами предоставленным дистанционным контролем (удалённый анализ экономических показателей) и контроль выполнения предписаний Системы посредством просмотра видеоизображения, полученного с веб-камер на Предприятии Пользователя и других производственных площадок); мониторингом отзывов клиентов (опросы в виде обращений, информации в социальных сетях); способов привлечения сторонних третьих лиц (в том числе технология «тайный покупатель») и другое; при этом расходы на привлечение сторонних третьих лиц (в том числе технология «тайный покупатель») возлагаются на Пользователя, за исключением случаев, когда такие расходы оплачиваются Правообладателем.</w:t>
      </w:r>
    </w:p>
    <w:p>
      <w:pPr>
        <w:ind w:firstLine="709"/>
        <w:jc w:val="both"/>
      </w:pPr>
      <w:r>
        <w:rPr>
          <w:b w:val="0"/>
        </w:rPr>
        <w:t>По результатам проведённой {{ inspection_date }} выездной проверки (видеоизображение) деятельности Предприятия по адресу: {{ bakery_address }}, Правообладателем выявлены многочисленные нарушения условий Договора коммерческой концессии, которые являются основанием для ограничения доступа Пользователя в Системе (выездные проверки), а также прекращения Договора в соответствии с разделом 12 Договора.</w:t>
      </w:r>
    </w:p>
    <w:p>
      <w:pPr>
        <w:ind w:firstLine="709"/>
        <w:jc w:val="both"/>
      </w:pPr>
      <w:r>
        <w:rPr>
          <w:b w:val="0"/>
        </w:rPr>
        <w:t>Согласно Акту фиксации нарушений условий Договора коммерческой концессии от {{ act_date }} г. Пользователь нарушает следующие условия Договора коммерческой концессии:</w:t>
      </w:r>
    </w:p>
    <w:p>
      <w:pPr>
        <w:ind w:firstLine="709"/>
      </w:pPr>
      <w:r>
        <w:t>Пользователь нарушает следующие условия Договора коммерческой концессии:</w:t>
      </w:r>
    </w:p>
    <w:p>
      <w:r>
        <w:t>{% for v in violations %}{{ loop.index }}) {{ v }}</w:t>
        <w:br/>
        <w:t>{% endfor %}</w:t>
      </w:r>
    </w:p>
    <w:p>
      <w:pPr>
        <w:ind w:firstLine="709"/>
      </w:pPr>
      <w:r>
        <w:rPr>
          <w:b/>
        </w:rPr>
        <w:t>Фототаблица: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jc w:val="center"/>
            </w:pPr>
            <w:r>
              <w:t>{{ photo1 }}</w:t>
            </w:r>
          </w:p>
        </w:tc>
        <w:tc>
          <w:tcPr>
            <w:tcW w:type="dxa" w:w="5128"/>
          </w:tcPr>
          <w:p>
            <w:pPr>
              <w:jc w:val="center"/>
            </w:pPr>
            <w:r>
              <w:t>{{ photo2 }}</w:t>
            </w:r>
          </w:p>
        </w:tc>
      </w:tr>
      <w:tr>
        <w:tc>
          <w:tcPr>
            <w:tcW w:type="dxa" w:w="5128"/>
          </w:tcPr>
          <w:p>
            <w:pPr>
              <w:jc w:val="center"/>
            </w:pPr>
            <w:r>
              <w:t>{{ photo3 }}</w:t>
            </w:r>
          </w:p>
        </w:tc>
        <w:tc>
          <w:tcPr>
            <w:tcW w:type="dxa" w:w="5128"/>
          </w:tcPr>
          <w:p>
            <w:pPr>
              <w:jc w:val="center"/>
            </w:pPr>
            <w:r>
              <w:t>{{ photo4 }}</w:t>
            </w:r>
          </w:p>
        </w:tc>
      </w:tr>
    </w:tbl>
    <w:p/>
    <w:p>
      <w:pPr>
        <w:ind w:firstLine="709"/>
        <w:jc w:val="both"/>
      </w:pPr>
      <w:r>
        <w:rPr>
          <w:b w:val="0"/>
        </w:rPr>
        <w:t>Статьями 309, 310 Гражданского кодекса Российской Федерации установлено, что обязательства должны исполняться надлежащим образом в соответствии с условиями обязательства и требованиями закона, иных правовых актов, односторонний отказ от исполнения обязательства и одностороннее изменение его условий не допускается, за исключением случаев, предусмотренных законом.</w:t>
      </w:r>
    </w:p>
    <w:p>
      <w:pPr>
        <w:ind w:firstLine="709"/>
        <w:jc w:val="both"/>
      </w:pPr>
      <w:r>
        <w:rPr>
          <w:b w:val="0"/>
        </w:rPr>
        <w:t>Руководствуясь п. 12.4. Правообладатель или его Представитель вправе досрочно расторгнуть Договор в том случае, если:</w:t>
        <w:br/>
        <w:t>12.4.1. Пользователь в течение 5 (пяти) календарных дней после направления уведомления об устранении нарушений, не исправил / не прекратил нарушать следующие Пункты и Подпункты настоящего Договора: 5.1. (существенные нарушения условий настоящего Договора в соответствии с пунктом 1.1. статьи 1037 ГК РФ) и/или повторно нарушает любой из вышеуказанных пунктов в течение 1 (Одного) года с даты направления ему первичного требования о нарушении вышеуказанных пунктов настоящего Договора.</w:t>
      </w:r>
    </w:p>
    <w:p>
      <w:pPr>
        <w:ind w:firstLine="709"/>
        <w:jc w:val="both"/>
      </w:pPr>
      <w:r>
        <w:rPr>
          <w:b w:val="0"/>
        </w:rPr>
        <w:t>Дополнительно сообщаем, что в соответствии с п. 12.5. Договора при допущении существенного нарушения условий Договора, перечисленных в Подпункте 12.4.1. Договора, Правообладатель вправе применить Ограничение доступа Пользователя к Системе (Пункт 1.5. настоящего Договора).</w:t>
      </w:r>
    </w:p>
    <w:p>
      <w:pPr>
        <w:ind w:firstLine="709"/>
        <w:jc w:val="both"/>
      </w:pPr>
      <w:r>
        <w:rPr>
          <w:b w:val="0"/>
        </w:rPr>
        <w:t>На основании вышеизложенного и руководствуясь ст. 5.1., 9.9., 12.4.1., 12.5. Договора, ст. 309, ст. 310, ст. 1031 Гражданского кодекса Российской Федерации,</w:t>
      </w:r>
    </w:p>
    <w:p>
      <w:pPr>
        <w:jc w:val="center"/>
      </w:pPr>
      <w:r>
        <w:rPr>
          <w:b/>
        </w:rPr>
        <w:t>ТРЕБУЕМ:</w:t>
      </w:r>
    </w:p>
    <w:p>
      <w:pPr>
        <w:ind w:firstLine="709"/>
        <w:jc w:val="both"/>
      </w:pPr>
      <w:r>
        <w:rPr>
          <w:b w:val="0"/>
        </w:rPr>
        <w:t>– в срок до {{ deadline_date }} г. устранить нарушения в деятельности Предприятия;</w:t>
        <w:br/>
        <w:t>– в последующем не допускать нарушений обязательных требований Договора.</w:t>
      </w:r>
    </w:p>
    <w:p>
      <w:pPr>
        <w:ind w:firstLine="709"/>
        <w:jc w:val="both"/>
      </w:pPr>
      <w:r>
        <w:rPr>
          <w:b w:val="0"/>
        </w:rPr>
        <w:t>В случае неисполнения вышеуказанных требований в установленный срок, Правообладатель, руководствуясь п. 12.4. Договора вправе применить Ограничение доступа Пользователя к Системе (техническое закрытие пекарни на срок от 2 дней), досрочно расторгнуть Договор, потребовать выплаты штрафных санкций, а так же, в случае не урегулирования настоящего спора в досудебном претензионном порядке, обратиться в Арбитражный суд г. Санкт-Петербурга и Ленинградской области за восстановлением нарушенных интеллектуальных прав, а также с требованием о взыскании всех убытков и штрафных неустоек, предусмотренных Договором коммерческой концессии, судебных расходов, в том числе по оплате государственной пошлины.</w:t>
      </w:r>
    </w:p>
    <w:p/>
    <w:p>
      <w:r>
        <w:t>Генеральный директор</w:t>
        <w:br/>
        <w:t>ООО «Хлебник Франчайзинг»</w:t>
        <w:tab/>
        <w:tab/>
        <w:tab/>
        <w:tab/>
        <w:tab/>
        <w:tab/>
        <w:t>М.А. Манаков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