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bookmarkStart w:id="41" w:name="Xe7df0b808f9748996a5a7f8ebdb4ee31dc144aa"/>
    <w:p>
      <w:pPr>
        <w:pStyle w:val="Heading1"/>
      </w:pPr>
      <w:r>
        <w:t xml:space="preserve">Document 01 — Platform Foundation &amp; Multitenancy Architecture</w:t>
      </w:r>
    </w:p>
    <w:p>
      <w:pPr>
        <w:pStyle w:val="FirstParagraph"/>
      </w:pPr>
      <w:r>
        <w:rPr>
          <w:bCs/>
          <w:b/>
        </w:rPr>
        <w:t xml:space="preserve">Product:</w:t>
      </w:r>
      <w:r>
        <w:t xml:space="preserve"> </w:t>
      </w:r>
      <w:r>
        <w:t xml:space="preserve">AI-First Support Platform for Betting Companies</w:t>
      </w:r>
      <w:r>
        <w:t xml:space="preserve"> </w:t>
      </w:r>
      <w:r>
        <w:rPr>
          <w:bCs/>
          <w:b/>
        </w:rPr>
        <w:t xml:space="preserve">Document series:</w:t>
      </w:r>
      <w:r>
        <w:t xml:space="preserve"> </w:t>
      </w:r>
      <w:r>
        <w:t xml:space="preserve">01 of 19 · Standalone enterprise specification</w:t>
      </w:r>
      <w:r>
        <w:t xml:space="preserve"> </w:t>
      </w:r>
      <w:r>
        <w:rPr>
          <w:bCs/>
          <w:b/>
        </w:rPr>
        <w:t xml:space="preserve">Audience:</w:t>
      </w:r>
      <w:r>
        <w:t xml:space="preserve"> </w:t>
      </w:r>
      <w:r>
        <w:t xml:space="preserve">Architects, backend engineers, DevOps, security, QA, product</w:t>
      </w:r>
      <w:r>
        <w:t xml:space="preserve"> </w:t>
      </w:r>
      <w:r>
        <w:rPr>
          <w:bCs/>
          <w:b/>
        </w:rPr>
        <w:t xml:space="preserve">Stack context:</w:t>
      </w:r>
      <w:r>
        <w:t xml:space="preserve"> </w:t>
      </w:r>
      <w:r>
        <w:t xml:space="preserve">PHP 8.3+ / Laravel 11+, PostgreSQL 16, Redis 7, Laravel Octane, Horizon, Reverb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document specifies the foundational layer on which every other module of the platform is built: the tenant model, tenant resolution and isolation, the shared kernel (IDs, timestamps, soft-deletion policy, event bus, settings engine), environment topology, and the cross-cutting conventions (naming, error format, time handling, i18n plumbing) that all 18 subsequent module documents assume. It defines how one deployment serves many white-label betting operators with hard data isolation, per-tenant configuration, per-tenant rate and resource limits, and zero cross-tenant visibility. Every requirement here is mandatory for all other modules; no module may ship if it violates a Foundation rule.</w:t>
      </w:r>
    </w:p>
    <w:bookmarkEnd w:id="20"/>
    <w:bookmarkStart w:id="21" w:name="purpose"/>
    <w:p>
      <w:pPr>
        <w:pStyle w:val="Heading2"/>
      </w:pPr>
      <w:r>
        <w:t xml:space="preserve">2. Purpose</w:t>
      </w:r>
    </w:p>
    <w:p>
      <w:pPr>
        <w:numPr>
          <w:ilvl w:val="0"/>
          <w:numId w:val="1001"/>
        </w:numPr>
        <w:pStyle w:val="Compact"/>
      </w:pPr>
      <w:r>
        <w:t xml:space="preserve">Establish a single, unambiguous multitenancy model so that isolation is a property of the platform, not of each developer’s discipline.</w:t>
      </w:r>
    </w:p>
    <w:p>
      <w:pPr>
        <w:numPr>
          <w:ilvl w:val="0"/>
          <w:numId w:val="1001"/>
        </w:numPr>
        <w:pStyle w:val="Compact"/>
      </w:pPr>
      <w:r>
        <w:t xml:space="preserve">Define the shared kernel primitives (identifiers, events, settings, translations, feature flags integration points) exactly once.</w:t>
      </w:r>
    </w:p>
    <w:p>
      <w:pPr>
        <w:numPr>
          <w:ilvl w:val="0"/>
          <w:numId w:val="1001"/>
        </w:numPr>
        <w:pStyle w:val="Compact"/>
      </w:pPr>
      <w:r>
        <w:t xml:space="preserve">Define global conventions (API error format, pagination, time, localization) so all modules behave identically.</w:t>
      </w:r>
    </w:p>
    <w:p>
      <w:pPr>
        <w:numPr>
          <w:ilvl w:val="0"/>
          <w:numId w:val="1001"/>
        </w:numPr>
        <w:pStyle w:val="Compact"/>
      </w:pPr>
      <w:r>
        <w:t xml:space="preserve">Provide the acceptance criteria QA uses to verify isolation and foundation behavior before any feature module is accepted.</w:t>
      </w:r>
    </w:p>
    <w:bookmarkEnd w:id="21"/>
    <w:bookmarkStart w:id="22" w:name="scope"/>
    <w:p>
      <w:pPr>
        <w:pStyle w:val="Heading2"/>
      </w:pPr>
      <w:r>
        <w:t xml:space="preserve">3. Scope</w:t>
      </w:r>
    </w:p>
    <w:p>
      <w:pPr>
        <w:pStyle w:val="FirstParagraph"/>
      </w:pPr>
      <w:r>
        <w:rPr>
          <w:bCs/>
          <w:b/>
        </w:rPr>
        <w:t xml:space="preserve">In scope:</w:t>
      </w:r>
      <w:r>
        <w:t xml:space="preserve"> </w:t>
      </w:r>
      <w:r>
        <w:t xml:space="preserve">tenant lifecycle; tenant resolution; data isolation (application + database layers); shared kernel entities; the domain event bus; the settings engine; ID, time, and error conventions; environment matrix; foundational observability hooks.</w:t>
      </w:r>
      <w:r>
        <w:t xml:space="preserve"> </w:t>
      </w:r>
      <w:r>
        <w:rPr>
          <w:bCs/>
          <w:b/>
        </w:rPr>
        <w:t xml:space="preserve">Out of scope (covered elsewhere):</w:t>
      </w:r>
      <w:r>
        <w:t xml:space="preserve"> </w:t>
      </w:r>
      <w:r>
        <w:t xml:space="preserve">authentication mechanics (Doc 02), permission checks (Doc 03), channel logic (Docs 05/13/14), branding surfaces of white-label (Doc 16 — this document covers only the tenant data model white-label depends on), deployment pipelines (Doc 18).</w:t>
      </w:r>
    </w:p>
    <w:bookmarkEnd w:id="22"/>
    <w:bookmarkStart w:id="23" w:name="functional-requirements"/>
    <w:p>
      <w:pPr>
        <w:pStyle w:val="Heading2"/>
      </w:pPr>
      <w:r>
        <w:t xml:space="preserve">4. Functional Requirements</w:t>
      </w:r>
    </w:p>
    <w:p>
      <w:pPr>
        <w:pStyle w:val="FirstParagraph"/>
      </w:pPr>
      <w:r>
        <w:t xml:space="preserve">FR-01 The system SHALL support unlimited tenants in a single deployment; each tenant represents one betting operator brand instance.</w:t>
      </w:r>
      <w:r>
        <w:t xml:space="preserve"> </w:t>
      </w:r>
      <w:r>
        <w:t xml:space="preserve">FR-02 Every persistent business record SHALL carry a non-null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; the only exceptions are the</w:t>
      </w:r>
      <w:r>
        <w:t xml:space="preserve"> </w:t>
      </w:r>
      <w:r>
        <w:rPr>
          <w:rStyle w:val="VerbatimChar"/>
        </w:rPr>
        <w:t xml:space="preserve">tenants</w:t>
      </w:r>
      <w:r>
        <w:t xml:space="preserve"> </w:t>
      </w:r>
      <w:r>
        <w:t xml:space="preserve">table itself and platform-global reference data (currency codes, country codes, language codes, timezone list).</w:t>
      </w:r>
      <w:r>
        <w:t xml:space="preserve"> </w:t>
      </w:r>
      <w:r>
        <w:t xml:space="preserve">FR-03 Tenant resolution SHALL occur exactly once per request/job/socket connection, from server-controlled context only:</w:t>
      </w:r>
      <w:r>
        <w:t xml:space="preserve"> </w:t>
      </w:r>
      <w:r>
        <w:t xml:space="preserve">a. Staff web/API request → from the authenticated session or Sanctum token (token belongs to a user; user belongs to a tenant).</w:t>
      </w:r>
      <w:r>
        <w:t xml:space="preserve"> </w:t>
      </w:r>
      <w:r>
        <w:t xml:space="preserve">b. Public API key → key record’s tenant.</w:t>
      </w:r>
      <w:r>
        <w:t xml:space="preserve"> </w:t>
      </w:r>
      <w:r>
        <w:t xml:space="preserve">c. Telegram webhook → the route’s bot key → bot record’s tenant.</w:t>
      </w:r>
      <w:r>
        <w:t xml:space="preserve"> </w:t>
      </w:r>
      <w:r>
        <w:t xml:space="preserve">d. Widget request → widget key → widget record’s tenant.</w:t>
      </w:r>
      <w:r>
        <w:t xml:space="preserve"> </w:t>
      </w:r>
      <w:r>
        <w:t xml:space="preserve">e. SMS DLR webhook → gateway key → gateway’s tenant.</w:t>
      </w:r>
      <w:r>
        <w:t xml:space="preserve"> </w:t>
      </w:r>
      <w:r>
        <w:t xml:space="preserve">f. Queued job → tenant id serialized into the job payload at dispatch time; a job with no tenant context SHALL fail before executing its handler.</w:t>
      </w:r>
      <w:r>
        <w:t xml:space="preserve"> </w:t>
      </w:r>
      <w:r>
        <w:t xml:space="preserve">FR-04 Tenant id SHALL NEVER be accepted from client-supplied input (body, query, header) on any endpoint.</w:t>
      </w:r>
      <w:r>
        <w:t xml:space="preserve"> </w:t>
      </w:r>
      <w:r>
        <w:t xml:space="preserve">FR-05 Tenant lifecycle states:</w:t>
      </w:r>
      <w:r>
        <w:t xml:space="preserve"> </w:t>
      </w:r>
      <w:r>
        <w:rPr>
          <w:rStyle w:val="VerbatimChar"/>
        </w:rPr>
        <w:t xml:space="preserve">provisioning → active → suspended → archived</w:t>
      </w:r>
      <w:r>
        <w:t xml:space="preserve">. Suspended: staff logins blocked, inbound channel traffic accepted and queued (nothing lost) but no outbound sends, banner shown on any allowed surface. Archived: read-only export access for platform admins only; all keys revoked.</w:t>
      </w:r>
      <w:r>
        <w:t xml:space="preserve"> </w:t>
      </w:r>
      <w:r>
        <w:t xml:space="preserve">FR-06 Tenant provisioning SHALL be an idempotent job that creates: tenant row, default settings set, default roles (from Doc 03 seed), default SLA policy, default business hours, empty KB with starter templates, audit log entry</w:t>
      </w:r>
      <w:r>
        <w:t xml:space="preserve"> </w:t>
      </w:r>
      <w:r>
        <w:rPr>
          <w:rStyle w:val="VerbatimChar"/>
        </w:rPr>
        <w:t xml:space="preserve">tenant.provisioned</w:t>
      </w:r>
      <w:r>
        <w:t xml:space="preserve">.</w:t>
      </w:r>
      <w:r>
        <w:t xml:space="preserve"> </w:t>
      </w:r>
      <w:r>
        <w:t xml:space="preserve">FR-07 The settings engine SHALL store per-tenant settings as typed keys (string, int, bool, json, encrypted-string) with: registered defaults in code, per-tenant overrides in DB, validation rule per key, cache with invalidation on write, audit entry on every change (old → new), and a</w:t>
      </w:r>
      <w:r>
        <w:t xml:space="preserve"> </w:t>
      </w:r>
      <w:r>
        <w:rPr>
          <w:rStyle w:val="VerbatimChar"/>
        </w:rPr>
        <w:t xml:space="preserve">settings.read</w:t>
      </w:r>
      <w:r>
        <w:t xml:space="preserve"> </w:t>
      </w:r>
      <w:r>
        <w:t xml:space="preserve">API for modules.</w:t>
      </w:r>
      <w:r>
        <w:t xml:space="preserve"> </w:t>
      </w:r>
      <w:r>
        <w:t xml:space="preserve">FR-08 A domain event bus SHALL exist: modules publish events (</w:t>
      </w:r>
      <w:r>
        <w:rPr>
          <w:rStyle w:val="VerbatimChar"/>
        </w:rPr>
        <w:t xml:space="preserve">ticket.created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message.delivered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connection.revoked</w:t>
      </w:r>
      <w:r>
        <w:t xml:space="preserve">, …) as immutable payloads; subscribers (Automation, SLA, Reporting, Audit, Notifications) consume asynchronously via queued listeners; events are additionally appended to the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 </w:t>
      </w:r>
      <w:r>
        <w:t xml:space="preserve">table for reporting replay (see NFR-07 retention).</w:t>
      </w:r>
      <w:r>
        <w:t xml:space="preserve"> </w:t>
      </w:r>
      <w:r>
        <w:t xml:space="preserve">FR-09 All user-visible strings produced by the platform SHALL pass through the i18n layer (code-registered keys + DB-backed operator-editable translations); a CI check SHALL fail the build on user-visible string literals outside the i18n layer.</w:t>
      </w:r>
      <w:r>
        <w:t xml:space="preserve"> </w:t>
      </w:r>
      <w:r>
        <w:t xml:space="preserve">FR-10 Global reference data (languages, countries, timezones, currencies) SHALL be seeded and versioned; tenants select from it, never define it.</w:t>
      </w:r>
      <w:r>
        <w:t xml:space="preserve"> </w:t>
      </w:r>
      <w:r>
        <w:t xml:space="preserve">FR-11 Every module SHALL register its feature-flag keys with the foundation flag registry (Pennant, tenant-scoped) so Doc 16’s Backoffice can enumerate and toggle them without code knowledge.</w:t>
      </w:r>
    </w:p>
    <w:bookmarkEnd w:id="23"/>
    <w:bookmarkStart w:id="24" w:name="non-functional-requirements"/>
    <w:p>
      <w:pPr>
        <w:pStyle w:val="Heading2"/>
      </w:pPr>
      <w:r>
        <w:t xml:space="preserve">5. Non-functional Requirements</w:t>
      </w:r>
    </w:p>
    <w:p>
      <w:pPr>
        <w:pStyle w:val="FirstParagraph"/>
      </w:pPr>
      <w:r>
        <w:t xml:space="preserve">NFR-01</w:t>
      </w:r>
      <w:r>
        <w:t xml:space="preserve"> </w:t>
      </w:r>
      <w:r>
        <w:rPr>
          <w:bCs/>
          <w:b/>
        </w:rPr>
        <w:t xml:space="preserve">Isolation guarantee:</w:t>
      </w:r>
      <w:r>
        <w:t xml:space="preserve"> </w:t>
      </w:r>
      <w:r>
        <w:t xml:space="preserve">a defect that omits an application-level tenant filter SHALL still be contained by PostgreSQL row-level security (RLS); cross-tenant read or write is a Sev-1 incident class.</w:t>
      </w:r>
      <w:r>
        <w:t xml:space="preserve"> </w:t>
      </w:r>
      <w:r>
        <w:t xml:space="preserve">NFR-02 Tenant resolution overhead ≤ 1 ms p99 (cached key lookups in Redis).</w:t>
      </w:r>
      <w:r>
        <w:t xml:space="preserve"> </w:t>
      </w:r>
      <w:r>
        <w:t xml:space="preserve">NFR-03 Settings read ≤ 0.5 ms p99 from cache; cache invalidation propagated ≤ 2 s across nodes.</w:t>
      </w:r>
      <w:r>
        <w:t xml:space="preserve"> </w:t>
      </w:r>
      <w:r>
        <w:t xml:space="preserve">NFR-04 Event publication SHALL add ≤ 5 ms p99 to the publishing transaction (write to outbox inside the same DB transaction; relay to queue asynchronously — see §10 Transactional Outbox).</w:t>
      </w:r>
      <w:r>
        <w:t xml:space="preserve"> </w:t>
      </w:r>
      <w:r>
        <w:t xml:space="preserve">NFR-05 The platform SHALL survive the loss of any single queue worker, Reverb node, or app node without message loss (at-least-once processing everywhere; idempotent consumers required by convention C-06).</w:t>
      </w:r>
      <w:r>
        <w:t xml:space="preserve"> </w:t>
      </w:r>
      <w:r>
        <w:t xml:space="preserve">NFR-06 Per-tenant quotas enforceable at foundation level: messages/min, AI tokens/day, storage GB, API req/min; exceeding quota returns</w:t>
      </w:r>
      <w:r>
        <w:t xml:space="preserve"> </w:t>
      </w:r>
      <w:r>
        <w:rPr>
          <w:rStyle w:val="VerbatimChar"/>
        </w:rPr>
        <w:t xml:space="preserve">429 quota_exceeded</w:t>
      </w:r>
      <w:r>
        <w:t xml:space="preserve"> </w:t>
      </w:r>
      <w:r>
        <w:t xml:space="preserve">with the quota name, and raises an internal alert at 80%.</w:t>
      </w:r>
      <w:r>
        <w:t xml:space="preserve"> </w:t>
      </w:r>
      <w:r>
        <w:t xml:space="preserve">NFR-07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 </w:t>
      </w:r>
      <w:r>
        <w:t xml:space="preserve">table retention: raw events 13 months (rolling monthly partitions), aggregated forever; retention jobs owned by foundation.</w:t>
      </w:r>
      <w:r>
        <w:t xml:space="preserve"> </w:t>
      </w:r>
      <w:r>
        <w:t xml:space="preserve">NFR-08 All timestamps stored UTC (</w:t>
      </w:r>
      <w:r>
        <w:rPr>
          <w:rStyle w:val="VerbatimChar"/>
        </w:rPr>
        <w:t xml:space="preserve">timestamptz</w:t>
      </w:r>
      <w:r>
        <w:t xml:space="preserve">); tenant display timezone applied at presentation layer only.</w:t>
      </w:r>
    </w:p>
    <w:bookmarkEnd w:id="24"/>
    <w:bookmarkStart w:id="25" w:name="user-stories"/>
    <w:p>
      <w:pPr>
        <w:pStyle w:val="Heading2"/>
      </w:pPr>
      <w:r>
        <w:t xml:space="preserve">6. User Stories</w:t>
      </w:r>
    </w:p>
    <w:p>
      <w:pPr>
        <w:pStyle w:val="FirstParagraph"/>
      </w:pPr>
      <w:r>
        <w:t xml:space="preserve">US-01 As a</w:t>
      </w:r>
      <w:r>
        <w:t xml:space="preserve"> </w:t>
      </w:r>
      <w:r>
        <w:rPr>
          <w:bCs/>
          <w:b/>
        </w:rPr>
        <w:t xml:space="preserve">platform owner</w:t>
      </w:r>
      <w:r>
        <w:t xml:space="preserve">, I can provision a new operator tenant from the platform console and have a working, branded-default instance in under 2 minutes, so onboarding does not need engineers.</w:t>
      </w:r>
      <w:r>
        <w:t xml:space="preserve"> </w:t>
      </w:r>
      <w:r>
        <w:t xml:space="preserve">US-02 As a</w:t>
      </w:r>
      <w:r>
        <w:t xml:space="preserve"> </w:t>
      </w:r>
      <w:r>
        <w:rPr>
          <w:bCs/>
          <w:b/>
        </w:rPr>
        <w:t xml:space="preserve">platform owner</w:t>
      </w:r>
      <w:r>
        <w:t xml:space="preserve">, I can suspend a tenant (non-payment) knowing inbound player messages are still being captured, so reactivation loses nothing.</w:t>
      </w:r>
      <w:r>
        <w:t xml:space="preserve"> </w:t>
      </w:r>
      <w:r>
        <w:t xml:space="preserve">US-03 As an</w:t>
      </w:r>
      <w:r>
        <w:t xml:space="preserve"> </w:t>
      </w:r>
      <w:r>
        <w:rPr>
          <w:bCs/>
          <w:b/>
        </w:rPr>
        <w:t xml:space="preserve">operator admin</w:t>
      </w:r>
      <w:r>
        <w:t xml:space="preserve">, I can change any registered setting from the Backoffice and see it take effect within seconds, without deployments.</w:t>
      </w:r>
      <w:r>
        <w:t xml:space="preserve"> </w:t>
      </w:r>
      <w:r>
        <w:t xml:space="preserve">US-04 As a</w:t>
      </w:r>
      <w:r>
        <w:t xml:space="preserve"> </w:t>
      </w:r>
      <w:r>
        <w:rPr>
          <w:bCs/>
          <w:b/>
        </w:rPr>
        <w:t xml:space="preserve">developer</w:t>
      </w:r>
      <w:r>
        <w:t xml:space="preserve">, I get tenant scoping automatically from the framework layer, so I cannot accidentally query across tenants.</w:t>
      </w:r>
      <w:r>
        <w:t xml:space="preserve"> </w:t>
      </w:r>
      <w:r>
        <w:t xml:space="preserve">US-05 As a</w:t>
      </w:r>
      <w:r>
        <w:t xml:space="preserve"> </w:t>
      </w:r>
      <w:r>
        <w:rPr>
          <w:bCs/>
          <w:b/>
        </w:rPr>
        <w:t xml:space="preserve">QA engineer</w:t>
      </w:r>
      <w:r>
        <w:t xml:space="preserve">, I have a documented isolation test suite (see §18) I can run against any environment to certify tenancy.</w:t>
      </w:r>
      <w:r>
        <w:t xml:space="preserve"> </w:t>
      </w:r>
      <w:r>
        <w:t xml:space="preserve">US-06 As a</w:t>
      </w:r>
      <w:r>
        <w:t xml:space="preserve"> </w:t>
      </w:r>
      <w:r>
        <w:rPr>
          <w:bCs/>
          <w:b/>
        </w:rPr>
        <w:t xml:space="preserve">security engineer</w:t>
      </w:r>
      <w:r>
        <w:t xml:space="preserve">, I can demonstrate to an auditor that isolation is enforced at two independent layers.</w:t>
      </w:r>
    </w:p>
    <w:bookmarkEnd w:id="25"/>
    <w:bookmarkStart w:id="26" w:name="business-rules"/>
    <w:p>
      <w:pPr>
        <w:pStyle w:val="Heading2"/>
      </w:pPr>
      <w:r>
        <w:t xml:space="preserve">7. Business Rules</w:t>
      </w:r>
    </w:p>
    <w:p>
      <w:pPr>
        <w:pStyle w:val="FirstParagraph"/>
      </w:pPr>
      <w:r>
        <w:t xml:space="preserve">BR-01 One tenant = one brand instance. An operator running three brands purchases/receives three tenants; cross-brand reporting is a platform-console concern, never in-tenant.</w:t>
      </w:r>
      <w:r>
        <w:t xml:space="preserve"> </w:t>
      </w:r>
      <w:r>
        <w:t xml:space="preserve">BR-02 Nothing is ever hard-deleted at tenant scope except by the archival/retention jobs; user-initiated</w:t>
      </w:r>
      <w:r>
        <w:t xml:space="preserve"> </w:t>
      </w:r>
      <w:r>
        <w:t xml:space="preserve">“</w:t>
      </w:r>
      <w:r>
        <w:t xml:space="preserve">deletes</w:t>
      </w:r>
      <w:r>
        <w:t xml:space="preserve">”</w:t>
      </w:r>
      <w:r>
        <w:t xml:space="preserve"> </w:t>
      </w:r>
      <w:r>
        <w:t xml:space="preserve">are soft-deletes or state changes (module documents define which).</w:t>
      </w:r>
      <w:r>
        <w:t xml:space="preserve"> </w:t>
      </w:r>
      <w:r>
        <w:t xml:space="preserve">BR-03 Reference data changes (new language, new country) are platform releases, not tenant actions.</w:t>
      </w:r>
      <w:r>
        <w:t xml:space="preserve"> </w:t>
      </w:r>
      <w:r>
        <w:t xml:space="preserve">BR-04 A tenant’s data never leaves its tenant boundary except through the explicit export mechanisms defined in Docs 15 and 17.</w:t>
      </w:r>
      <w:r>
        <w:t xml:space="preserve"> </w:t>
      </w:r>
      <w:r>
        <w:t xml:space="preserve">BR-05 Suspended tenants accrue inbound data ≤ 30 days; beyond that, inbound is still ACKed to channels but stored in cold summary form (count + last message pointer) — prevents unbounded liability from a dead account. Configurable at platform level.</w:t>
      </w:r>
    </w:p>
    <w:bookmarkEnd w:id="26"/>
    <w:bookmarkStart w:id="27" w:name="ux-requirements"/>
    <w:p>
      <w:pPr>
        <w:pStyle w:val="Heading2"/>
      </w:pPr>
      <w:r>
        <w:t xml:space="preserve">8. UX Requirements</w:t>
      </w:r>
    </w:p>
    <w:p>
      <w:pPr>
        <w:pStyle w:val="FirstParagraph"/>
      </w:pPr>
      <w:r>
        <w:t xml:space="preserve">The foundation has three thin UI surfaces (full UI specs live in the owning docs, requirements here are contractual):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Platform console — tenant list &amp; detail</w:t>
      </w:r>
      <w:r>
        <w:t xml:space="preserve"> </w:t>
      </w:r>
      <w:r>
        <w:t xml:space="preserve">(platform owner only): searchable tenant table (name, state, plan flags, created, usage sparkline), create-tenant wizard (name, default language, timezone, region), state controls with typed-name confirmation for suspend/archive, quota panel with edit.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Tenant state banners:</w:t>
      </w:r>
      <w:r>
        <w:t xml:space="preserve"> </w:t>
      </w:r>
      <w:r>
        <w:t xml:space="preserve">suspended tenants show a full-width, non-dismissable banner on any permitted surface; provisioning shows a progress screen with per-step status (created / roles seeded / defaults applied / ready).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Settings surfaces (rendered by Doc 16 Backoffice):</w:t>
      </w:r>
      <w:r>
        <w:t xml:space="preserve"> </w:t>
      </w:r>
      <w:r>
        <w:t xml:space="preserve">foundation defines that every registered setting exposes: label (i18n), description, type-appropriate control, validation error inline,</w:t>
      </w:r>
      <w:r>
        <w:t xml:space="preserve"> </w:t>
      </w:r>
      <w:r>
        <w:t xml:space="preserve">“</w:t>
      </w:r>
      <w:r>
        <w:t xml:space="preserve">changed by X at Y</w:t>
      </w:r>
      <w:r>
        <w:t xml:space="preserve">”</w:t>
      </w:r>
      <w:r>
        <w:t xml:space="preserve"> </w:t>
      </w:r>
      <w:r>
        <w:t xml:space="preserve">provenance line, and reset-to-default.</w:t>
      </w:r>
    </w:p>
    <w:bookmarkEnd w:id="27"/>
    <w:bookmarkStart w:id="28" w:name="ui-requirements"/>
    <w:p>
      <w:pPr>
        <w:pStyle w:val="Heading2"/>
      </w:pPr>
      <w:r>
        <w:t xml:space="preserve">9. UI Requirements</w:t>
      </w:r>
    </w:p>
    <w:p>
      <w:pPr>
        <w:numPr>
          <w:ilvl w:val="0"/>
          <w:numId w:val="1003"/>
        </w:numPr>
        <w:pStyle w:val="Compact"/>
      </w:pPr>
      <w:r>
        <w:t xml:space="preserve">Tenant console uses the platform design system (Doc series design tokens): data table component with virtualized rows, state pills (provisioning=blue, active=green, suspended=amber, archived=gray), destructive confirmations use the typed-name pattern.</w:t>
      </w:r>
    </w:p>
    <w:p>
      <w:pPr>
        <w:numPr>
          <w:ilvl w:val="0"/>
          <w:numId w:val="1003"/>
        </w:numPr>
        <w:pStyle w:val="Compact"/>
      </w:pPr>
      <w:r>
        <w:t xml:space="preserve">Loading: skeleton rows for the tenant table; per-step spinners in provisioning.</w:t>
      </w:r>
    </w:p>
    <w:p>
      <w:pPr>
        <w:numPr>
          <w:ilvl w:val="0"/>
          <w:numId w:val="1003"/>
        </w:numPr>
        <w:pStyle w:val="Compact"/>
      </w:pPr>
      <w:r>
        <w:t xml:space="preserve">Empty state:</w:t>
      </w:r>
      <w:r>
        <w:t xml:space="preserve"> </w:t>
      </w:r>
      <w:r>
        <w:t xml:space="preserve">“</w:t>
      </w:r>
      <w:r>
        <w:t xml:space="preserve">No tenants yet</w:t>
      </w:r>
      <w:r>
        <w:t xml:space="preserve">”</w:t>
      </w:r>
      <w:r>
        <w:t xml:space="preserve"> </w:t>
      </w:r>
      <w:r>
        <w:t xml:space="preserve">+ primary Create action.</w:t>
      </w:r>
    </w:p>
    <w:p>
      <w:pPr>
        <w:numPr>
          <w:ilvl w:val="0"/>
          <w:numId w:val="1003"/>
        </w:numPr>
        <w:pStyle w:val="Compact"/>
      </w:pPr>
      <w:r>
        <w:t xml:space="preserve">Error states: provisioning step failure shows the failed step, error reference id, and Retry (idempotent).</w:t>
      </w:r>
    </w:p>
    <w:p>
      <w:pPr>
        <w:numPr>
          <w:ilvl w:val="0"/>
          <w:numId w:val="1003"/>
        </w:numPr>
        <w:pStyle w:val="Compact"/>
      </w:pPr>
      <w:r>
        <w:t xml:space="preserve">Responsive: console is desktop-first but functional at 768 px (table collapses to cards).</w:t>
      </w:r>
    </w:p>
    <w:bookmarkEnd w:id="28"/>
    <w:bookmarkStart w:id="29" w:name="technical-requirements"/>
    <w:p>
      <w:pPr>
        <w:pStyle w:val="Heading2"/>
      </w:pPr>
      <w:r>
        <w:t xml:space="preserve">10. Technical Requirements</w:t>
      </w:r>
    </w:p>
    <w:p>
      <w:pPr>
        <w:pStyle w:val="FirstParagraph"/>
      </w:pPr>
      <w:r>
        <w:rPr>
          <w:bCs/>
          <w:b/>
        </w:rPr>
        <w:t xml:space="preserve">T-01 Tenancy implementation (two layers):</w:t>
      </w:r>
      <w:r>
        <w:t xml:space="preserve"> </w:t>
      </w:r>
      <w:r>
        <w:t xml:space="preserve">1.</w:t>
      </w:r>
      <w:r>
        <w:t xml:space="preserve"> </w:t>
      </w:r>
      <w:r>
        <w:rPr>
          <w:iCs/>
          <w:i/>
        </w:rPr>
        <w:t xml:space="preserve">Application layer: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BelongsToTenant</w:t>
      </w:r>
      <w:r>
        <w:t xml:space="preserve"> </w:t>
      </w:r>
      <w:r>
        <w:t xml:space="preserve">model trait applying a global Eloquent scope reading tenant id from a request/job-bound</w:t>
      </w:r>
      <w:r>
        <w:t xml:space="preserve"> </w:t>
      </w:r>
      <w:r>
        <w:rPr>
          <w:rStyle w:val="VerbatimChar"/>
        </w:rPr>
        <w:t xml:space="preserve">TenantContext</w:t>
      </w:r>
      <w:r>
        <w:t xml:space="preserve"> </w:t>
      </w:r>
      <w:r>
        <w:t xml:space="preserve">service; model creation auto-fills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; attempting to save with a mismatched tenant id throws.</w:t>
      </w:r>
      <w:r>
        <w:t xml:space="preserve"> </w:t>
      </w:r>
      <w:r>
        <w:t xml:space="preserve">2.</w:t>
      </w:r>
      <w:r>
        <w:t xml:space="preserve"> </w:t>
      </w:r>
      <w:r>
        <w:rPr>
          <w:iCs/>
          <w:i/>
        </w:rPr>
        <w:t xml:space="preserve">Database layer:</w:t>
      </w:r>
      <w:r>
        <w:t xml:space="preserve"> </w:t>
      </w:r>
      <w:r>
        <w:t xml:space="preserve">RLS enabled on every tenant table:</w:t>
      </w:r>
      <w:r>
        <w:t xml:space="preserve"> </w:t>
      </w:r>
      <w:r>
        <w:rPr>
          <w:rStyle w:val="VerbatimChar"/>
        </w:rPr>
        <w:t xml:space="preserve">USING (tenant_id = current_setting('app.tenant_id')::uuid)</w:t>
      </w:r>
      <w:r>
        <w:t xml:space="preserve">; the app sets</w:t>
      </w:r>
      <w:r>
        <w:t xml:space="preserve"> </w:t>
      </w:r>
      <w:r>
        <w:rPr>
          <w:rStyle w:val="VerbatimChar"/>
        </w:rPr>
        <w:t xml:space="preserve">app.tenant_id</w:t>
      </w:r>
      <w:r>
        <w:t xml:space="preserve"> </w:t>
      </w:r>
      <w:r>
        <w:t xml:space="preserve">per connection checkout (and clears on release — Octane persistent connections make this mandatory); a dedicated</w:t>
      </w:r>
      <w:r>
        <w:t xml:space="preserve"> </w:t>
      </w:r>
      <w:r>
        <w:rPr>
          <w:rStyle w:val="VerbatimChar"/>
        </w:rPr>
        <w:t xml:space="preserve">platform_admin</w:t>
      </w:r>
      <w:r>
        <w:t xml:space="preserve"> </w:t>
      </w:r>
      <w:r>
        <w:t xml:space="preserve">DB role bypasses RLS for the platform console and retention jobs only.</w:t>
      </w:r>
    </w:p>
    <w:p>
      <w:pPr>
        <w:pStyle w:val="BodyText"/>
      </w:pPr>
      <w:r>
        <w:rPr>
          <w:bCs/>
          <w:b/>
        </w:rPr>
        <w:t xml:space="preserve">T-02 Identifiers:</w:t>
      </w:r>
      <w:r>
        <w:t xml:space="preserve"> </w:t>
      </w:r>
      <w:r>
        <w:t xml:space="preserve">UUIDv7 primary keys everywhere (time-ordered, index-friendly); human-facing sequences (ticket numbers) implemented as per-tenant counters in a</w:t>
      </w:r>
      <w:r>
        <w:t xml:space="preserve"> </w:t>
      </w:r>
      <w:r>
        <w:rPr>
          <w:rStyle w:val="VerbatimChar"/>
        </w:rPr>
        <w:t xml:space="preserve">tenant_sequences</w:t>
      </w:r>
      <w:r>
        <w:t xml:space="preserve"> </w:t>
      </w:r>
      <w:r>
        <w:t xml:space="preserve">table incremented with</w:t>
      </w:r>
      <w:r>
        <w:t xml:space="preserve"> </w:t>
      </w:r>
      <w:r>
        <w:rPr>
          <w:rStyle w:val="VerbatimChar"/>
        </w:rPr>
        <w:t xml:space="preserve">UPDATE … RETURNING</w:t>
      </w:r>
      <w:r>
        <w:t xml:space="preserve"> </w:t>
      </w:r>
      <w:r>
        <w:t xml:space="preserve">inside the owning transaction.</w:t>
      </w:r>
    </w:p>
    <w:p>
      <w:pPr>
        <w:pStyle w:val="BodyText"/>
      </w:pPr>
      <w:r>
        <w:rPr>
          <w:bCs/>
          <w:b/>
        </w:rPr>
        <w:t xml:space="preserve">T-03 Transactional Outbox:</w:t>
      </w:r>
      <w:r>
        <w:t xml:space="preserve"> </w:t>
      </w:r>
      <w:r>
        <w:t xml:space="preserve">publishing a domain event = inserting into</w:t>
      </w:r>
      <w:r>
        <w:t xml:space="preserve"> </w:t>
      </w:r>
      <w:r>
        <w:rPr>
          <w:rStyle w:val="VerbatimChar"/>
        </w:rPr>
        <w:t xml:space="preserve">outbox</w:t>
      </w:r>
      <w:r>
        <w:t xml:space="preserve"> </w:t>
      </w:r>
      <w:r>
        <w:t xml:space="preserve">within the business transaction; a relay worker (Horizon,</w:t>
      </w:r>
      <w:r>
        <w:t xml:space="preserve"> </w:t>
      </w:r>
      <w:r>
        <w:rPr>
          <w:rStyle w:val="VerbatimChar"/>
        </w:rPr>
        <w:t xml:space="preserve">outbox</w:t>
      </w:r>
      <w:r>
        <w:t xml:space="preserve"> </w:t>
      </w:r>
      <w:r>
        <w:t xml:space="preserve">queue) reads batches, pushes to the event queues, marks relayed; consumers are idempotent on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. This guarantees no event is emitted for a rolled-back write and none is lost after commit.</w:t>
      </w:r>
    </w:p>
    <w:p>
      <w:pPr>
        <w:pStyle w:val="BodyText"/>
      </w:pPr>
      <w:r>
        <w:rPr>
          <w:bCs/>
          <w:b/>
        </w:rPr>
        <w:t xml:space="preserve">T-04 Settings engine:</w:t>
      </w:r>
      <w:r>
        <w:t xml:space="preserve"> </w:t>
      </w:r>
      <w:r>
        <w:rPr>
          <w:rStyle w:val="VerbatimChar"/>
        </w:rPr>
        <w:t xml:space="preserve">settings_registry</w:t>
      </w:r>
      <w:r>
        <w:t xml:space="preserve"> </w:t>
      </w:r>
      <w:r>
        <w:t xml:space="preserve">in code (key, type, default, validation, flag</w:t>
      </w:r>
      <w:r>
        <w:t xml:space="preserve"> </w:t>
      </w:r>
      <w:r>
        <w:rPr>
          <w:rStyle w:val="VerbatimChar"/>
        </w:rPr>
        <w:t xml:space="preserve">tenant_editable</w:t>
      </w:r>
      <w:r>
        <w:t xml:space="preserve">),</w:t>
      </w:r>
      <w:r>
        <w:t xml:space="preserve"> </w:t>
      </w:r>
      <w:r>
        <w:rPr>
          <w:rStyle w:val="VerbatimChar"/>
        </w:rPr>
        <w:t xml:space="preserve">tenant_settings</w:t>
      </w:r>
      <w:r>
        <w:t xml:space="preserve"> </w:t>
      </w:r>
      <w:r>
        <w:t xml:space="preserve">table (tenant_id, key ✱, value jsonb, updated_by); read path: Redis hash per tenant (</w:t>
      </w:r>
      <w:r>
        <w:rPr>
          <w:rStyle w:val="VerbatimChar"/>
        </w:rPr>
        <w:t xml:space="preserve">settings:{tenant}</w:t>
      </w:r>
      <w:r>
        <w:t xml:space="preserve">), write path invalidates + republishes; encrypted-string type stored via Laravel encrypted casts with key rotation support.</w:t>
      </w:r>
    </w:p>
    <w:p>
      <w:pPr>
        <w:pStyle w:val="BodyText"/>
      </w:pPr>
      <w:r>
        <w:rPr>
          <w:bCs/>
          <w:b/>
        </w:rPr>
        <w:t xml:space="preserve">T-05 TenantContext propagation:</w:t>
      </w:r>
      <w:r>
        <w:t xml:space="preserve"> </w:t>
      </w:r>
      <w:r>
        <w:t xml:space="preserve">middleware (HTTP), job middleware (queues — tenant id embedded at dispatch by a Bus pipe), Reverb channel auth callback (sockets), and Artisan command option (CLI); any code path reading models without a bound context throws</w:t>
      </w:r>
      <w:r>
        <w:t xml:space="preserve"> </w:t>
      </w:r>
      <w:r>
        <w:rPr>
          <w:rStyle w:val="VerbatimChar"/>
        </w:rPr>
        <w:t xml:space="preserve">MissingTenantContext</w:t>
      </w:r>
      <w:r>
        <w:t xml:space="preserve"> </w:t>
      </w:r>
      <w:r>
        <w:t xml:space="preserve">in non-platform code.</w:t>
      </w:r>
    </w:p>
    <w:p>
      <w:pPr>
        <w:pStyle w:val="BodyText"/>
      </w:pPr>
      <w:r>
        <w:rPr>
          <w:bCs/>
          <w:b/>
        </w:rPr>
        <w:t xml:space="preserve">T-06 Events table:</w:t>
      </w:r>
      <w:r>
        <w:t xml:space="preserve"> </w:t>
      </w:r>
      <w:r>
        <w:t xml:space="preserve">monthly partitions; columns: id (uuidv7), tenant_id ✱, name ✱, payload jsonb, occurred_at ✱, correlation_id, causation_id; correlation id flows from the originating request through all resulting jobs (log + event stamping) for end-to-end tracing.</w:t>
      </w:r>
    </w:p>
    <w:p>
      <w:pPr>
        <w:pStyle w:val="BodyText"/>
      </w:pPr>
      <w:r>
        <w:rPr>
          <w:bCs/>
          <w:b/>
        </w:rPr>
        <w:t xml:space="preserve">T-07 Error format (all APIs):</w:t>
      </w:r>
      <w:r>
        <w:t xml:space="preserve"> </w:t>
      </w:r>
      <w:r>
        <w:t xml:space="preserve">RFC 9457 problem-details JSON:</w:t>
      </w:r>
      <w:r>
        <w:t xml:space="preserve"> </w:t>
      </w:r>
      <w:r>
        <w:rPr>
          <w:rStyle w:val="VerbatimChar"/>
        </w:rPr>
        <w:t xml:space="preserve">{type, title, status, code, detail, errors{field:[..]}, trace_id}</w:t>
      </w:r>
      <w:r>
        <w:t xml:space="preserve">;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values are stable strings (</w:t>
      </w:r>
      <w:r>
        <w:rPr>
          <w:rStyle w:val="VerbatimChar"/>
        </w:rPr>
        <w:t xml:space="preserve">reply_window_expired</w:t>
      </w:r>
      <w:r>
        <w:t xml:space="preserve">,</w:t>
      </w:r>
      <w:r>
        <w:t xml:space="preserve"> </w:t>
      </w:r>
      <w:r>
        <w:rPr>
          <w:rStyle w:val="VerbatimChar"/>
        </w:rPr>
        <w:t xml:space="preserve">quota_exceeded</w:t>
      </w:r>
      <w:r>
        <w:t xml:space="preserve">, …) registered in a shared enum;</w:t>
      </w:r>
      <w:r>
        <w:t xml:space="preserve"> </w:t>
      </w:r>
      <w:r>
        <w:rPr>
          <w:rStyle w:val="VerbatimChar"/>
        </w:rPr>
        <w:t xml:space="preserve">trace_id</w:t>
      </w:r>
      <w:r>
        <w:t xml:space="preserve"> </w:t>
      </w:r>
      <w:r>
        <w:t xml:space="preserve">matches logs.</w:t>
      </w:r>
    </w:p>
    <w:p>
      <w:pPr>
        <w:pStyle w:val="BodyText"/>
      </w:pPr>
      <w:r>
        <w:rPr>
          <w:bCs/>
          <w:b/>
        </w:rPr>
        <w:t xml:space="preserve">T-08 Pagination convention:</w:t>
      </w:r>
      <w:r>
        <w:t xml:space="preserve"> </w:t>
      </w:r>
      <w:r>
        <w:t xml:space="preserve">cursor-based (</w:t>
      </w:r>
      <w:r>
        <w:rPr>
          <w:rStyle w:val="VerbatimChar"/>
        </w:rPr>
        <w:t xml:space="preserve">cursor</w:t>
      </w:r>
      <w:r>
        <w:t xml:space="preserve">,</w:t>
      </w:r>
      <w:r>
        <w:t xml:space="preserve"> </w:t>
      </w:r>
      <w:r>
        <w:rPr>
          <w:rStyle w:val="VerbatimChar"/>
        </w:rPr>
        <w:t xml:space="preserve">limit ≤ 100</w:t>
      </w:r>
      <w:r>
        <w:t xml:space="preserve">, response</w:t>
      </w:r>
      <w:r>
        <w:t xml:space="preserve"> </w:t>
      </w:r>
      <w:r>
        <w:rPr>
          <w:rStyle w:val="VerbatimChar"/>
        </w:rPr>
        <w:t xml:space="preserve">next_cursor</w:t>
      </w:r>
      <w:r>
        <w:t xml:space="preserve">); offset pagination prohibited on unbounded collections.</w:t>
      </w:r>
    </w:p>
    <w:p>
      <w:pPr>
        <w:pStyle w:val="BodyText"/>
      </w:pPr>
      <w:r>
        <w:rPr>
          <w:bCs/>
          <w:b/>
        </w:rPr>
        <w:t xml:space="preserve">T-09 Caching conventions:</w:t>
      </w:r>
      <w:r>
        <w:t xml:space="preserve"> </w:t>
      </w:r>
      <w:r>
        <w:t xml:space="preserve">every cache key prefixed</w:t>
      </w:r>
      <w:r>
        <w:t xml:space="preserve"> </w:t>
      </w:r>
      <w:r>
        <w:rPr>
          <w:rStyle w:val="VerbatimChar"/>
        </w:rPr>
        <w:t xml:space="preserve">t:{tenant}:</w:t>
      </w:r>
      <w:r>
        <w:t xml:space="preserve">; TTL mandatory; cache never the source of truth; documented invalidation event per cached aggregate.</w:t>
      </w:r>
    </w:p>
    <w:p>
      <w:pPr>
        <w:pStyle w:val="BodyText"/>
      </w:pPr>
      <w:r>
        <w:rPr>
          <w:bCs/>
          <w:b/>
        </w:rPr>
        <w:t xml:space="preserve">T-10 Reference data:</w:t>
      </w:r>
      <w:r>
        <w:t xml:space="preserve"> </w:t>
      </w:r>
      <w:r>
        <w:t xml:space="preserve">seeded tables</w:t>
      </w:r>
      <w:r>
        <w:t xml:space="preserve"> </w:t>
      </w:r>
      <w:r>
        <w:rPr>
          <w:rStyle w:val="VerbatimChar"/>
        </w:rPr>
        <w:t xml:space="preserve">ref_languages</w:t>
      </w:r>
      <w:r>
        <w:t xml:space="preserve">,</w:t>
      </w:r>
      <w:r>
        <w:t xml:space="preserve"> </w:t>
      </w:r>
      <w:r>
        <w:rPr>
          <w:rStyle w:val="VerbatimChar"/>
        </w:rPr>
        <w:t xml:space="preserve">ref_countries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ref_timezones</w:t>
      </w:r>
      <w:r>
        <w:t xml:space="preserve">,</w:t>
      </w:r>
      <w:r>
        <w:t xml:space="preserve"> </w:t>
      </w:r>
      <w:r>
        <w:rPr>
          <w:rStyle w:val="VerbatimChar"/>
        </w:rPr>
        <w:t xml:space="preserve">ref_currencies</w:t>
      </w:r>
      <w:r>
        <w:t xml:space="preserve"> </w:t>
      </w:r>
      <w:r>
        <w:t xml:space="preserve">with platform-versioned migrations.</w:t>
      </w:r>
    </w:p>
    <w:p>
      <w:pPr>
        <w:pStyle w:val="BodyText"/>
      </w:pPr>
      <w:r>
        <w:rPr>
          <w:bCs/>
          <w:b/>
        </w:rPr>
        <w:t xml:space="preserve">Component relationship (text diagram):</w:t>
      </w:r>
    </w:p>
    <w:p>
      <w:pPr>
        <w:pStyle w:val="SourceCode"/>
      </w:pPr>
      <w:r>
        <w:rPr>
          <w:rStyle w:val="VerbatimChar"/>
        </w:rPr>
        <w:t xml:space="preserve">HTTP/Webhook/Socket/CLI entry</w:t>
      </w:r>
      <w:r>
        <w:br/>
      </w:r>
      <w:r>
        <w:rPr>
          <w:rStyle w:val="VerbatimChar"/>
        </w:rPr>
        <w:t xml:space="preserve">  → TenantResolver (key/session → tenant_id)</w:t>
      </w:r>
      <w:r>
        <w:br/>
      </w:r>
      <w:r>
        <w:rPr>
          <w:rStyle w:val="VerbatimChar"/>
        </w:rPr>
        <w:t xml:space="preserve">    → TenantContext (request-bound)</w:t>
      </w:r>
      <w:r>
        <w:br/>
      </w:r>
      <w:r>
        <w:rPr>
          <w:rStyle w:val="VerbatimChar"/>
        </w:rPr>
        <w:t xml:space="preserve">      → [RLS session var set on DB checkout]</w:t>
      </w:r>
      <w:r>
        <w:br/>
      </w:r>
      <w:r>
        <w:rPr>
          <w:rStyle w:val="VerbatimChar"/>
        </w:rPr>
        <w:t xml:space="preserve">      → Domain modules (models auto-scoped)</w:t>
      </w:r>
      <w:r>
        <w:br/>
      </w:r>
      <w:r>
        <w:rPr>
          <w:rStyle w:val="VerbatimChar"/>
        </w:rPr>
        <w:t xml:space="preserve">        → writes + outbox rows (same transaction)</w:t>
      </w:r>
      <w:r>
        <w:br/>
      </w:r>
      <w:r>
        <w:rPr>
          <w:rStyle w:val="VerbatimChar"/>
        </w:rPr>
        <w:t xml:space="preserve">          → Outbox relay → event queues</w:t>
      </w:r>
      <w:r>
        <w:br/>
      </w:r>
      <w:r>
        <w:rPr>
          <w:rStyle w:val="VerbatimChar"/>
        </w:rPr>
        <w:t xml:space="preserve">            → Subscribers: Automation | SLA | Reporting | Audit | Notify</w:t>
      </w:r>
    </w:p>
    <w:bookmarkEnd w:id="29"/>
    <w:bookmarkStart w:id="30" w:name="security-requirements"/>
    <w:p>
      <w:pPr>
        <w:pStyle w:val="Heading2"/>
      </w:pPr>
      <w:r>
        <w:t xml:space="preserve">11. Security Requirements</w:t>
      </w:r>
    </w:p>
    <w:p>
      <w:pPr>
        <w:pStyle w:val="FirstParagraph"/>
      </w:pPr>
      <w:r>
        <w:t xml:space="preserve">SEC-01 RLS is mandatory in all environments including local dev (parity prevents</w:t>
      </w:r>
      <w:r>
        <w:t xml:space="preserve"> </w:t>
      </w:r>
      <w:r>
        <w:t xml:space="preserve">“</w:t>
      </w:r>
      <w:r>
        <w:t xml:space="preserve">works locally</w:t>
      </w:r>
      <w:r>
        <w:t xml:space="preserve">”</w:t>
      </w:r>
      <w:r>
        <w:t xml:space="preserve"> </w:t>
      </w:r>
      <w:r>
        <w:t xml:space="preserve">scope bugs).</w:t>
      </w:r>
      <w:r>
        <w:t xml:space="preserve"> </w:t>
      </w:r>
      <w:r>
        <w:t xml:space="preserve">SEC-02 The</w:t>
      </w:r>
      <w:r>
        <w:t xml:space="preserve"> </w:t>
      </w:r>
      <w:r>
        <w:rPr>
          <w:rStyle w:val="VerbatimChar"/>
        </w:rPr>
        <w:t xml:space="preserve">platform_admin</w:t>
      </w:r>
      <w:r>
        <w:t xml:space="preserve"> </w:t>
      </w:r>
      <w:r>
        <w:t xml:space="preserve">DB role is used only by the platform console service account and retention jobs; its use is logged with actor identity; application tenant traffic can never reach it.</w:t>
      </w:r>
      <w:r>
        <w:t xml:space="preserve"> </w:t>
      </w:r>
      <w:r>
        <w:t xml:space="preserve">SEC-03 Tenant keys (bot keys, widget keys, API keys, gateway keys) are ≥ 128-bit random, stored hashed (SHA-256) with a lookup prefix; plaintext shown once at creation.</w:t>
      </w:r>
      <w:r>
        <w:t xml:space="preserve"> </w:t>
      </w:r>
      <w:r>
        <w:t xml:space="preserve">SEC-04 All secrets (bot tokens, gateway credentials, encryption keys) live in the secrets vault; DB stores vault references; secrets never serialize into jobs, logs, or events.</w:t>
      </w:r>
      <w:r>
        <w:t xml:space="preserve"> </w:t>
      </w:r>
      <w:r>
        <w:t xml:space="preserve">SEC-05 Quota and rate limiting occur before expensive work (auth-cheap paths rate-limited by IP+key).</w:t>
      </w:r>
      <w:r>
        <w:t xml:space="preserve"> </w:t>
      </w:r>
      <w:r>
        <w:t xml:space="preserve">SEC-06 Cross-tenant attempts (mismatched tenant on any lookup) return 404 (not 403) to prevent tenant-existence probing, and increment a security metric.</w:t>
      </w:r>
      <w:r>
        <w:t xml:space="preserve"> </w:t>
      </w:r>
      <w:r>
        <w:t xml:space="preserve">SEC-07 The outbox/event payloads exclude PII beyond ids wherever a subscriber can re-fetch by id (data minimization in transit).</w:t>
      </w:r>
    </w:p>
    <w:bookmarkEnd w:id="30"/>
    <w:bookmarkStart w:id="31" w:name="performance-requirements"/>
    <w:p>
      <w:pPr>
        <w:pStyle w:val="Heading2"/>
      </w:pPr>
      <w:r>
        <w:t xml:space="preserve">12. Performance Requirements</w:t>
      </w:r>
    </w:p>
    <w:p>
      <w:pPr>
        <w:numPr>
          <w:ilvl w:val="0"/>
          <w:numId w:val="1004"/>
        </w:numPr>
        <w:pStyle w:val="Compact"/>
      </w:pPr>
      <w:r>
        <w:t xml:space="preserve">Tenant resolution + context bind: ≤ 1 ms p99 (Redis-cached key→tenant map).</w:t>
      </w:r>
    </w:p>
    <w:p>
      <w:pPr>
        <w:numPr>
          <w:ilvl w:val="0"/>
          <w:numId w:val="1004"/>
        </w:numPr>
        <w:pStyle w:val="Compact"/>
      </w:pPr>
      <w:r>
        <w:t xml:space="preserve">Settings read: ≤ 0.5 ms p99; registry cold-load ≤ 50 ms.</w:t>
      </w:r>
    </w:p>
    <w:p>
      <w:pPr>
        <w:numPr>
          <w:ilvl w:val="0"/>
          <w:numId w:val="1004"/>
        </w:numPr>
        <w:pStyle w:val="Compact"/>
      </w:pPr>
      <w:r>
        <w:t xml:space="preserve">Outbox relay lag: ≤ 2 s p95 under nominal load, ≤ 30 s during 10× burst; alert at 60 s.</w:t>
      </w:r>
    </w:p>
    <w:p>
      <w:pPr>
        <w:numPr>
          <w:ilvl w:val="0"/>
          <w:numId w:val="1004"/>
        </w:numPr>
        <w:pStyle w:val="Compact"/>
      </w:pPr>
      <w:r>
        <w:t xml:space="preserve">Events table insert overhead ≤ 1 ms p99 (partition-local index).</w:t>
      </w:r>
    </w:p>
    <w:p>
      <w:pPr>
        <w:numPr>
          <w:ilvl w:val="0"/>
          <w:numId w:val="1004"/>
        </w:numPr>
        <w:pStyle w:val="Compact"/>
      </w:pPr>
      <w:r>
        <w:t xml:space="preserve">Foundation adds ≤ 3 ms p99 total to a simple authenticated GET.</w:t>
      </w:r>
    </w:p>
    <w:p>
      <w:pPr>
        <w:numPr>
          <w:ilvl w:val="0"/>
          <w:numId w:val="1004"/>
        </w:numPr>
        <w:pStyle w:val="Compact"/>
      </w:pPr>
      <w:r>
        <w:t xml:space="preserve">Capacity target (per deployment): 200 active tenants, 100k conversations/month/tenant peak, 500 concurrent staff, sustained 100 events/s with 10× burst headroom.</w:t>
      </w:r>
    </w:p>
    <w:bookmarkEnd w:id="31"/>
    <w:bookmarkStart w:id="32" w:name="accessibility-requirements"/>
    <w:p>
      <w:pPr>
        <w:pStyle w:val="Heading2"/>
      </w:pPr>
      <w:r>
        <w:t xml:space="preserve">13. Accessibility Requirements</w:t>
      </w:r>
    </w:p>
    <w:p>
      <w:pPr>
        <w:pStyle w:val="FirstParagraph"/>
      </w:pPr>
      <w:r>
        <w:t xml:space="preserve">Platform console and all foundation-rendered banners meet WCAG 2.2 AA: banner contrast ≥ 4.5:1, focus order preserved when banners inject, banners announced via</w:t>
      </w:r>
      <w:r>
        <w:t xml:space="preserve"> </w:t>
      </w:r>
      <w:r>
        <w:rPr>
          <w:rStyle w:val="VerbatimChar"/>
        </w:rPr>
        <w:t xml:space="preserve">role="status"</w:t>
      </w:r>
      <w:r>
        <w:t xml:space="preserve"> </w:t>
      </w:r>
      <w:r>
        <w:t xml:space="preserve">(suspension) — no information conveyed by color alone (state pills carry text), all confirmations keyboard-completable, typed-name confirmation fields properly labeled.</w:t>
      </w:r>
    </w:p>
    <w:bookmarkEnd w:id="32"/>
    <w:bookmarkStart w:id="33" w:name="localization-requirements"/>
    <w:p>
      <w:pPr>
        <w:pStyle w:val="Heading2"/>
      </w:pPr>
      <w:r>
        <w:t xml:space="preserve">14. Localization Requirements</w:t>
      </w:r>
    </w:p>
    <w:p>
      <w:pPr>
        <w:numPr>
          <w:ilvl w:val="0"/>
          <w:numId w:val="1005"/>
        </w:numPr>
        <w:pStyle w:val="Compact"/>
      </w:pPr>
      <w:r>
        <w:t xml:space="preserve">All foundation strings (banners, provisioning steps, error titles) are i18n keys with English + Amharic at launch; fallback chain: user language → tenant default → English.</w:t>
      </w:r>
    </w:p>
    <w:p>
      <w:pPr>
        <w:numPr>
          <w:ilvl w:val="0"/>
          <w:numId w:val="1005"/>
        </w:numPr>
        <w:pStyle w:val="Compact"/>
      </w:pPr>
      <w:r>
        <w:t xml:space="preserve">Dates/numbers formatted per user locale at render; API payloads remain locale-neutral (ISO 8601, decimal point).</w:t>
      </w:r>
    </w:p>
    <w:p>
      <w:pPr>
        <w:numPr>
          <w:ilvl w:val="0"/>
          <w:numId w:val="1005"/>
        </w:numPr>
        <w:pStyle w:val="Compact"/>
      </w:pPr>
      <w:r>
        <w:t xml:space="preserve">The translation manager (Doc 16) can override any foundation string per tenant; missing-translation telemetry recorded per key/language.</w:t>
      </w:r>
    </w:p>
    <w:p>
      <w:pPr>
        <w:numPr>
          <w:ilvl w:val="0"/>
          <w:numId w:val="1005"/>
        </w:numPr>
        <w:pStyle w:val="Compact"/>
      </w:pPr>
      <w:r>
        <w:t xml:space="preserve">RTL-safe markup from day one (logical CSS properties), even though launch languages are LTR.</w:t>
      </w:r>
    </w:p>
    <w:bookmarkEnd w:id="33"/>
    <w:bookmarkStart w:id="34" w:name="edge-cases"/>
    <w:p>
      <w:pPr>
        <w:pStyle w:val="Heading2"/>
      </w:pPr>
      <w:r>
        <w:t xml:space="preserve">15. Edge Cases</w:t>
      </w:r>
    </w:p>
    <w:p>
      <w:pPr>
        <w:pStyle w:val="FirstParagraph"/>
      </w:pPr>
      <w:r>
        <w:t xml:space="preserve">EC-01 Octane connection reuse leaks</w:t>
      </w:r>
      <w:r>
        <w:t xml:space="preserve"> </w:t>
      </w:r>
      <w:r>
        <w:rPr>
          <w:rStyle w:val="VerbatimChar"/>
        </w:rPr>
        <w:t xml:space="preserve">app.tenant_id</w:t>
      </w:r>
      <w:r>
        <w:t xml:space="preserve"> </w:t>
      </w:r>
      <w:r>
        <w:t xml:space="preserve">→ mitigated by set-on-checkout/clear-on-release with a test that asserts the var is empty on a fresh checkout.</w:t>
      </w:r>
      <w:r>
        <w:t xml:space="preserve"> </w:t>
      </w:r>
      <w:r>
        <w:t xml:space="preserve">EC-02 Job dispatched inside a transaction that rolls back → events unaffected (outbox), but plain jobs must use</w:t>
      </w:r>
      <w:r>
        <w:t xml:space="preserve"> </w:t>
      </w:r>
      <w:r>
        <w:rPr>
          <w:rStyle w:val="VerbatimChar"/>
        </w:rPr>
        <w:t xml:space="preserve">afterCommit</w:t>
      </w:r>
      <w:r>
        <w:t xml:space="preserve"> </w:t>
      </w:r>
      <w:r>
        <w:t xml:space="preserve">dispatching; convention C-06 makes</w:t>
      </w:r>
      <w:r>
        <w:t xml:space="preserve"> </w:t>
      </w:r>
      <w:r>
        <w:rPr>
          <w:rStyle w:val="VerbatimChar"/>
        </w:rPr>
        <w:t xml:space="preserve">afterCommit</w:t>
      </w:r>
      <w:r>
        <w:t xml:space="preserve"> </w:t>
      </w:r>
      <w:r>
        <w:t xml:space="preserve">the default bus configuration.</w:t>
      </w:r>
      <w:r>
        <w:t xml:space="preserve"> </w:t>
      </w:r>
      <w:r>
        <w:t xml:space="preserve">EC-03 Tenant suspended while staff sessions active → next request hits state middleware, session invalidated, banner login screen.</w:t>
      </w:r>
      <w:r>
        <w:t xml:space="preserve"> </w:t>
      </w:r>
      <w:r>
        <w:t xml:space="preserve">EC-04 Tenant suspended mid-provisioning → provisioning job checks state between steps; halts cleanly, resumable.</w:t>
      </w:r>
      <w:r>
        <w:t xml:space="preserve"> </w:t>
      </w:r>
      <w:r>
        <w:t xml:space="preserve">EC-05 Duplicate provisioning trigger (double-click, retry) → idempotency key = tenant id + step; safe.</w:t>
      </w:r>
      <w:r>
        <w:t xml:space="preserve"> </w:t>
      </w:r>
      <w:r>
        <w:t xml:space="preserve">EC-06 Settings write race (two admins) → last-write-wins with both writes audited and a conflict toast to the loser (compare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optimistic check).</w:t>
      </w:r>
      <w:r>
        <w:t xml:space="preserve"> </w:t>
      </w:r>
      <w:r>
        <w:t xml:space="preserve">EC-07 Reference data version skew during deploy (old nodes + new seed) → additive-only seeds within a release; removals require two-release deprecation.</w:t>
      </w:r>
      <w:r>
        <w:t xml:space="preserve"> </w:t>
      </w:r>
      <w:r>
        <w:t xml:space="preserve">EC-08 Clock skew across nodes → all ordering decisions use DB time or UUIDv7 monotonicity, never app-server wall clocks.</w:t>
      </w:r>
      <w:r>
        <w:t xml:space="preserve"> </w:t>
      </w:r>
      <w:r>
        <w:t xml:space="preserve">EC-09 A tenant’s quota lowered below current usage → no destructive action; writes above quota blocked going forward, alert raised, grace policy configurable.</w:t>
      </w:r>
      <w:r>
        <w:t xml:space="preserve"> </w:t>
      </w:r>
      <w:r>
        <w:t xml:space="preserve">EC-10 Partition maintenance failure (month rollover) → pre-created partitions 3 months ahead; monitor asserts future partitions exist.</w:t>
      </w:r>
    </w:p>
    <w:bookmarkEnd w:id="34"/>
    <w:bookmarkStart w:id="35" w:name="failure-scenarios"/>
    <w:p>
      <w:pPr>
        <w:pStyle w:val="Heading2"/>
      </w:pPr>
      <w:r>
        <w:t xml:space="preserve">16. Failure Scenarios</w:t>
      </w:r>
    </w:p>
    <w:p>
      <w:pPr>
        <w:pStyle w:val="FirstParagraph"/>
      </w:pPr>
      <w:r>
        <w:t xml:space="preserve">FS-01</w:t>
      </w:r>
      <w:r>
        <w:t xml:space="preserve"> </w:t>
      </w:r>
      <w:r>
        <w:rPr>
          <w:bCs/>
          <w:b/>
        </w:rPr>
        <w:t xml:space="preserve">Redis unavailable:</w:t>
      </w:r>
      <w:r>
        <w:t xml:space="preserve"> </w:t>
      </w:r>
      <w:r>
        <w:t xml:space="preserve">settings fall back to DB reads (degraded latency, logged); rate limits fail-open for staff traffic but fail-closed for public ingestion (bounded queue); presence/realtime degrade per Doc 07’s poll fallback. Recovery: cache warm on reconnect.</w:t>
      </w:r>
      <w:r>
        <w:t xml:space="preserve"> </w:t>
      </w:r>
      <w:r>
        <w:t xml:space="preserve">FS-02</w:t>
      </w:r>
      <w:r>
        <w:t xml:space="preserve"> </w:t>
      </w:r>
      <w:r>
        <w:rPr>
          <w:bCs/>
          <w:b/>
        </w:rPr>
        <w:t xml:space="preserve">Outbox relay down:</w:t>
      </w:r>
      <w:r>
        <w:t xml:space="preserve"> </w:t>
      </w:r>
      <w:r>
        <w:t xml:space="preserve">business writes unaffected; events accumulate; alert at lag threshold; relay resumes from last relayed id — no loss, no duplication (consumer idempotency).</w:t>
      </w:r>
      <w:r>
        <w:t xml:space="preserve"> </w:t>
      </w:r>
      <w:r>
        <w:t xml:space="preserve">FS-03</w:t>
      </w:r>
      <w:r>
        <w:t xml:space="preserve"> </w:t>
      </w:r>
      <w:r>
        <w:rPr>
          <w:bCs/>
          <w:b/>
        </w:rPr>
        <w:t xml:space="preserve">RLS misconfiguration detected</w:t>
      </w:r>
      <w:r>
        <w:t xml:space="preserve"> </w:t>
      </w:r>
      <w:r>
        <w:t xml:space="preserve">(isolation test failure in prod smoke): automatic block of deploy promotion; runbook: enable emergency read-only mode flag while diagnosing.</w:t>
      </w:r>
      <w:r>
        <w:t xml:space="preserve"> </w:t>
      </w:r>
      <w:r>
        <w:t xml:space="preserve">FS-04</w:t>
      </w:r>
      <w:r>
        <w:t xml:space="preserve"> </w:t>
      </w:r>
      <w:r>
        <w:rPr>
          <w:bCs/>
          <w:b/>
        </w:rPr>
        <w:t xml:space="preserve">Provisioning step failure</w:t>
      </w:r>
      <w:r>
        <w:t xml:space="preserve"> </w:t>
      </w:r>
      <w:r>
        <w:t xml:space="preserve">(e.g., KB seed): tenant remains</w:t>
      </w:r>
      <w:r>
        <w:t xml:space="preserve"> </w:t>
      </w:r>
      <w:r>
        <w:rPr>
          <w:rStyle w:val="VerbatimChar"/>
        </w:rPr>
        <w:t xml:space="preserve">provisioning</w:t>
      </w:r>
      <w:r>
        <w:t xml:space="preserve">, step marked failed with error ref, retry idempotent; tenant never partially</w:t>
      </w:r>
      <w:r>
        <w:t xml:space="preserve"> </w:t>
      </w:r>
      <w:r>
        <w:t xml:space="preserve">“</w:t>
      </w:r>
      <w:r>
        <w:t xml:space="preserve">active</w:t>
      </w:r>
      <w:r>
        <w:t xml:space="preserve">”</w:t>
      </w:r>
      <w:r>
        <w:t xml:space="preserve">.</w:t>
      </w:r>
      <w:r>
        <w:t xml:space="preserve"> </w:t>
      </w:r>
      <w:r>
        <w:t xml:space="preserve">FS-05</w:t>
      </w:r>
      <w:r>
        <w:t xml:space="preserve"> </w:t>
      </w:r>
      <w:r>
        <w:rPr>
          <w:bCs/>
          <w:b/>
        </w:rPr>
        <w:t xml:space="preserve">Quota counter corruption:</w:t>
      </w:r>
      <w:r>
        <w:t xml:space="preserve"> </w:t>
      </w:r>
      <w:r>
        <w:t xml:space="preserve">counters are Redis with periodic DB reconciliation; reconciliation job repairs drift and logs deltas.</w:t>
      </w:r>
    </w:p>
    <w:bookmarkEnd w:id="35"/>
    <w:bookmarkStart w:id="36" w:name="success-scenarios"/>
    <w:p>
      <w:pPr>
        <w:pStyle w:val="Heading2"/>
      </w:pPr>
      <w:r>
        <w:t xml:space="preserve">17. Success Scenarios</w:t>
      </w:r>
    </w:p>
    <w:p>
      <w:pPr>
        <w:pStyle w:val="FirstParagraph"/>
      </w:pPr>
      <w:r>
        <w:t xml:space="preserve">SS-01 New tenant provisioned end-to-end in ≤ 2 min; all defaults present; audit trail complete.</w:t>
      </w:r>
      <w:r>
        <w:t xml:space="preserve"> </w:t>
      </w:r>
      <w:r>
        <w:t xml:space="preserve">SS-02 A deliberate cross-tenant query in a code review exercise is blocked by both scope and RLS in the isolation suite.</w:t>
      </w:r>
      <w:r>
        <w:t xml:space="preserve"> </w:t>
      </w:r>
      <w:r>
        <w:t xml:space="preserve">SS-03 A settings change propagates to a running agent session within 2 s without reload.</w:t>
      </w:r>
      <w:r>
        <w:t xml:space="preserve"> </w:t>
      </w:r>
      <w:r>
        <w:t xml:space="preserve">SS-04 During a 10× Telegram burst, event lag stays under alert threshold and no consumer processes an event twice with side effects.</w:t>
      </w:r>
    </w:p>
    <w:bookmarkEnd w:id="36"/>
    <w:bookmarkStart w:id="37" w:name="acceptance-criteria-qa-executable"/>
    <w:p>
      <w:pPr>
        <w:pStyle w:val="Heading2"/>
      </w:pPr>
      <w:r>
        <w:t xml:space="preserve">18. Acceptance Criteria (QA-executable)</w:t>
      </w:r>
    </w:p>
    <w:p>
      <w:pPr>
        <w:pStyle w:val="FirstParagraph"/>
      </w:pPr>
      <w:r>
        <w:t xml:space="preserve">AC-01 Isolation suite: for every tenant-scoped table, an automated test authenticates as tenant A and attempts read/write of a tenant B row via every public endpoint touching that table → expect 404/none; direct SQL as app role with A’s context selecting B’s rows → 0 rows.</w:t>
      </w:r>
      <w:r>
        <w:t xml:space="preserve"> </w:t>
      </w:r>
      <w:r>
        <w:t xml:space="preserve">AC-02 Fuzz test: 500 requests with forged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in body/query/header → zero effect on resolution (proven by trace ids).</w:t>
      </w:r>
      <w:r>
        <w:t xml:space="preserve"> </w:t>
      </w:r>
      <w:r>
        <w:t xml:space="preserve">AC-03 Kill each worker class mid-burst → no lost tickets/messages/events after drain (counts reconcile).</w:t>
      </w:r>
      <w:r>
        <w:t xml:space="preserve"> </w:t>
      </w:r>
      <w:r>
        <w:t xml:space="preserve">AC-04 Outbox chaos test: crash relay between DB commit and queue push → event still delivered exactly-once-in-effect.</w:t>
      </w:r>
      <w:r>
        <w:t xml:space="preserve"> </w:t>
      </w:r>
      <w:r>
        <w:t xml:space="preserve">AC-05 Provisioning executed twice concurrently → single consistent tenant.</w:t>
      </w:r>
      <w:r>
        <w:t xml:space="preserve"> </w:t>
      </w:r>
      <w:r>
        <w:t xml:space="preserve">AC-06 All foundation strings render in Amharic with no key leakage (</w:t>
      </w:r>
      <w:r>
        <w:rPr>
          <w:rStyle w:val="VerbatimChar"/>
        </w:rPr>
        <w:t xml:space="preserve">missing.translation</w:t>
      </w:r>
      <w:r>
        <w:t xml:space="preserve"> </w:t>
      </w:r>
      <w:r>
        <w:t xml:space="preserve">telemetry = 0 for shipped keys).</w:t>
      </w:r>
      <w:r>
        <w:t xml:space="preserve"> </w:t>
      </w:r>
      <w:r>
        <w:t xml:space="preserve">AC-07 p99 latency budget (§12) verified under load profile L1 (defined in Doc 19) with dashboards as evidence.</w:t>
      </w:r>
      <w:r>
        <w:t xml:space="preserve"> </w:t>
      </w:r>
      <w:r>
        <w:t xml:space="preserve">AC-08 Suspended-tenant matrix: every entry surface (staff login, API, webhook, widget, DLR) behaves per FR-05.</w:t>
      </w:r>
    </w:p>
    <w:bookmarkEnd w:id="37"/>
    <w:bookmarkStart w:id="38" w:name="future-expansion"/>
    <w:p>
      <w:pPr>
        <w:pStyle w:val="Heading2"/>
      </w:pPr>
      <w:r>
        <w:t xml:space="preserve">19. Future Expansion</w:t>
      </w:r>
    </w:p>
    <w:p>
      <w:pPr>
        <w:numPr>
          <w:ilvl w:val="0"/>
          <w:numId w:val="1006"/>
        </w:numPr>
        <w:pStyle w:val="Compact"/>
      </w:pPr>
      <w:r>
        <w:t xml:space="preserve">Region-sharded deployments (tenant pinned to region) — the tenant record already carries</w:t>
      </w:r>
      <w:r>
        <w:t xml:space="preserve"> </w:t>
      </w:r>
      <w:r>
        <w:rPr>
          <w:rStyle w:val="VerbatimChar"/>
        </w:rPr>
        <w:t xml:space="preserve">region</w:t>
      </w:r>
      <w:r>
        <w:t xml:space="preserve">; routing layer added later.</w:t>
      </w:r>
    </w:p>
    <w:p>
      <w:pPr>
        <w:numPr>
          <w:ilvl w:val="0"/>
          <w:numId w:val="1006"/>
        </w:numPr>
        <w:pStyle w:val="Compact"/>
      </w:pPr>
      <w:r>
        <w:t xml:space="preserve">Database-per-tenant for contractual isolation tiers — the RLS + scope design means only connection resolution changes.</w:t>
      </w:r>
    </w:p>
    <w:p>
      <w:pPr>
        <w:numPr>
          <w:ilvl w:val="0"/>
          <w:numId w:val="1006"/>
        </w:numPr>
        <w:pStyle w:val="Compact"/>
      </w:pPr>
      <w:r>
        <w:t xml:space="preserve">Platform-level cross-tenant analytics warehouse (consented, anonymized) fed by the same event stream.</w:t>
      </w:r>
    </w:p>
    <w:p>
      <w:pPr>
        <w:numPr>
          <w:ilvl w:val="0"/>
          <w:numId w:val="1006"/>
        </w:numPr>
        <w:pStyle w:val="Compact"/>
      </w:pPr>
      <w:r>
        <w:t xml:space="preserve">Tenant self-service signup with billing integration (states already model it:</w:t>
      </w:r>
      <w:r>
        <w:t xml:space="preserve"> </w:t>
      </w:r>
      <w:r>
        <w:rPr>
          <w:rStyle w:val="VerbatimChar"/>
        </w:rPr>
        <w:t xml:space="preserve">provisioning</w:t>
      </w:r>
      <w:r>
        <w:t xml:space="preserve"> </w:t>
      </w:r>
      <w:r>
        <w:t xml:space="preserve">gains a</w:t>
      </w:r>
      <w:r>
        <w:t xml:space="preserve"> </w:t>
      </w:r>
      <w:r>
        <w:rPr>
          <w:rStyle w:val="VerbatimChar"/>
        </w:rPr>
        <w:t xml:space="preserve">pending_payment</w:t>
      </w:r>
      <w:r>
        <w:t xml:space="preserve"> </w:t>
      </w:r>
      <w:r>
        <w:t xml:space="preserve">predecessor).</w:t>
      </w:r>
    </w:p>
    <w:bookmarkEnd w:id="38"/>
    <w:bookmarkStart w:id="39" w:name="risks"/>
    <w:p>
      <w:pPr>
        <w:pStyle w:val="Heading2"/>
      </w:pPr>
      <w:r>
        <w:t xml:space="preserve">20. Risks</w:t>
      </w:r>
    </w:p>
    <w:p>
      <w:pPr>
        <w:pStyle w:val="FirstParagraph"/>
      </w:pPr>
      <w:r>
        <w:t xml:space="preserve">R-01</w:t>
      </w:r>
      <w:r>
        <w:t xml:space="preserve"> </w:t>
      </w:r>
      <w:r>
        <w:rPr>
          <w:iCs/>
          <w:i/>
        </w:rPr>
        <w:t xml:space="preserve">RLS session-variable misuse under Octane</w:t>
      </w:r>
      <w:r>
        <w:t xml:space="preserve"> </w:t>
      </w:r>
      <w:r>
        <w:t xml:space="preserve">(High impact / Medium likelihood) → mitigations: checkout hooks, dedicated tests (EC-01), staging parity.</w:t>
      </w:r>
      <w:r>
        <w:t xml:space="preserve"> </w:t>
      </w:r>
      <w:r>
        <w:t xml:space="preserve">R-02</w:t>
      </w:r>
      <w:r>
        <w:t xml:space="preserve"> </w:t>
      </w:r>
      <w:r>
        <w:rPr>
          <w:iCs/>
          <w:i/>
        </w:rPr>
        <w:t xml:space="preserve">Event bus becomes implicit coupling</w:t>
      </w:r>
      <w:r>
        <w:t xml:space="preserve"> </w:t>
      </w:r>
      <w:r>
        <w:t xml:space="preserve">(Medium/Medium) → schema-versioned event payloads; consumer contract tests in CI.</w:t>
      </w:r>
      <w:r>
        <w:t xml:space="preserve"> </w:t>
      </w:r>
      <w:r>
        <w:t xml:space="preserve">R-03</w:t>
      </w:r>
      <w:r>
        <w:t xml:space="preserve"> </w:t>
      </w:r>
      <w:r>
        <w:rPr>
          <w:iCs/>
          <w:i/>
        </w:rPr>
        <w:t xml:space="preserve">Settings sprawl</w:t>
      </w:r>
      <w:r>
        <w:t xml:space="preserve"> </w:t>
      </w:r>
      <w:r>
        <w:t xml:space="preserve">(Medium/High) → registry review gate: new keys require doc-owner sign-off; unused-key telemetry.</w:t>
      </w:r>
      <w:r>
        <w:t xml:space="preserve"> </w:t>
      </w:r>
      <w:r>
        <w:t xml:space="preserve">R-04</w:t>
      </w:r>
      <w:r>
        <w:t xml:space="preserve"> </w:t>
      </w:r>
      <w:r>
        <w:rPr>
          <w:iCs/>
          <w:i/>
        </w:rPr>
        <w:t xml:space="preserve">Quota disputes with operators</w:t>
      </w:r>
      <w:r>
        <w:t xml:space="preserve"> </w:t>
      </w:r>
      <w:r>
        <w:t xml:space="preserve">(Low/Medium) → usage APIs + 80% alerts give transparency before enforcement.</w:t>
      </w:r>
      <w:r>
        <w:t xml:space="preserve"> </w:t>
      </w:r>
      <w:r>
        <w:t xml:space="preserve">R-05</w:t>
      </w:r>
      <w:r>
        <w:t xml:space="preserve"> </w:t>
      </w:r>
      <w:r>
        <w:rPr>
          <w:iCs/>
          <w:i/>
        </w:rPr>
        <w:t xml:space="preserve">Partitioned tables complicate ORMs</w:t>
      </w:r>
      <w:r>
        <w:t xml:space="preserve"> </w:t>
      </w:r>
      <w:r>
        <w:t xml:space="preserve">(Medium/Low) → partitioning only on append-only tables (messages, events, audit) accessed via repositories, not ad-hoc Eloquent.</w:t>
      </w:r>
    </w:p>
    <w:bookmarkEnd w:id="39"/>
    <w:bookmarkStart w:id="40" w:name="recommendations"/>
    <w:p>
      <w:pPr>
        <w:pStyle w:val="Heading2"/>
      </w:pPr>
      <w:r>
        <w:t xml:space="preserve">21. Recommendations</w:t>
      </w:r>
    </w:p>
    <w:p>
      <w:pPr>
        <w:numPr>
          <w:ilvl w:val="0"/>
          <w:numId w:val="1007"/>
        </w:numPr>
        <w:pStyle w:val="Compact"/>
      </w:pPr>
      <w:r>
        <w:t xml:space="preserve">Build T-01…T-05 as the first sprint of the entire project and freeze their interfaces; every other team builds on them in parallel from week 2.</w:t>
      </w:r>
    </w:p>
    <w:p>
      <w:pPr>
        <w:numPr>
          <w:ilvl w:val="0"/>
          <w:numId w:val="1007"/>
        </w:numPr>
        <w:pStyle w:val="Compact"/>
      </w:pPr>
      <w:r>
        <w:t xml:space="preserve">Treat the isolation suite (AC-01/02) as a deploy gate from the very first environment — retrofit certainty is impossible.</w:t>
      </w:r>
    </w:p>
    <w:p>
      <w:pPr>
        <w:numPr>
          <w:ilvl w:val="0"/>
          <w:numId w:val="1007"/>
        </w:numPr>
        <w:pStyle w:val="Compact"/>
      </w:pPr>
      <w:r>
        <w:t xml:space="preserve">Adopt the outbox pattern now even though it feels heavy at MVP scale; it is the difference between</w:t>
      </w:r>
      <w:r>
        <w:t xml:space="preserve"> </w:t>
      </w:r>
      <w:r>
        <w:t xml:space="preserve">“</w:t>
      </w:r>
      <w:r>
        <w:t xml:space="preserve">reporting is eventually right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reporting is quietly wrong.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Keep the platform console deliberately minimal — it is internal tooling; invest UI effort in the operator-facing Backoffice (Doc 16).</w:t>
      </w:r>
    </w:p>
    <w:p>
      <w:pPr>
        <w:numPr>
          <w:ilvl w:val="0"/>
          <w:numId w:val="1007"/>
        </w:numPr>
        <w:pStyle w:val="Compact"/>
      </w:pPr>
      <w:r>
        <w:t xml:space="preserve">Document every published event in a living catalog (name, payload schema, producers, consumers) checked in CI — this catalog becomes the integration contract for Docs 04–17.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Document 01. Next in series: Document 02 — Authentication, Sessions &amp; Security Core.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2026-07-26T18:23:21Z</dcterms:created>
  <dcterms:modified xsi:type="dcterms:W3CDTF">2026-07-26T18:23:21Z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