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9" w:name="document-08-customer-profiles-identity"/>
    <w:p>
      <w:pPr>
        <w:pStyle w:val="Heading1"/>
      </w:pPr>
      <w:r>
        <w:t xml:space="preserve">Document 08 — Customer Profiles &amp; Identity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08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QA, product, compliance, operator admins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(tenancy, events), Doc 03 (permissions</w:t>
      </w:r>
      <w:r>
        <w:t xml:space="preserve"> </w:t>
      </w:r>
      <w:r>
        <w:rPr>
          <w:rStyle w:val="VerbatimChar"/>
        </w:rPr>
        <w:t xml:space="preserve">customers.*</w:t>
      </w:r>
      <w:r>
        <w:t xml:space="preserve">), Doc 04 (identity-resolver call point, conversations), Doc 05 (Telegram identities, owner-phone attribution), Doc 06 (ticket linkage). Consumed by: Doc 07 (Customer panel slot), Doc 09 (AI context), Doc 11 (VIP routing), Doc 13 (visitor identity), Doc 14 (phone for SMS), Doc 15 (customer reports), Doc 17 (export/erasure).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Laravel, PostgreSQL, Meilisearch (directory), Redis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customer domain: the Customer record built</w:t>
      </w:r>
      <w:r>
        <w:t xml:space="preserve"> </w:t>
      </w:r>
      <w:r>
        <w:rPr>
          <w:bCs/>
          <w:b/>
        </w:rPr>
        <w:t xml:space="preserve">entirely from support interactions</w:t>
      </w:r>
      <w:r>
        <w:t xml:space="preserve"> </w:t>
      </w:r>
      <w:r>
        <w:t xml:space="preserve">(the platform has no betting-platform API), the identity model (Telegram, web visitor, phone, email) with its resolver — the function Doc 04’s inbound pipeline calls on every message — shell-profile creation, staff identity linking/unlinking, the customer</w:t>
      </w:r>
      <w:r>
        <w:t xml:space="preserve"> </w:t>
      </w:r>
      <w:r>
        <w:rPr>
          <w:bCs/>
          <w:b/>
        </w:rPr>
        <w:t xml:space="preserve">merge</w:t>
      </w:r>
      <w:r>
        <w:t xml:space="preserve"> </w:t>
      </w:r>
      <w:r>
        <w:t xml:space="preserve">operation with a 30-day reversal window, profile data (contact fields, optional staff-collected betting fields, tags, notes, language, country), the customer directory with scope-correct search, blocking, the</w:t>
      </w:r>
      <w:r>
        <w:t xml:space="preserve"> </w:t>
      </w:r>
      <w:r>
        <w:rPr>
          <w:bCs/>
          <w:b/>
        </w:rPr>
        <w:t xml:space="preserve">Responsible Gaming flag</w:t>
      </w:r>
      <w:r>
        <w:t xml:space="preserve"> </w:t>
      </w:r>
      <w:r>
        <w:t xml:space="preserve">with its restricted visibility rules, satisfaction and interaction history, files gallery, and the export/erasure hooks Doc 17 consumes. Per explicit operator policy, the platform performs</w:t>
      </w:r>
      <w:r>
        <w:t xml:space="preserve"> </w:t>
      </w:r>
      <w:r>
        <w:rPr>
          <w:bCs/>
          <w:b/>
        </w:rPr>
        <w:t xml:space="preserve">no identity verification</w:t>
      </w:r>
      <w:r>
        <w:t xml:space="preserve">: anyone may contact support on behalf of another player; profiles record who contacted and what was claimed. Identity fields are informational; the control point for money-moving actions is the operator’s own betting backoffice, and the UI language throughout says</w:t>
      </w:r>
      <w:r>
        <w:t xml:space="preserve"> </w:t>
      </w:r>
      <w:r>
        <w:t xml:space="preserve">“</w:t>
      </w:r>
      <w:r>
        <w:t xml:space="preserve">staff-collected,</w:t>
      </w:r>
      <w:r>
        <w:t xml:space="preserve">”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verified.</w:t>
      </w:r>
      <w:r>
        <w:t xml:space="preserve">”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Define the identity resolver contract (Doc 04 FR-10 step 3) exactly: input, matching order, shell creation, outputs, and idempotency.</w:t>
      </w:r>
    </w:p>
    <w:p>
      <w:pPr>
        <w:numPr>
          <w:ilvl w:val="0"/>
          <w:numId w:val="1001"/>
        </w:numPr>
        <w:pStyle w:val="Compact"/>
      </w:pPr>
      <w:r>
        <w:t xml:space="preserve">Specify a profile that maximizes agent context while honestly representing its provenance (everything is claimed or staff-collected).</w:t>
      </w:r>
    </w:p>
    <w:p>
      <w:pPr>
        <w:numPr>
          <w:ilvl w:val="0"/>
          <w:numId w:val="1001"/>
        </w:numPr>
        <w:pStyle w:val="Compact"/>
      </w:pPr>
      <w:r>
        <w:t xml:space="preserve">Specify merge/unlink operations safely enough for daily use in a market where players share phones and change Telegram usernames.</w:t>
      </w:r>
    </w:p>
    <w:p>
      <w:pPr>
        <w:numPr>
          <w:ilvl w:val="0"/>
          <w:numId w:val="1001"/>
        </w:numPr>
        <w:pStyle w:val="Compact"/>
      </w:pPr>
      <w:r>
        <w:t xml:space="preserve">Define RG-flag handling with visibility restricted by permission, given its sensitivity.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customer model &amp; lifecycle; identity types &amp; registry; the resolver; shell profiles; linking/unlinking identities; customer merge &amp; reversal; profile fields incl. betting fields policy; notes; tags; language/country; blocking (customer-level vs conversation-level interplay); RG flag; satisfaction &amp; interaction rollups; files gallery; directory &amp; search; the Doc 07 Customer-panel contract; export/erasure hooks; events.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conversation mechanics (Doc 04); RG</w:t>
      </w:r>
      <w:r>
        <w:t xml:space="preserve"> </w:t>
      </w:r>
      <w:r>
        <w:rPr>
          <w:iCs/>
          <w:i/>
        </w:rPr>
        <w:t xml:space="preserve">detection</w:t>
      </w:r>
      <w:r>
        <w:t xml:space="preserve"> </w:t>
      </w:r>
      <w:r>
        <w:t xml:space="preserve">(Doc 09) and RG queue routing (Doc 11) — this doc owns the flag’s storage/visibility only; CSAT capture (Doc 12); erasure approval workflow (Doc 17); marketing/consent management (not in product).</w:t>
      </w:r>
    </w:p>
    <w:bookmarkEnd w:id="22"/>
    <w:bookmarkStart w:id="31" w:name="functional-requirements"/>
    <w:p>
      <w:pPr>
        <w:pStyle w:val="Heading2"/>
      </w:pPr>
      <w:r>
        <w:t xml:space="preserve">4. Functional Requirements</w:t>
      </w:r>
    </w:p>
    <w:bookmarkStart w:id="23" w:name="customer-model-lifecycle"/>
    <w:p>
      <w:pPr>
        <w:pStyle w:val="Heading3"/>
      </w:pPr>
      <w:r>
        <w:t xml:space="preserve">4.1 Customer model &amp; lifecycle</w:t>
      </w:r>
    </w:p>
    <w:p>
      <w:pPr>
        <w:pStyle w:val="FirstParagraph"/>
      </w:pPr>
      <w:r>
        <w:t xml:space="preserve">FR-01 Fields (per Doc 01 schema + normative additions): display_name (derived: first non-empty of staff-set name → Telegram first+last → username →</w:t>
      </w:r>
      <w:r>
        <w:t xml:space="preserve"> </w:t>
      </w:r>
      <w:r>
        <w:t xml:space="preserve">“</w:t>
      </w:r>
      <w:r>
        <w:t xml:space="preserve">Customer #short-id</w:t>
      </w:r>
      <w:r>
        <w:t xml:space="preserve">”</w:t>
      </w:r>
      <w:r>
        <w:t xml:space="preserve">), language (detected latest, staff-overridable with</w:t>
      </w:r>
      <w:r>
        <w:t xml:space="preserve"> </w:t>
      </w:r>
      <w:r>
        <w:rPr>
          <w:rStyle w:val="VerbatimChar"/>
        </w:rPr>
        <w:t xml:space="preserve">language_source=staff</w:t>
      </w:r>
      <w:r>
        <w:t xml:space="preserve"> </w:t>
      </w:r>
      <w:r>
        <w:t xml:space="preserve">sticky), country (staff-set or GeoIP-hinted for web, marked by source), tags text[], rg_flag (bool + set_by/at/reason, restricted — §4.6), blocked (bool + reason), merged_into_id, custom fields (Doc 12 definitions with entity=customer), created_source (telegram|webchat|staff|api).</w:t>
      </w:r>
      <w:r>
        <w:t xml:space="preserve"> </w:t>
      </w:r>
      <w:r>
        <w:t xml:space="preserve">FR-02 Lifecycle:</w:t>
      </w:r>
      <w:r>
        <w:t xml:space="preserve"> </w:t>
      </w:r>
      <w:r>
        <w:rPr>
          <w:rStyle w:val="VerbatimChar"/>
        </w:rPr>
        <w:t xml:space="preserve">shell → enriched → merged(tombstone)</w:t>
      </w:r>
      <w:r>
        <w:t xml:space="preserve">; shells are full customers with minimal data — there is no separate</w:t>
      </w:r>
      <w:r>
        <w:t xml:space="preserve"> </w:t>
      </w:r>
      <w:r>
        <w:t xml:space="preserve">“</w:t>
      </w:r>
      <w:r>
        <w:t xml:space="preserve">lead</w:t>
      </w:r>
      <w:r>
        <w:t xml:space="preserve">”</w:t>
      </w:r>
      <w:r>
        <w:t xml:space="preserve"> </w:t>
      </w:r>
      <w:r>
        <w:t xml:space="preserve">concept; nothing auto-deletes (retention/erasure via Doc 17 only).</w:t>
      </w:r>
      <w:r>
        <w:t xml:space="preserve"> </w:t>
      </w:r>
      <w:r>
        <w:t xml:space="preserve">FR-03 Rollups (denormalized, event-maintained): tickets_count, open_tickets, last_contact_at, satisfaction_avg + count (Doc 12 responses), repeat_contact_rate inputs; recomputable by job (drift-checker pattern per Doc 07 NFR-07).</w:t>
      </w:r>
    </w:p>
    <w:bookmarkEnd w:id="23"/>
    <w:bookmarkStart w:id="24" w:name="identity-registry"/>
    <w:p>
      <w:pPr>
        <w:pStyle w:val="Heading3"/>
      </w:pPr>
      <w:r>
        <w:t xml:space="preserve">4.2 Identity registry</w:t>
      </w:r>
    </w:p>
    <w:p>
      <w:pPr>
        <w:pStyle w:val="FirstParagraph"/>
      </w:pPr>
      <w:r>
        <w:t xml:space="preserve">FR-04 Identity types: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 </w:t>
      </w:r>
      <w:r>
        <w:t xml:space="preserve">(value=user id; display=</w:t>
      </w:r>
      <w:r>
        <w:t xml:space="preserve">@username</w:t>
      </w:r>
      <w:r>
        <w:t xml:space="preserve"> </w:t>
      </w:r>
      <w:r>
        <w:t xml:space="preserve">with username history in metadata),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(visitor_id, Doc 13; can be several),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(E.164, normalized on save with country inference help),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(lowercased). Uniqueness: (tenant, type, value) unique — an identity belongs to exactly one customer at a time.</w:t>
      </w:r>
      <w:r>
        <w:t xml:space="preserve"> </w:t>
      </w:r>
      <w:r>
        <w:t xml:space="preserve">FR-05 Sources &amp; provenance: every identity records source (</w:t>
      </w:r>
      <w:r>
        <w:rPr>
          <w:rStyle w:val="VerbatimChar"/>
        </w:rPr>
        <w:t xml:space="preserve">channel_auto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api</w:t>
      </w:r>
      <w:r>
        <w:t xml:space="preserve">) and first_seen_at; UI always shows provenance (</w:t>
      </w:r>
      <w:r>
        <w:t xml:space="preserve">“</w:t>
      </w:r>
      <w:r>
        <w:t xml:space="preserve">added by Sara, Jul 12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from Telegram</w:t>
      </w:r>
      <w:r>
        <w:t xml:space="preserve">”</w:t>
      </w:r>
      <w:r>
        <w:t xml:space="preserve">).</w:t>
      </w:r>
      <w:r>
        <w:t xml:space="preserve"> </w:t>
      </w:r>
      <w:r>
        <w:t xml:space="preserve">FR-06 Username/display changes (Telegram): the resolver updates display and appends</w:t>
      </w:r>
      <w:r>
        <w:t xml:space="preserve"> </w:t>
      </w:r>
      <w:r>
        <w:rPr>
          <w:rStyle w:val="VerbatimChar"/>
        </w:rPr>
        <w:t xml:space="preserve">{old, changed_at}</w:t>
      </w:r>
      <w:r>
        <w:t xml:space="preserve"> </w:t>
      </w:r>
      <w:r>
        <w:t xml:space="preserve">to metadata history (Doc 05 EC-05); search matches historical usernames.</w:t>
      </w:r>
    </w:p>
    <w:bookmarkEnd w:id="24"/>
    <w:bookmarkStart w:id="25" w:name="X0e1246acd277e7a962a9e8b991d1209e2be8d96"/>
    <w:p>
      <w:pPr>
        <w:pStyle w:val="Heading3"/>
      </w:pPr>
      <w:r>
        <w:t xml:space="preserve">4.3 The identity resolver (normative contract — called by Doc 04)</w:t>
      </w:r>
    </w:p>
    <w:p>
      <w:pPr>
        <w:pStyle w:val="FirstParagraph"/>
      </w:pPr>
      <w:r>
        <w:t xml:space="preserve">FR-07 Input:</w:t>
      </w:r>
      <w:r>
        <w:t xml:space="preserve"> </w:t>
      </w:r>
      <w:r>
        <w:rPr>
          <w:rStyle w:val="VerbatimChar"/>
        </w:rPr>
        <w:t xml:space="preserve">{tenant, type, value, display?, extras{username?, phone_hint?}}</w:t>
      </w:r>
      <w:r>
        <w:t xml:space="preserve">. Algorithm:</w:t>
      </w:r>
    </w:p>
    <w:p>
      <w:pPr>
        <w:pStyle w:val="SourceCode"/>
      </w:pPr>
      <w:r>
        <w:rPr>
          <w:rStyle w:val="VerbatimChar"/>
        </w:rPr>
        <w:t xml:space="preserve">1. exact match (type, value) → return customer (update display/history if changed)</w:t>
      </w:r>
      <w:r>
        <w:br/>
      </w:r>
      <w:r>
        <w:rPr>
          <w:rStyle w:val="VerbatimChar"/>
        </w:rPr>
        <w:t xml:space="preserve">2. no match → create shell customer + identity (source=channel_auto), return {customer, created: true}</w:t>
      </w:r>
    </w:p>
    <w:p>
      <w:pPr>
        <w:pStyle w:val="FirstParagraph"/>
      </w:pPr>
      <w:r>
        <w:t xml:space="preserve">The resolver NEVER auto-links across identity types (a Telegram user sharing a phone number in chat does not auto-attach that phone) — cross-type linking is always an explicit staff or customer-confirmed action (FR-09), preventing silent misattribution. Resolver is idempotent and race-safe (unique-index upsert; concurrent first messages yield one customer).</w:t>
      </w:r>
      <w:r>
        <w:t xml:space="preserve"> </w:t>
      </w:r>
      <w:r>
        <w:t xml:space="preserve">FR-08 Resolver never merges; it only matches-or-creates. All consolidation is human-driven (FR-10) — an explicit product stance given the no-verification policy.</w:t>
      </w:r>
    </w:p>
    <w:bookmarkEnd w:id="25"/>
    <w:bookmarkStart w:id="26" w:name="linking-unlinking-staff-actions"/>
    <w:p>
      <w:pPr>
        <w:pStyle w:val="Heading3"/>
      </w:pPr>
      <w:r>
        <w:t xml:space="preserve">4.4 Linking &amp; unlinking (staff actions)</w:t>
      </w:r>
    </w:p>
    <w:p>
      <w:pPr>
        <w:pStyle w:val="FirstParagraph"/>
      </w:pPr>
      <w:r>
        <w:t xml:space="preserve">FR-09 Link (</w:t>
      </w:r>
      <w:r>
        <w:rPr>
          <w:rStyle w:val="VerbatimChar"/>
        </w:rPr>
        <w:t xml:space="preserve">customers.identity.link</w:t>
      </w:r>
      <w:r>
        <w:t xml:space="preserve">): add phone/email manually; or</w:t>
      </w:r>
      <w:r>
        <w:t xml:space="preserve"> </w:t>
      </w:r>
      <w:r>
        <w:rPr>
          <w:iCs/>
          <w:i/>
        </w:rPr>
        <w:t xml:space="preserve">move</w:t>
      </w:r>
      <w:r>
        <w:t xml:space="preserve"> </w:t>
      </w:r>
      <w:r>
        <w:t xml:space="preserve">an existing unattached-shell identity onto a profile via the merge flow (FR-10 is the mover — direct identity theft between two enriched customers is not a separate operation; it is always a merge or an unlink+link with both sides audited). Adding a phone that already exists on another customer → blocked with a link to that customer and a</w:t>
      </w:r>
      <w:r>
        <w:t xml:space="preserve"> </w:t>
      </w:r>
      <w:r>
        <w:t xml:space="preserve">“</w:t>
      </w:r>
      <w:r>
        <w:t xml:space="preserve">merge instead?</w:t>
      </w:r>
      <w:r>
        <w:t xml:space="preserve">”</w:t>
      </w:r>
      <w:r>
        <w:t xml:space="preserve"> </w:t>
      </w:r>
      <w:r>
        <w:t xml:space="preserve">shortcut.</w:t>
      </w:r>
      <w:r>
        <w:t xml:space="preserve"> </w:t>
      </w:r>
      <w:r>
        <w:t xml:space="preserve">FR-10 Unlink (</w:t>
      </w:r>
      <w:r>
        <w:rPr>
          <w:rStyle w:val="VerbatimChar"/>
        </w:rPr>
        <w:t xml:space="preserve">customers.identity.unlink</w:t>
      </w:r>
      <w:r>
        <w:t xml:space="preserve">, high-risk): removes an identity from a profile → the identity moves to a fresh shell (conversations/tickets tied to that identity’s conversations move with it — conversation ownership follows the identity that anchors it); requires typed confirmation listing exactly what moves; reversible only by re-merging; heavily audited.</w:t>
      </w:r>
    </w:p>
    <w:bookmarkEnd w:id="26"/>
    <w:bookmarkStart w:id="27" w:name="customer-merge-customers.merge-high-risk"/>
    <w:p>
      <w:pPr>
        <w:pStyle w:val="Heading3"/>
      </w:pPr>
      <w:r>
        <w:t xml:space="preserve">4.5 Customer merge (</w:t>
      </w:r>
      <w:r>
        <w:rPr>
          <w:rStyle w:val="VerbatimChar"/>
        </w:rPr>
        <w:t xml:space="preserve">customers.merge</w:t>
      </w:r>
      <w:r>
        <w:t xml:space="preserve">, high-risk)</w:t>
      </w:r>
    </w:p>
    <w:p>
      <w:pPr>
        <w:pStyle w:val="FirstParagraph"/>
      </w:pPr>
      <w:r>
        <w:t xml:space="preserve">FR-11 Flow: pick survivor + merged → side-by-side field diff with per-field survivor choice (name, language, country, custom fields; tags/notes/files always union; identities union — conflicts impossible by FR-04 uniqueness since they’re on different customers) → consequences checklist (tickets: N move; conversations: M move; satisfaction history merges into rollups) → confirm phrase.</w:t>
      </w:r>
      <w:r>
        <w:t xml:space="preserve"> </w:t>
      </w:r>
      <w:r>
        <w:t xml:space="preserve">FR-12 Effects: merged → tombstone (</w:t>
      </w:r>
      <w:r>
        <w:rPr>
          <w:rStyle w:val="VerbatimChar"/>
        </w:rPr>
        <w:t xml:space="preserve">merged_into</w:t>
      </w:r>
      <w:r>
        <w:t xml:space="preserve">), all conversations/tickets/files/notes/identities re-pointed to survivor (Doc 06 FR-20’s same-customer merge precondition references this operation as its prerequisite for cross-customer cases); open-family collision (both had open tickets, Doc 06 FR-10) → the newer open ticket is auto-flagged</w:t>
      </w:r>
      <w:r>
        <w:t xml:space="preserve"> </w:t>
      </w:r>
      <w:r>
        <w:rPr>
          <w:rStyle w:val="VerbatimChar"/>
        </w:rPr>
        <w:t xml:space="preserve">linked_work=true</w:t>
      </w:r>
      <w:r>
        <w:t xml:space="preserve"> </w:t>
      </w:r>
      <w:r>
        <w:t xml:space="preserve">(sanctioned multi-open, Doc 06 FR-21 family) with a system note, surfaced in the confirm checklist.</w:t>
      </w:r>
      <w:r>
        <w:t xml:space="preserve"> </w:t>
      </w:r>
      <w:r>
        <w:t xml:space="preserve">FR-13 Reversal: 30-day</w:t>
      </w:r>
      <w:r>
        <w:t xml:space="preserve"> </w:t>
      </w:r>
      <w:r>
        <w:rPr>
          <w:rStyle w:val="VerbatimChar"/>
        </w:rPr>
        <w:t xml:space="preserve">merge_snapshot</w:t>
      </w:r>
      <w:r>
        <w:t xml:space="preserve"> </w:t>
      </w:r>
      <w:r>
        <w:t xml:space="preserve">(full re-pointing map) enables un-merge restoring both profiles and re-pointing objects back; objects</w:t>
      </w:r>
      <w:r>
        <w:t xml:space="preserve"> </w:t>
      </w:r>
      <w:r>
        <w:rPr>
          <w:iCs/>
          <w:i/>
        </w:rPr>
        <w:t xml:space="preserve">created after</w:t>
      </w:r>
      <w:r>
        <w:t xml:space="preserve"> </w:t>
      </w:r>
      <w:r>
        <w:t xml:space="preserve">the merge stay with the survivor (documented; listed in the un-merge preview); audited both ways.</w:t>
      </w:r>
    </w:p>
    <w:bookmarkEnd w:id="27"/>
    <w:bookmarkStart w:id="28" w:name="responsible-gaming-flag"/>
    <w:p>
      <w:pPr>
        <w:pStyle w:val="Heading3"/>
      </w:pPr>
      <w:r>
        <w:t xml:space="preserve">4.6 Responsible Gaming flag</w:t>
      </w:r>
    </w:p>
    <w:p>
      <w:pPr>
        <w:pStyle w:val="FirstParagraph"/>
      </w:pPr>
      <w:r>
        <w:t xml:space="preserve">FR-14</w:t>
      </w:r>
      <w:r>
        <w:t xml:space="preserve"> </w:t>
      </w:r>
      <w:r>
        <w:rPr>
          <w:rStyle w:val="VerbatimChar"/>
        </w:rPr>
        <w:t xml:space="preserve">rg_flag</w:t>
      </w:r>
      <w:r>
        <w:t xml:space="preserve"> </w:t>
      </w:r>
      <w:r>
        <w:t xml:space="preserve">set manually (</w:t>
      </w:r>
      <w:r>
        <w:rPr>
          <w:rStyle w:val="VerbatimChar"/>
        </w:rPr>
        <w:t xml:space="preserve">customers.rg_flag.set</w:t>
      </w:r>
      <w:r>
        <w:t xml:space="preserve">) or by Doc 09 detection (source=ai, always with the triggering excerpt reference); visible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to holders of</w:t>
      </w:r>
      <w:r>
        <w:t xml:space="preserve"> </w:t>
      </w:r>
      <w:r>
        <w:rPr>
          <w:rStyle w:val="VerbatimChar"/>
        </w:rPr>
        <w:t xml:space="preserve">customers.rg_flag.view</w:t>
      </w:r>
      <w:r>
        <w:t xml:space="preserve"> </w:t>
      </w:r>
      <w:r>
        <w:t xml:space="preserve">— for everyone else the profile renders with no trace (no redacted placeholder — absence, per Doc 03 philosophy). Where visible: a banner on profile and Doc 07 Customer tab (badge dot) linking the approved handling script (Doc 09/16 content).</w:t>
      </w:r>
      <w:r>
        <w:t xml:space="preserve"> </w:t>
      </w:r>
      <w:r>
        <w:t xml:space="preserve">FR-15 RG flag effects owned elsewhere but contracted here: Doc 11 routes flagged customers’ new tickets to the RG queue; Doc 12 suppresses promotional automations; Doc 14 suppresses non-essential SMS. Clearing the flag requires</w:t>
      </w:r>
      <w:r>
        <w:t xml:space="preserve"> </w:t>
      </w:r>
      <w:r>
        <w:rPr>
          <w:rStyle w:val="VerbatimChar"/>
        </w:rPr>
        <w:t xml:space="preserve">customers.rg_flag.set</w:t>
      </w:r>
      <w:r>
        <w:t xml:space="preserve"> </w:t>
      </w:r>
      <w:r>
        <w:t xml:space="preserve">+ reason; full history retained (never hard-deleted).</w:t>
      </w:r>
    </w:p>
    <w:bookmarkEnd w:id="28"/>
    <w:bookmarkStart w:id="29" w:name="betting-fields-notes-blocking-files"/>
    <w:p>
      <w:pPr>
        <w:pStyle w:val="Heading3"/>
      </w:pPr>
      <w:r>
        <w:t xml:space="preserve">4.7 Betting fields, notes, blocking, files</w:t>
      </w:r>
    </w:p>
    <w:p>
      <w:pPr>
        <w:pStyle w:val="FirstParagraph"/>
      </w:pPr>
      <w:r>
        <w:t xml:space="preserve">FR-16 Betting fields (custom-field seeded set: betting_username, player_id, brand): plain staff-collected values labeled</w:t>
      </w:r>
      <w:r>
        <w:t xml:space="preserve"> </w:t>
      </w:r>
      <w:r>
        <w:t xml:space="preserve">“</w:t>
      </w:r>
      <w:r>
        <w:t xml:space="preserve">staff-collected</w:t>
      </w:r>
      <w:r>
        <w:t xml:space="preserve">”</w:t>
      </w:r>
      <w:r>
        <w:t xml:space="preserve"> </w:t>
      </w:r>
      <w:r>
        <w:t xml:space="preserve">in every render; free-editable with history;</w:t>
      </w:r>
      <w:r>
        <w:t xml:space="preserve"> </w:t>
      </w:r>
      <w:r>
        <w:rPr>
          <w:bCs/>
          <w:b/>
        </w:rPr>
        <w:t xml:space="preserve">no verification affordance exists anywhere</w:t>
      </w:r>
      <w:r>
        <w:t xml:space="preserve"> </w:t>
      </w:r>
      <w:r>
        <w:t xml:space="preserve">(deliberate; BR-01). Duplicate player_id across customers raises a soft indicator (</w:t>
      </w:r>
      <w:r>
        <w:t xml:space="preserve">“</w:t>
      </w:r>
      <w:r>
        <w:t xml:space="preserve">also on 2 other profiles</w:t>
      </w:r>
      <w:r>
        <w:t xml:space="preserve">”</w:t>
      </w:r>
      <w:r>
        <w:t xml:space="preserve"> </w:t>
      </w:r>
      <w:r>
        <w:t xml:space="preserve">— visible with</w:t>
      </w:r>
      <w:r>
        <w:t xml:space="preserve"> </w:t>
      </w:r>
      <w:r>
        <w:rPr>
          <w:rStyle w:val="VerbatimChar"/>
        </w:rPr>
        <w:t xml:space="preserve">customers.view</w:t>
      </w:r>
      <w:r>
        <w:t xml:space="preserve">, link-outs scope-checked) as an FYI, never an enforcement.</w:t>
      </w:r>
      <w:r>
        <w:t xml:space="preserve"> </w:t>
      </w:r>
      <w:r>
        <w:t xml:space="preserve">FR-17 Notes: per-customer, author + timestamp,</w:t>
      </w:r>
      <w:r>
        <w:t xml:space="preserve"> </w:t>
      </w:r>
      <w:r>
        <w:rPr>
          <w:rStyle w:val="VerbatimChar"/>
        </w:rPr>
        <w:t xml:space="preserve">customers.notes.add/view</w:t>
      </w:r>
      <w:r>
        <w:t xml:space="preserve">; pinned note (one) surfaces in Doc 07’s panel header; notes are never customer-visible and follow Doc 04 BR-01 structural isolation.</w:t>
      </w:r>
      <w:r>
        <w:t xml:space="preserve"> </w:t>
      </w:r>
      <w:r>
        <w:t xml:space="preserve">FR-18 Blocking: customer-level block sets all their conversations to blocked (Doc 04 FR-03) and refuses new outbound + quarantines inbound platform-wide for that customer; reason mandatory; unblock restores conversation states; both evented. Conversation-level block (Doc 04) remains available for single-channel nuisance without full customer block.</w:t>
      </w:r>
      <w:r>
        <w:t xml:space="preserve"> </w:t>
      </w:r>
      <w:r>
        <w:t xml:space="preserve">FR-19 Files gallery: all media the customer ever sent (from Doc 04 message media), filterable by kind/date/ticket, opens in the Doc 04 lightbox; respects infected-media blocks; export of the gallery is</w:t>
      </w:r>
      <w:r>
        <w:t xml:space="preserve"> </w:t>
      </w:r>
      <w:r>
        <w:rPr>
          <w:rStyle w:val="VerbatimChar"/>
        </w:rPr>
        <w:t xml:space="preserve">customers.export</w:t>
      </w:r>
      <w:r>
        <w:t xml:space="preserve"> </w:t>
      </w:r>
      <w:r>
        <w:t xml:space="preserve">(high).</w:t>
      </w:r>
    </w:p>
    <w:bookmarkEnd w:id="29"/>
    <w:bookmarkStart w:id="30" w:name="directory-search-panel-contract"/>
    <w:p>
      <w:pPr>
        <w:pStyle w:val="Heading3"/>
      </w:pPr>
      <w:r>
        <w:t xml:space="preserve">4.8 Directory, search, panel contract</w:t>
      </w:r>
    </w:p>
    <w:p>
      <w:pPr>
        <w:pStyle w:val="FirstParagraph"/>
      </w:pPr>
      <w:r>
        <w:t xml:space="preserve">FR-20 Directory page: scope-filtered table (name, identities glyph row, last contact, open tickets, satisfaction, tags) with filters (has-open, language, country, tag, RG [only if permitted], blocked) and Meilisearch-backed search over names, usernames (incl. history), phone, email, player_id.</w:t>
      </w:r>
      <w:r>
        <w:t xml:space="preserve"> </w:t>
      </w:r>
      <w:r>
        <w:t xml:space="preserve">FR-21 Doc 07 Customer-panel contract (this doc owns contents): header (display name, language/country chips, tags, pinned note, RG badge [permitted only], blocked banner) → identity list with provenance → betting fields card (</w:t>
      </w:r>
      <w:r>
        <w:t xml:space="preserve">“</w:t>
      </w:r>
      <w:r>
        <w:t xml:space="preserve">staff-collected</w:t>
      </w:r>
      <w:r>
        <w:t xml:space="preserve">”</w:t>
      </w:r>
      <w:r>
        <w:t xml:space="preserve">) → rollups (tickets, satisfaction spark, last contact) → recent tickets (5, link-through) → notes tab → files tab. All sections lazy-loaded; every field inline-editable per permission with autosave + provenance update.</w:t>
      </w:r>
      <w:r>
        <w:t xml:space="preserve"> </w:t>
      </w:r>
      <w:r>
        <w:t xml:space="preserve">FR-22 Events:</w:t>
      </w:r>
      <w:r>
        <w:t xml:space="preserve"> </w:t>
      </w:r>
      <w:r>
        <w:rPr>
          <w:rStyle w:val="VerbatimChar"/>
        </w:rPr>
        <w:t xml:space="preserve">customer.created|updated|identity.linked|identity.unlinked|merged|unmerged|blocked|unblocked|rg_flag.set|rg_flag.cleared|note.added|fields_changed</w:t>
      </w:r>
      <w:r>
        <w:t xml:space="preserve"> </w:t>
      </w:r>
      <w:r>
        <w:t xml:space="preserve">via outbox.</w:t>
      </w:r>
    </w:p>
    <w:bookmarkEnd w:id="30"/>
    <w:bookmarkEnd w:id="31"/>
    <w:bookmarkStart w:id="32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Resolver ≤ 5 ms p99 (hot path — it runs on every inbound message; index-only exact match).</w:t>
      </w:r>
      <w:r>
        <w:t xml:space="preserve"> </w:t>
      </w:r>
      <w:r>
        <w:t xml:space="preserve">NFR-02 Merge of a customer with 10k messages/500 tickets ≤ 10 s p95 (chunked re-pointing, progress events) — UI async with completion notification.</w:t>
      </w:r>
      <w:r>
        <w:t xml:space="preserve"> </w:t>
      </w:r>
      <w:r>
        <w:t xml:space="preserve">NFR-03 Panel initial render ≤ 300 ms p75 warm (header + identities), sections stream.</w:t>
      </w:r>
      <w:r>
        <w:t xml:space="preserve"> </w:t>
      </w:r>
      <w:r>
        <w:t xml:space="preserve">NFR-04 Directory search ≤ 150 ms p95 at 1 M customers.</w:t>
      </w:r>
      <w:r>
        <w:t xml:space="preserve"> </w:t>
      </w:r>
      <w:r>
        <w:t xml:space="preserve">NFR-05 Rollup drift ≤ 0 in the weekly checker (Doc 07 pattern); any drift alerts.</w:t>
      </w:r>
      <w:r>
        <w:t xml:space="preserve"> </w:t>
      </w:r>
      <w:r>
        <w:t xml:space="preserve">NFR-06 RG-flag reads bypass caches (Doc 03 recommendation 4 alignment) — always fresh.</w:t>
      </w:r>
    </w:p>
    <w:bookmarkEnd w:id="32"/>
    <w:bookmarkStart w:id="33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agent, the moment a chat opens I see who this is: name, language, how often they contact us, their last ticket — without asking them to repeat anything.</w:t>
      </w:r>
      <w:r>
        <w:t xml:space="preserve"> </w:t>
      </w:r>
      <w:r>
        <w:t xml:space="preserve">US-02 As an agent, a caller says</w:t>
      </w:r>
      <w:r>
        <w:t xml:space="preserve"> </w:t>
      </w:r>
      <w:r>
        <w:t xml:space="preserve">“</w:t>
      </w:r>
      <w:r>
        <w:t xml:space="preserve">I’m asking for my brother</w:t>
      </w:r>
      <w:r>
        <w:t xml:space="preserve">”</w:t>
      </w:r>
      <w:r>
        <w:t xml:space="preserve"> </w:t>
      </w:r>
      <w:r>
        <w:t xml:space="preserve">— I just help; the profile records this contact under the contacting identity, and I can add a note referencing the brother’s player_id.</w:t>
      </w:r>
      <w:r>
        <w:t xml:space="preserve"> </w:t>
      </w:r>
      <w:r>
        <w:t xml:space="preserve">US-03 As an agent, I add the phone number a player just shared, and it warns me it already belongs to another profile — one click shows me that profile so I can decide about merging.</w:t>
      </w:r>
      <w:r>
        <w:t xml:space="preserve"> </w:t>
      </w:r>
      <w:r>
        <w:t xml:space="preserve">US-04 As a senior agent with merge rights, I consolidate a player’s old and new Telegram accounts in one guided flow and can undo it for 30 days if I chose wrong.</w:t>
      </w:r>
      <w:r>
        <w:t xml:space="preserve"> </w:t>
      </w:r>
      <w:r>
        <w:t xml:space="preserve">US-05 As a compliance officer, RG-flagged customers are invisible-as-flagged to regular agents, and every flag set/clear has an author and reason I can export.</w:t>
      </w:r>
      <w:r>
        <w:t xml:space="preserve"> </w:t>
      </w:r>
      <w:r>
        <w:t xml:space="preserve">US-06 As an operator admin, I block a serial abuser once and every channel goes quiet for them, with the paper trail intact.</w:t>
      </w:r>
      <w:r>
        <w:t xml:space="preserve"> </w:t>
      </w:r>
      <w:r>
        <w:t xml:space="preserve">US-07 As a payments teammate, the</w:t>
      </w:r>
      <w:r>
        <w:t xml:space="preserve"> </w:t>
      </w:r>
      <w:r>
        <w:t xml:space="preserve">“</w:t>
      </w:r>
      <w:r>
        <w:t xml:space="preserve">player_id also on 2 other profiles</w:t>
      </w:r>
      <w:r>
        <w:t xml:space="preserve">”</w:t>
      </w:r>
      <w:r>
        <w:t xml:space="preserve"> </w:t>
      </w:r>
      <w:r>
        <w:t xml:space="preserve">hint tips me to check the betting backoffice before crediting anyone.</w:t>
      </w:r>
    </w:p>
    <w:bookmarkEnd w:id="33"/>
    <w:bookmarkStart w:id="34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</w:t>
      </w:r>
      <w:r>
        <w:t xml:space="preserve"> </w:t>
      </w:r>
      <w:r>
        <w:rPr>
          <w:bCs/>
          <w:b/>
        </w:rPr>
        <w:t xml:space="preserve">No verification, honest labeling:</w:t>
      </w:r>
      <w:r>
        <w:t xml:space="preserve"> </w:t>
      </w:r>
      <w:r>
        <w:t xml:space="preserve">identity data is informational; nothing in the product may render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for customer identity; the seeded UI copy and component library contain no verified-badge variant for customers (design-system-level enforcement). Contacting on behalf of others is normal and supported.</w:t>
      </w:r>
      <w:r>
        <w:t xml:space="preserve"> </w:t>
      </w:r>
      <w:r>
        <w:t xml:space="preserve">BR-02 The resolver matches, humans consolidate (FR-07/08): automatic cross-identity linking is prohibited — a wrong silent link in a betting context misroutes money conversations.</w:t>
      </w:r>
      <w:r>
        <w:t xml:space="preserve"> </w:t>
      </w:r>
      <w:r>
        <w:t xml:space="preserve">BR-03 Absence over redaction for RG (FR-14): unpermitted staff must not be able to infer a flag exists.</w:t>
      </w:r>
      <w:r>
        <w:t xml:space="preserve"> </w:t>
      </w:r>
      <w:r>
        <w:t xml:space="preserve">BR-04 One identity, one customer (FR-04): the invariant that makes merge/unlink meaningful; enforced by DB unique index.</w:t>
      </w:r>
      <w:r>
        <w:t xml:space="preserve"> </w:t>
      </w:r>
      <w:r>
        <w:t xml:space="preserve">BR-05 Tombstones forever: merged profiles redirect, never 404 — old ticket links in emails/notes must keep working.</w:t>
      </w:r>
      <w:r>
        <w:t xml:space="preserve"> </w:t>
      </w:r>
      <w:r>
        <w:t xml:space="preserve">BR-06 The profile is a support asset, not a marketing asset: no consent/marketing fields exist; outbound is limited to Doc 14’s transactional templates and window-bound replies.</w:t>
      </w:r>
      <w:r>
        <w:t xml:space="preserve"> </w:t>
      </w:r>
      <w:r>
        <w:t xml:space="preserve">BR-07 Notes about a customer stay in the customer’s profile — agents are trained (onboarding copy) not to place another player’s sensitive details in unrelated profiles; the duplicate-player_id hint (FR-16) exists partly to keep cross-references structural instead of free-text.</w:t>
      </w:r>
    </w:p>
    <w:bookmarkEnd w:id="34"/>
    <w:bookmarkStart w:id="35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 (Doc 07 slot):</w:t>
      </w:r>
      <w:r>
        <w:t xml:space="preserve"> </w:t>
      </w:r>
      <w:r>
        <w:t xml:space="preserve">exactly per FR-21; inline edit affordances appear on hover/focus; every save shows the provenance line update (</w:t>
      </w:r>
      <w:r>
        <w:t xml:space="preserve">“</w:t>
      </w:r>
      <w:r>
        <w:t xml:space="preserve">staff · you · just now</w:t>
      </w:r>
      <w:r>
        <w:t xml:space="preserve">”</w:t>
      </w:r>
      <w:r>
        <w:t xml:space="preserve">); the RG banner (when visible) is calm, not alarming — a slate banner with the script link, no 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Directory:</w:t>
      </w:r>
      <w:r>
        <w:t xml:space="preserve"> </w:t>
      </w:r>
      <w:r>
        <w:t xml:space="preserve">table per FR-20; row click → full profile page (same sections as panel, wider layout, plus Audit tab for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holders scoped to this customer); bulk actions limited to tags and export (no bulk merge/block — deliberate).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Merge flow:</w:t>
      </w:r>
      <w:r>
        <w:t xml:space="preserve"> </w:t>
      </w:r>
      <w:r>
        <w:t xml:space="preserve">3 steps (pick → diff/choose → consequences+confirm); the diff uses per-field radio (survivor/merged value) with</w:t>
      </w:r>
      <w:r>
        <w:t xml:space="preserve"> </w:t>
      </w:r>
      <w:r>
        <w:t xml:space="preserve">“</w:t>
      </w:r>
      <w:r>
        <w:t xml:space="preserve">keep both</w:t>
      </w:r>
      <w:r>
        <w:t xml:space="preserve">”</w:t>
      </w:r>
      <w:r>
        <w:t xml:space="preserve"> </w:t>
      </w:r>
      <w:r>
        <w:t xml:space="preserve">for tags; consequences list concrete numbers (</w:t>
      </w:r>
      <w:r>
        <w:t xml:space="preserve">“</w:t>
      </w:r>
      <w:r>
        <w:t xml:space="preserve">17 tickets and 3 conversations will move</w:t>
      </w:r>
      <w:r>
        <w:t xml:space="preserve">”</w:t>
      </w:r>
      <w:r>
        <w:t xml:space="preserve">); post-merge toast with</w:t>
      </w:r>
      <w:r>
        <w:t xml:space="preserve"> </w:t>
      </w:r>
      <w:r>
        <w:t xml:space="preserve">“</w:t>
      </w:r>
      <w:r>
        <w:t xml:space="preserve">view survivor</w:t>
      </w:r>
      <w:r>
        <w:t xml:space="preserve">”</w:t>
      </w:r>
      <w:r>
        <w:t xml:space="preserve"> </w:t>
      </w:r>
      <w:r>
        <w:t xml:space="preserve">and a 30-day undo entry point on the tombstone page.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Unlink flow:</w:t>
      </w:r>
      <w:r>
        <w:t xml:space="preserve"> </w:t>
      </w:r>
      <w:r>
        <w:t xml:space="preserve">modal lists the identity, its conversations/tickets that will move to a new shell, typed confirmation; result screen links both profiles.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Blocked state:</w:t>
      </w:r>
      <w:r>
        <w:t xml:space="preserve"> </w:t>
      </w:r>
      <w:r>
        <w:t xml:space="preserve">profile-wide red banner with reason/author/date; all composers for this customer show the Doc 04/07 blocked card; unblock is a distinct permissioned action with reason.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 states:</w:t>
      </w:r>
      <w:r>
        <w:t xml:space="preserve"> </w:t>
      </w:r>
      <w:r>
        <w:t xml:space="preserve">shell profile (</w:t>
      </w:r>
      <w:r>
        <w:t xml:space="preserve">“</w:t>
      </w:r>
      <w:r>
        <w:t xml:space="preserve">We only know their Telegram so far — add details as you learn them</w:t>
      </w:r>
      <w:r>
        <w:t xml:space="preserve">”</w:t>
      </w:r>
      <w:r>
        <w:t xml:space="preserve">); no files; no notes (</w:t>
      </w:r>
      <w:r>
        <w:t xml:space="preserve">“</w:t>
      </w:r>
      <w:r>
        <w:t xml:space="preserve">Pin the first note to brief teammates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Loading:</w:t>
      </w:r>
      <w:r>
        <w:t xml:space="preserve"> </w:t>
      </w:r>
      <w:r>
        <w:t xml:space="preserve">header instantly from list-hydration cache, sections skeleton-stream; merge progress (NFR-02) as a drawer with step list.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states:</w:t>
      </w:r>
      <w:r>
        <w:t xml:space="preserve"> </w:t>
      </w:r>
      <w:r>
        <w:t xml:space="preserve">duplicate-phone block (FR-09) with the merge shortcut; merge failure mid-chunk → automatic rollback to pre-merge with an incident reference (never a half-merged pair; see FS-02).</w:t>
      </w:r>
    </w:p>
    <w:bookmarkEnd w:id="35"/>
    <w:bookmarkStart w:id="36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Identity rows: type glyph, value (mono for ids/phones), provenance microcopy, history popover for username changes; copy-on-click for values.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Staff-collected</w:t>
      </w:r>
      <w:r>
        <w:t xml:space="preserve">”</w:t>
      </w:r>
      <w:r>
        <w:t xml:space="preserve"> </w:t>
      </w:r>
      <w:r>
        <w:t xml:space="preserve">label style: subtle uppercase micro-label on the betting-fields card — informative, not warning-colored.</w:t>
      </w:r>
    </w:p>
    <w:p>
      <w:pPr>
        <w:numPr>
          <w:ilvl w:val="0"/>
          <w:numId w:val="1003"/>
        </w:numPr>
        <w:pStyle w:val="Compact"/>
      </w:pPr>
      <w:r>
        <w:t xml:space="preserve">RG banner: slate/neutral tokens, icon + text, script link button; never red, never blinking.</w:t>
      </w:r>
    </w:p>
    <w:p>
      <w:pPr>
        <w:numPr>
          <w:ilvl w:val="0"/>
          <w:numId w:val="1003"/>
        </w:numPr>
        <w:pStyle w:val="Compact"/>
      </w:pPr>
      <w:r>
        <w:t xml:space="preserve">Duplicate-player_id hint: info-blue inline chip.</w:t>
      </w:r>
    </w:p>
    <w:p>
      <w:pPr>
        <w:numPr>
          <w:ilvl w:val="0"/>
          <w:numId w:val="1003"/>
        </w:numPr>
        <w:pStyle w:val="Compact"/>
      </w:pPr>
      <w:r>
        <w:t xml:space="preserve">Tombstone page: large redirect card (</w:t>
      </w:r>
      <w:r>
        <w:t xml:space="preserve">“</w:t>
      </w:r>
      <w:r>
        <w:t xml:space="preserve">This profile was merged into {name} on {date} by {actor}</w:t>
      </w:r>
      <w:r>
        <w:t xml:space="preserve">”</w:t>
      </w:r>
      <w:r>
        <w:t xml:space="preserve">) + undo button when within window and permitted.</w:t>
      </w:r>
    </w:p>
    <w:p>
      <w:pPr>
        <w:numPr>
          <w:ilvl w:val="0"/>
          <w:numId w:val="1003"/>
        </w:numPr>
        <w:pStyle w:val="Compact"/>
      </w:pPr>
      <w:r>
        <w:t xml:space="preserve">Responsive: profile page single-column on mobile with sticky header; merge flow full-screen steps on mobile; directory table → cards.</w:t>
      </w:r>
    </w:p>
    <w:p>
      <w:pPr>
        <w:numPr>
          <w:ilvl w:val="0"/>
          <w:numId w:val="1003"/>
        </w:numPr>
        <w:pStyle w:val="Compact"/>
      </w:pPr>
      <w:r>
        <w:t xml:space="preserve">Dark/light; reduced-motion (no skeleton shimmer, static placeholders).</w:t>
      </w:r>
    </w:p>
    <w:bookmarkEnd w:id="36"/>
    <w:bookmarkStart w:id="37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Tables per Doc 01: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customer_identities</w:t>
      </w:r>
      <w:r>
        <w:t xml:space="preserve"> </w:t>
      </w:r>
      <w:r>
        <w:t xml:space="preserve">(+unique (tenant,type,value)),</w:t>
      </w:r>
      <w:r>
        <w:t xml:space="preserve"> </w:t>
      </w:r>
      <w:r>
        <w:rPr>
          <w:rStyle w:val="VerbatimChar"/>
        </w:rPr>
        <w:t xml:space="preserve">customer_notes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merge_snapshots</w:t>
      </w:r>
      <w:r>
        <w:t xml:space="preserve"> </w:t>
      </w:r>
      <w:r>
        <w:t xml:space="preserve">(payload jsonb, expires_at), rollup columns on customers; identity metadata jsonb for histories.</w:t>
      </w:r>
      <w:r>
        <w:t xml:space="preserve"> </w:t>
      </w:r>
      <w:r>
        <w:t xml:space="preserve">T-02 Resolver: single upsert path (INSERT … ON CONFLICT for shell+identity creation) making FR-07’s race-safety a DB property; exposed as an internal service consumed by Doc 04/13 adapters and</w:t>
      </w:r>
      <w:r>
        <w:t xml:space="preserve"> </w:t>
      </w:r>
      <w:r>
        <w:rPr>
          <w:rStyle w:val="VerbatimChar"/>
        </w:rPr>
        <w:t xml:space="preserve">POST /v1/customers/{id}/identities</w:t>
      </w:r>
      <w:r>
        <w:t xml:space="preserve">.</w:t>
      </w:r>
      <w:r>
        <w:t xml:space="preserve"> </w:t>
      </w:r>
      <w:r>
        <w:t xml:space="preserve">T-03 Merge: chunked re-pointing (conversations → tickets → files/notes → identities) inside a saga with compensation (FS-02); per-chunk progress events on</w:t>
      </w:r>
      <w:r>
        <w:t xml:space="preserve"> </w:t>
      </w:r>
      <w:r>
        <w:rPr>
          <w:rStyle w:val="VerbatimChar"/>
        </w:rPr>
        <w:t xml:space="preserve">user.{id}</w:t>
      </w:r>
      <w:r>
        <w:t xml:space="preserve">; survivor rollups recomputed at completion; Doc 07 projector consumes</w:t>
      </w:r>
      <w:r>
        <w:t xml:space="preserve"> </w:t>
      </w:r>
      <w:r>
        <w:rPr>
          <w:rStyle w:val="VerbatimChar"/>
        </w:rPr>
        <w:t xml:space="preserve">customer.merged</w:t>
      </w:r>
      <w:r>
        <w:t xml:space="preserve"> </w:t>
      </w:r>
      <w:r>
        <w:t xml:space="preserve">to rewrite list rows.</w:t>
      </w:r>
      <w:r>
        <w:t xml:space="preserve"> </w:t>
      </w:r>
      <w:r>
        <w:t xml:space="preserve">T-04 Search: Meilisearch</w:t>
      </w:r>
      <w:r>
        <w:t xml:space="preserve"> </w:t>
      </w:r>
      <w:r>
        <w:rPr>
          <w:rStyle w:val="VerbatimChar"/>
        </w:rPr>
        <w:t xml:space="preserve">customers_index</w:t>
      </w:r>
      <w:r>
        <w:t xml:space="preserve"> </w:t>
      </w:r>
      <w:r>
        <w:t xml:space="preserve">(names, username+history, phone, email, player_id custom field) with scope filters via the Doc 07 T-04 search proxy; index updated from FR-22 events.</w:t>
      </w:r>
      <w:r>
        <w:t xml:space="preserve"> </w:t>
      </w:r>
      <w:r>
        <w:t xml:space="preserve">T-05 RG storage: flag columns +</w:t>
      </w:r>
      <w:r>
        <w:t xml:space="preserve"> </w:t>
      </w:r>
      <w:r>
        <w:rPr>
          <w:rStyle w:val="VerbatimChar"/>
        </w:rPr>
        <w:t xml:space="preserve">rg_flag_history</w:t>
      </w:r>
      <w:r>
        <w:t xml:space="preserve"> </w:t>
      </w:r>
      <w:r>
        <w:t xml:space="preserve">insert-only table; reads route through a no-cache repository (NFR-06); Doc 03’s high-sensitivity bypass list includes these paths.</w:t>
      </w:r>
      <w:r>
        <w:t xml:space="preserve"> </w:t>
      </w:r>
      <w:r>
        <w:t xml:space="preserve">T-06 Blocking cascade:</w:t>
      </w:r>
      <w:r>
        <w:t xml:space="preserve"> </w:t>
      </w:r>
      <w:r>
        <w:rPr>
          <w:rStyle w:val="VerbatimChar"/>
        </w:rPr>
        <w:t xml:space="preserve">customer.blocked</w:t>
      </w:r>
      <w:r>
        <w:t xml:space="preserve"> </w:t>
      </w:r>
      <w:r>
        <w:t xml:space="preserve">event → Doc 04 conversation-state updates (bulk, chunked) + a customer-level guard checked in the outbound pipeline (belt-and-braces so a new conversation created mid-cascade is still refused).</w:t>
      </w:r>
      <w:r>
        <w:t xml:space="preserve"> </w:t>
      </w:r>
      <w:r>
        <w:t xml:space="preserve">T-07 Panel data: one aggregate endpoint</w:t>
      </w:r>
      <w:r>
        <w:t xml:space="preserve"> </w:t>
      </w:r>
      <w:r>
        <w:rPr>
          <w:rStyle w:val="VerbatimChar"/>
        </w:rPr>
        <w:t xml:space="preserve">GET /v1/customers/{id}/panel</w:t>
      </w:r>
      <w:r>
        <w:t xml:space="preserve"> </w:t>
      </w:r>
      <w:r>
        <w:t xml:space="preserve">returning header+identities immediately with section stubs; sections fetch independently (FR-21 lazy contract).</w:t>
      </w:r>
      <w:r>
        <w:t xml:space="preserve"> </w:t>
      </w:r>
      <w:r>
        <w:t xml:space="preserve">T-08 Contract tests: resolver matrix (match/create/race/username-change), merge saga chaos test (kill between chunks → compensation proven), RG visibility fixtures per role.</w:t>
      </w:r>
    </w:p>
    <w:p>
      <w:pPr>
        <w:pStyle w:val="BodyText"/>
      </w:pPr>
      <w:r>
        <w:rPr>
          <w:bCs/>
          <w:b/>
        </w:rPr>
        <w:t xml:space="preserve">Resolver placement (text diagram):</w:t>
      </w:r>
    </w:p>
    <w:p>
      <w:pPr>
        <w:pStyle w:val="SourceCode"/>
      </w:pPr>
      <w:r>
        <w:rPr>
          <w:rStyle w:val="VerbatimChar"/>
        </w:rPr>
        <w:t xml:space="preserve">Doc 04 inbound step 3 ──► resolver(type,value)</w:t>
      </w:r>
      <w:r>
        <w:br/>
      </w:r>
      <w:r>
        <w:rPr>
          <w:rStyle w:val="VerbatimChar"/>
        </w:rPr>
        <w:t xml:space="preserve">     ├─ hit → customer (display refresh, history append)</w:t>
      </w:r>
      <w:r>
        <w:br/>
      </w:r>
      <w:r>
        <w:rPr>
          <w:rStyle w:val="VerbatimChar"/>
        </w:rPr>
        <w:t xml:space="preserve">     └─ miss → shell customer + identity (channel_auto)</w:t>
      </w:r>
      <w:r>
        <w:br/>
      </w:r>
      <w:r>
        <w:rPr>
          <w:rStyle w:val="VerbatimChar"/>
        </w:rPr>
        <w:t xml:space="preserve">staff actions: link (add) · unlink (→ new shell) · merge (consolidate, 30-d undo)</w:t>
      </w:r>
    </w:p>
    <w:bookmarkEnd w:id="37"/>
    <w:bookmarkStart w:id="38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RG flag: permission-gated at query level (not serializer level) — unpermitted requests never load the columns; API responses omit the keys entirely (BR-03).</w:t>
      </w:r>
      <w:r>
        <w:t xml:space="preserve"> </w:t>
      </w:r>
      <w:r>
        <w:t xml:space="preserve">SEC-02 Merge/unlink/high-risk actions require reasons and emit high-visibility audit (Doc 17); four-eyes optionally applies via Doc 03 T-06 when enabled.</w:t>
      </w:r>
      <w:r>
        <w:t xml:space="preserve"> </w:t>
      </w:r>
      <w:r>
        <w:t xml:space="preserve">SEC-03 Phone/email values masked in logs (Doc 02 SEC-08 scrubber patterns extended); full values visible only in permissioned UI/API.</w:t>
      </w:r>
      <w:r>
        <w:t xml:space="preserve"> </w:t>
      </w:r>
      <w:r>
        <w:t xml:space="preserve">SEC-04 Export (</w:t>
      </w:r>
      <w:r>
        <w:rPr>
          <w:rStyle w:val="VerbatimChar"/>
        </w:rPr>
        <w:t xml:space="preserve">customers.export</w:t>
      </w:r>
      <w:r>
        <w:t xml:space="preserve">) produces a watermarked archive (profile + tickets index + files manifest) via async job with signed URL, audited; erasure requests only</w:t>
      </w:r>
      <w:r>
        <w:t xml:space="preserve"> </w:t>
      </w:r>
      <w:r>
        <w:rPr>
          <w:iCs/>
          <w:i/>
        </w:rPr>
        <w:t xml:space="preserve">initiate</w:t>
      </w:r>
      <w:r>
        <w:t xml:space="preserve"> </w:t>
      </w:r>
      <w:r>
        <w:t xml:space="preserve">here — approval and execution are Doc 17’s workflow.</w:t>
      </w:r>
      <w:r>
        <w:t xml:space="preserve"> </w:t>
      </w:r>
      <w:r>
        <w:t xml:space="preserve">SEC-05 The duplicate-player_id hint reveals only counts + scope-checked links — never leaks names across an agent’s scope boundary.</w:t>
      </w:r>
      <w:r>
        <w:t xml:space="preserve"> </w:t>
      </w:r>
      <w:r>
        <w:t xml:space="preserve">SEC-06 Directory export respects the viewer’s scope at generation time (re-checked in the job, Doc 03 SEC-06 job semantics).</w:t>
      </w:r>
    </w:p>
    <w:bookmarkEnd w:id="38"/>
    <w:bookmarkStart w:id="39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Resolver NFR-01 verified under L2 inbound rates (it is on the hot path of every message).</w:t>
      </w:r>
    </w:p>
    <w:p>
      <w:pPr>
        <w:numPr>
          <w:ilvl w:val="0"/>
          <w:numId w:val="1004"/>
        </w:numPr>
        <w:pStyle w:val="Compact"/>
      </w:pPr>
      <w:r>
        <w:t xml:space="preserve">Panel endpoint ≤ 120 ms p95 server-side for header payload; sections ≤ 200 ms each.</w:t>
      </w:r>
    </w:p>
    <w:p>
      <w:pPr>
        <w:numPr>
          <w:ilvl w:val="0"/>
          <w:numId w:val="1004"/>
        </w:numPr>
        <w:pStyle w:val="Compact"/>
      </w:pPr>
      <w:r>
        <w:t xml:space="preserve">Directory: 1 M-row tenant paginates ≤ 150 ms p95; filters composite-indexed.</w:t>
      </w:r>
    </w:p>
    <w:p>
      <w:pPr>
        <w:numPr>
          <w:ilvl w:val="0"/>
          <w:numId w:val="1004"/>
        </w:numPr>
        <w:pStyle w:val="Compact"/>
      </w:pPr>
      <w:r>
        <w:t xml:space="preserve">Merge NFR-02; blocking cascade for a customer with 50 conversations ≤ 3 s.</w:t>
      </w:r>
    </w:p>
    <w:p>
      <w:pPr>
        <w:numPr>
          <w:ilvl w:val="0"/>
          <w:numId w:val="1004"/>
        </w:numPr>
        <w:pStyle w:val="Compact"/>
      </w:pPr>
      <w:r>
        <w:t xml:space="preserve">Rollup event handlers ≤ 5 ms each (they run on every ticket/CSAT event).</w:t>
      </w:r>
    </w:p>
    <w:bookmarkEnd w:id="39"/>
    <w:bookmarkStart w:id="40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Panel sections are labeled regions with heading hierarchy; inline-edit fields reachable and operable by keyboard with visible focus and save/cancel announced; identity history popovers keyboard-triggerable; merge diff radios grouped per field with both values read in context (</w:t>
      </w:r>
      <w:r>
        <w:t xml:space="preserve">“</w:t>
      </w:r>
      <w:r>
        <w:t xml:space="preserve">Name: keep</w:t>
      </w:r>
      <w:r>
        <w:t xml:space="preserve"> </w:t>
      </w:r>
      <w:r>
        <w:t xml:space="preserve">‘</w:t>
      </w:r>
      <w:r>
        <w:t xml:space="preserve">Abel T.</w:t>
      </w:r>
      <w:r>
        <w:t xml:space="preserve">’</w:t>
      </w:r>
      <w:r>
        <w:t xml:space="preserve"> </w:t>
      </w:r>
      <w:r>
        <w:t xml:space="preserve">from survivor, or</w:t>
      </w:r>
      <w:r>
        <w:t xml:space="preserve"> </w:t>
      </w:r>
      <w:r>
        <w:t xml:space="preserve">‘</w:t>
      </w:r>
      <w:r>
        <w:t xml:space="preserve">Abel Tesfaye</w:t>
      </w:r>
      <w:r>
        <w:t xml:space="preserve">’</w:t>
      </w:r>
      <w:r>
        <w:t xml:space="preserve"> </w:t>
      </w:r>
      <w:r>
        <w:t xml:space="preserve">from merged</w:t>
      </w:r>
      <w:r>
        <w:t xml:space="preserve">”</w:t>
      </w:r>
      <w:r>
        <w:t xml:space="preserve">); consequence checklists read as lists with counts; RG banner has</w:t>
      </w:r>
      <w:r>
        <w:t xml:space="preserve"> </w:t>
      </w:r>
      <w:r>
        <w:rPr>
          <w:rStyle w:val="VerbatimChar"/>
        </w:rPr>
        <w:t xml:space="preserve">role="note"</w:t>
      </w:r>
      <w:r>
        <w:t xml:space="preserve"> </w:t>
      </w:r>
      <w:r>
        <w:t xml:space="preserve">with the script link labeled; tombstone redirect announced; all copy-on-click affordances have button semantics and success announcements.</w:t>
      </w:r>
    </w:p>
    <w:bookmarkEnd w:id="40"/>
    <w:bookmarkStart w:id="41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All strings under</w:t>
      </w:r>
      <w:r>
        <w:t xml:space="preserve"> </w:t>
      </w:r>
      <w:r>
        <w:rPr>
          <w:rStyle w:val="VerbatimChar"/>
        </w:rPr>
        <w:t xml:space="preserve">customers.*</w:t>
      </w:r>
      <w:r>
        <w:t xml:space="preserve"> </w:t>
      </w:r>
      <w:r>
        <w:t xml:space="preserve">(en + am);</w:t>
      </w:r>
      <w:r>
        <w:t xml:space="preserve"> </w:t>
      </w:r>
      <w:r>
        <w:t xml:space="preserve">“</w:t>
      </w:r>
      <w:r>
        <w:t xml:space="preserve">staff-collected</w:t>
      </w:r>
      <w:r>
        <w:t xml:space="preserve">”</w:t>
      </w:r>
      <w:r>
        <w:t xml:space="preserve"> </w:t>
      </w:r>
      <w:r>
        <w:t xml:space="preserve">label translated with care (reviewed phrasing so it doesn’t read as</w:t>
      </w:r>
      <w:r>
        <w:t xml:space="preserve"> </w:t>
      </w:r>
      <w:r>
        <w:t xml:space="preserve">“</w:t>
      </w:r>
      <w:r>
        <w:t xml:space="preserve">untrusted</w:t>
      </w:r>
      <w:r>
        <w:t xml:space="preserve">”</w:t>
      </w:r>
      <w:r>
        <w:t xml:space="preserve"> </w:t>
      </w:r>
      <w:r>
        <w:t xml:space="preserve">to agents); phone display formatted per country (E.164 stored, national format shown with country flag); name handling makes no Western assumptions (single display_name field, no forced first/last split; Telegram first+last concatenation is display-only); dates/relative times per Doc 01; directory filters localized; Amharic search tested for the customers index (Meilisearch tokenization validated in AC-07).</w:t>
      </w:r>
    </w:p>
    <w:bookmarkEnd w:id="41"/>
    <w:bookmarkStart w:id="42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Two shells for the same human (Telegram + web) discovered mid-ticket → merge flow handles live objects (open tickets union per FR-12’s linked_work rule); the agent’s open thread re-points seamlessly (Doc 07 patches via</w:t>
      </w:r>
      <w:r>
        <w:t xml:space="preserve"> </w:t>
      </w:r>
      <w:r>
        <w:rPr>
          <w:rStyle w:val="VerbatimChar"/>
        </w:rPr>
        <w:t xml:space="preserve">customer.merged</w:t>
      </w:r>
      <w:r>
        <w:t xml:space="preserve">).</w:t>
      </w:r>
      <w:r>
        <w:t xml:space="preserve"> </w:t>
      </w:r>
      <w:r>
        <w:t xml:space="preserve">EC-02 Phone shared by a family (one phone, three players) → phone identity sits on one profile; attempts to add it elsewhere hit FR-09’s block; the note pattern + duplicate-hint (if same player_id) support the reality without forcing a merge; documented as the intended handling in agent onboarding copy.</w:t>
      </w:r>
      <w:r>
        <w:t xml:space="preserve"> </w:t>
      </w:r>
      <w:r>
        <w:t xml:space="preserve">EC-03 Telegram user deletes their account (id becomes inactive) → identity remains with history; sends fail per Doc 04/05 classifications; profile shows last-known display with an inactive hint from repeated hard failures (heuristic chip, informational).</w:t>
      </w:r>
      <w:r>
        <w:t xml:space="preserve"> </w:t>
      </w:r>
      <w:r>
        <w:t xml:space="preserve">EC-04 Merge undo after the survivor was merged again (chains) → undo permitted only at the outermost link first (mirror of Doc 06 EC-03); UI explains the required order.</w:t>
      </w:r>
      <w:r>
        <w:t xml:space="preserve"> </w:t>
      </w:r>
      <w:r>
        <w:t xml:space="preserve">EC-05 Unlink the only identity → allowed; original profile remains (staff data intact) with zero identities and an</w:t>
      </w:r>
      <w:r>
        <w:t xml:space="preserve"> </w:t>
      </w:r>
      <w:r>
        <w:t xml:space="preserve">“</w:t>
      </w:r>
      <w:r>
        <w:t xml:space="preserve">unreachable</w:t>
      </w:r>
      <w:r>
        <w:t xml:space="preserve">”</w:t>
      </w:r>
      <w:r>
        <w:t xml:space="preserve"> </w:t>
      </w:r>
      <w:r>
        <w:t xml:space="preserve">chip; the shell carries the conversations.</w:t>
      </w:r>
      <w:r>
        <w:t xml:space="preserve"> </w:t>
      </w:r>
      <w:r>
        <w:t xml:space="preserve">EC-06 RG flag set by AI on a false positive → clearing requires the permission + reason; history keeps both; Doc 09’s calibration consumes clear-reasons.</w:t>
      </w:r>
      <w:r>
        <w:t xml:space="preserve"> </w:t>
      </w:r>
      <w:r>
        <w:t xml:space="preserve">EC-07 Blocked customer messages via a brand-new channel identity (evasion) → new shell isn’t blocked (no auto-link, BR-02); agents can merge-then-inherit-block or block the shell; the duplicate-player_id hint often surfaces the evasion; documented limitation of the no-verification stance.</w:t>
      </w:r>
      <w:r>
        <w:t xml:space="preserve"> </w:t>
      </w:r>
      <w:r>
        <w:t xml:space="preserve">EC-08 display_name collision (two</w:t>
      </w:r>
      <w:r>
        <w:t xml:space="preserve"> </w:t>
      </w:r>
      <w:r>
        <w:t xml:space="preserve">“</w:t>
      </w:r>
      <w:r>
        <w:t xml:space="preserve">Abel T.</w:t>
      </w:r>
      <w:r>
        <w:t xml:space="preserve">”</w:t>
      </w:r>
      <w:r>
        <w:t xml:space="preserve">) → directory disambiguates with identity glyph values + short-id suffix on hover; no uniqueness constraint on names.</w:t>
      </w:r>
      <w:r>
        <w:t xml:space="preserve"> </w:t>
      </w:r>
      <w:r>
        <w:t xml:space="preserve">EC-09 Custom-field definition deleted (Doc 12) while values exist → values retained read-only with a</w:t>
      </w:r>
      <w:r>
        <w:t xml:space="preserve"> </w:t>
      </w:r>
      <w:r>
        <w:t xml:space="preserve">“</w:t>
      </w:r>
      <w:r>
        <w:t xml:space="preserve">retired field</w:t>
      </w:r>
      <w:r>
        <w:t xml:space="preserve">”</w:t>
      </w:r>
      <w:r>
        <w:t xml:space="preserve"> </w:t>
      </w:r>
      <w:r>
        <w:t xml:space="preserve">tag (Doc 12 owns the rule; renderer here honors it).</w:t>
      </w:r>
      <w:r>
        <w:t xml:space="preserve"> </w:t>
      </w:r>
      <w:r>
        <w:t xml:space="preserve">EC-10 Country/language disagreement (staff set vs newly detected) → staff-set is sticky (FR-01); a subtle chip offers</w:t>
      </w:r>
      <w:r>
        <w:t xml:space="preserve"> </w:t>
      </w:r>
      <w:r>
        <w:t xml:space="preserve">“</w:t>
      </w:r>
      <w:r>
        <w:t xml:space="preserve">detected: Amharic — apply?</w:t>
      </w:r>
      <w:r>
        <w:t xml:space="preserve">”</w:t>
      </w:r>
      <w:r>
        <w:t xml:space="preserve"> </w:t>
      </w:r>
      <w:r>
        <w:t xml:space="preserve">once per change.</w:t>
      </w:r>
      <w:r>
        <w:t xml:space="preserve"> </w:t>
      </w:r>
      <w:r>
        <w:t xml:space="preserve">EC-11 Concurrent edits to the same profile field → last-writer-wins + conflict toast + both audited (Doc 01 EC-06 pattern).</w:t>
      </w:r>
      <w:r>
        <w:t xml:space="preserve"> </w:t>
      </w:r>
      <w:r>
        <w:t xml:space="preserve">EC-12 Merge attempted where combined open linked_work would exceed Doc 06’s cap of 3 → confirm step blocks with the exact tickets listed (</w:t>
      </w:r>
      <w:r>
        <w:t xml:space="preserve">“</w:t>
      </w:r>
      <w:r>
        <w:t xml:space="preserve">resolve or transfer one first</w:t>
      </w:r>
      <w:r>
        <w:t xml:space="preserve">”</w:t>
      </w:r>
      <w:r>
        <w:t xml:space="preserve">).</w:t>
      </w:r>
    </w:p>
    <w:bookmarkEnd w:id="42"/>
    <w:bookmarkStart w:id="43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Meilisearch down → directory search degrades to DB prefix search on names/phone (slower, labeled); panel unaffected.</w:t>
      </w:r>
      <w:r>
        <w:t xml:space="preserve"> </w:t>
      </w:r>
      <w:r>
        <w:t xml:space="preserve">FS-02 Merge saga crash mid-chunk → compensation restores pre-merge pointers from the saga log; the pair is never left half-merged (T-08 chaos test proves); user notified with retry.</w:t>
      </w:r>
      <w:r>
        <w:t xml:space="preserve"> </w:t>
      </w:r>
      <w:r>
        <w:t xml:space="preserve">FS-03 Rollup event handler backlog → rollups lag (counts stale) with the standard staleness pattern; weekly checker (NFR-05) heals residuals.</w:t>
      </w:r>
      <w:r>
        <w:t xml:space="preserve"> </w:t>
      </w:r>
      <w:r>
        <w:t xml:space="preserve">FS-04 Blocking cascade partially applied at crash → the outbound guard (T-06 belt-and-braces) still refuses sends for the customer while a repair job completes the cascade.</w:t>
      </w:r>
      <w:r>
        <w:t xml:space="preserve"> </w:t>
      </w:r>
      <w:r>
        <w:t xml:space="preserve">FS-05 Export job fails after partial archive → job restarts idempotently; partial artifacts never get signed URLs.</w:t>
      </w:r>
    </w:p>
    <w:bookmarkEnd w:id="43"/>
    <w:bookmarkStart w:id="44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An agent handles a returning player: opens the chat, sees 8 prior contacts and the pinned note (</w:t>
      </w:r>
      <w:r>
        <w:t xml:space="preserve">“</w:t>
      </w:r>
      <w:r>
        <w:t xml:space="preserve">VIP — always confirm withdrawals by voice</w:t>
      </w:r>
      <w:r>
        <w:t xml:space="preserve">”</w:t>
      </w:r>
      <w:r>
        <w:t xml:space="preserve">), resolves in 3 minutes without one repeated question.</w:t>
      </w:r>
      <w:r>
        <w:t xml:space="preserve"> </w:t>
      </w:r>
      <w:r>
        <w:t xml:space="preserve">SS-02 A player’s lost-phone story (new Telegram account): agent finds the old profile by player_id, merges guided, history unified, 30-day undo unused because the choice was right — total time 90 seconds.</w:t>
      </w:r>
      <w:r>
        <w:t xml:space="preserve"> </w:t>
      </w:r>
      <w:r>
        <w:t xml:space="preserve">SS-03 An RG detection flags a customer; only the two permitted staff see it; the routing/suppression contracts (FR-15) engage; the compliance export shows the full flag history.</w:t>
      </w:r>
      <w:r>
        <w:t xml:space="preserve"> </w:t>
      </w:r>
      <w:r>
        <w:t xml:space="preserve">SS-04 The resolver sustains L2 inbound with p99 within budget and zero duplicate customers created under race testing.</w:t>
      </w:r>
    </w:p>
    <w:bookmarkEnd w:id="44"/>
    <w:bookmarkStart w:id="45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Resolver matrix (T-08): exact-match, create-shell, concurrent-first-message race (→1 customer), username-change history append, and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cross-type auto-link fixture (phone mentioned in chat text does NOT attach).</w:t>
      </w:r>
      <w:r>
        <w:t xml:space="preserve"> </w:t>
      </w:r>
      <w:r>
        <w:t xml:space="preserve">AC-02 Identity invariants: (tenant,type,value) uniqueness enforced at DB (direct-SQL duplicate fails); FR-09 duplicate-phone block with merge shortcut verified.</w:t>
      </w:r>
      <w:r>
        <w:t xml:space="preserve"> </w:t>
      </w:r>
      <w:r>
        <w:t xml:space="preserve">AC-03 Merge: full flow + 30-day undo round-trip restores byte-identical pointers (snapshot diff = ∅ for pre-merge objects); post-merge-created objects stay with survivor and are listed in the undo preview; EC-04 chain ordering enforced.</w:t>
      </w:r>
      <w:r>
        <w:t xml:space="preserve"> </w:t>
      </w:r>
      <w:r>
        <w:t xml:space="preserve">AC-04 Unlink: identity moves to a new shell with exactly its conversations/tickets; typed confirmation content matches the actual move set.</w:t>
      </w:r>
      <w:r>
        <w:t xml:space="preserve"> </w:t>
      </w:r>
      <w:r>
        <w:t xml:space="preserve">AC-05 RG visibility: per-role fixtures prove column-level absence (API), UI absence, cache-bypass freshness, and history immutability.</w:t>
      </w:r>
      <w:r>
        <w:t xml:space="preserve"> </w:t>
      </w:r>
      <w:r>
        <w:t xml:space="preserve">AC-06 Blocking: customer-level block quiets all channels ≤ 3 s incl. the mid-cascade new-conversation guard; unblock restores; both audited.</w:t>
      </w:r>
      <w:r>
        <w:t xml:space="preserve"> </w:t>
      </w:r>
      <w:r>
        <w:t xml:space="preserve">AC-07 Search: scope injection proven (Doc 03 AC-03 reuse); historical-username hits; Amharic name search returns expected results on the seeded corpus.</w:t>
      </w:r>
      <w:r>
        <w:t xml:space="preserve"> </w:t>
      </w:r>
      <w:r>
        <w:t xml:space="preserve">AC-08 Panel contract: header ≤ 300 ms, sections lazy, inline edits save with provenance, all per Doc 07 slot integration test.</w:t>
      </w:r>
      <w:r>
        <w:t xml:space="preserve"> </w:t>
      </w:r>
      <w:r>
        <w:t xml:space="preserve">AC-09 No-verification rule: repo-wide assertion that no customer-identity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UI variant or API field exists (BR-01 design-system test).</w:t>
      </w:r>
    </w:p>
    <w:bookmarkEnd w:id="45"/>
    <w:bookmarkStart w:id="46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Optional operator-side identity confirmation flows (if policy ever changes) — the provenance model already supports a</w:t>
      </w:r>
      <w:r>
        <w:t xml:space="preserve"> </w:t>
      </w:r>
      <w:r>
        <w:rPr>
          <w:rStyle w:val="VerbatimChar"/>
        </w:rPr>
        <w:t xml:space="preserve">confirmed_by_staff</w:t>
      </w:r>
      <w:r>
        <w:t xml:space="preserve"> </w:t>
      </w:r>
      <w:r>
        <w:t xml:space="preserve">source without schema change; explicitly out of v1 per policy.</w:t>
      </w:r>
    </w:p>
    <w:p>
      <w:pPr>
        <w:numPr>
          <w:ilvl w:val="0"/>
          <w:numId w:val="1005"/>
        </w:numPr>
        <w:pStyle w:val="Compact"/>
      </w:pPr>
      <w:r>
        <w:t xml:space="preserve">Customer-visible profile/self-service (Doc 13 portal expansion) with self-asserted fields kept distinct by source.</w:t>
      </w:r>
    </w:p>
    <w:p>
      <w:pPr>
        <w:numPr>
          <w:ilvl w:val="0"/>
          <w:numId w:val="1005"/>
        </w:numPr>
        <w:pStyle w:val="Compact"/>
      </w:pPr>
      <w:r>
        <w:t xml:space="preserve">Household/related-profiles graph (formalizing EC-02’s reality) with relationship edges instead of merges.</w:t>
      </w:r>
    </w:p>
    <w:p>
      <w:pPr>
        <w:numPr>
          <w:ilvl w:val="0"/>
          <w:numId w:val="1005"/>
        </w:numPr>
        <w:pStyle w:val="Compact"/>
      </w:pPr>
      <w:r>
        <w:t xml:space="preserve">Enrichment connectors (if an operator ever gets betting-platform API access): a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identity type and read-only synced fields are reserved namespaces.</w:t>
      </w:r>
    </w:p>
    <w:p>
      <w:pPr>
        <w:numPr>
          <w:ilvl w:val="0"/>
          <w:numId w:val="1005"/>
        </w:numPr>
        <w:pStyle w:val="Compact"/>
      </w:pPr>
      <w:r>
        <w:t xml:space="preserve">ML-assisted duplicate-profile suggestions (suggest-only, human-confirmed — BR-02 preserved).</w:t>
      </w:r>
    </w:p>
    <w:bookmarkEnd w:id="46"/>
    <w:bookmarkStart w:id="47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Misattribution via wrong merges (High impact) → human-only consolidation (BR-02), guided diff, 30-day undo, high-risk permission + audit; merge-rate metric in Doc 15 for anomaly review.</w:t>
      </w:r>
      <w:r>
        <w:t xml:space="preserve"> </w:t>
      </w:r>
      <w:r>
        <w:t xml:space="preserve">R-02 The no-verification stance enabling social engineering (High/accepted by policy) → mitigations are contextual honesty (</w:t>
      </w:r>
      <w:r>
        <w:t xml:space="preserve">“</w:t>
      </w:r>
      <w:r>
        <w:t xml:space="preserve">staff-collected</w:t>
      </w:r>
      <w:r>
        <w:t xml:space="preserve">”</w:t>
      </w:r>
      <w:r>
        <w:t xml:space="preserve"> </w:t>
      </w:r>
      <w:r>
        <w:t xml:space="preserve">labels), the duplicate-player_id hint, and BR-01’s explicit reliance on the betting backoffice as the money control point; revisit trigger documented (§19 first bullet).</w:t>
      </w:r>
      <w:r>
        <w:t xml:space="preserve"> </w:t>
      </w:r>
      <w:r>
        <w:t xml:space="preserve">R-03 RG flag leakage through side channels (Medium/High) → absence-not-redaction, query-level gating, scope-checked hints, AC-05; periodic red-team fixture in Doc 19.</w:t>
      </w:r>
      <w:r>
        <w:t xml:space="preserve"> </w:t>
      </w:r>
      <w:r>
        <w:t xml:space="preserve">R-04 Profile data rot (stale names, dead identities) (High likelihood/Low impact) → provenance timestamps, inactive hints (EC-03), and honest display rather than false freshness.</w:t>
      </w:r>
      <w:r>
        <w:t xml:space="preserve"> </w:t>
      </w:r>
      <w:r>
        <w:t xml:space="preserve">R-05 Merge performance on whale profiles (Medium/Medium) → chunked saga, async UX, NFR-02 budget with progress; tested at 10× fixture scale.</w:t>
      </w:r>
    </w:p>
    <w:bookmarkEnd w:id="47"/>
    <w:bookmarkStart w:id="48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resolver + uniqueness index first and wire Doc 04 to it immediately — every day of traffic before merge tooling exists creates consolidation debt, so ship merge in the same milestone.</w:t>
      </w:r>
    </w:p>
    <w:p>
      <w:pPr>
        <w:numPr>
          <w:ilvl w:val="0"/>
          <w:numId w:val="1006"/>
        </w:numPr>
        <w:pStyle w:val="Compact"/>
      </w:pPr>
      <w:r>
        <w:t xml:space="preserve">Write the agent-onboarding page for EC-02/EC-07 realities (shared phones, on-behalf contacts, evasion limits) alongside this module; the product’s honesty stance only works if agents understand where the real control point is (the betting backoffice).</w:t>
      </w:r>
    </w:p>
    <w:p>
      <w:pPr>
        <w:numPr>
          <w:ilvl w:val="0"/>
          <w:numId w:val="1006"/>
        </w:numPr>
        <w:pStyle w:val="Compact"/>
      </w:pPr>
      <w:r>
        <w:t xml:space="preserve">Keep BR-01’s design-system test (AC-09) forever — the first well-meaning PR that adds a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checkmark will otherwise arrive within a quarter.</w:t>
      </w:r>
    </w:p>
    <w:p>
      <w:pPr>
        <w:numPr>
          <w:ilvl w:val="0"/>
          <w:numId w:val="1006"/>
        </w:numPr>
        <w:pStyle w:val="Compact"/>
      </w:pPr>
      <w:r>
        <w:t xml:space="preserve">Dogfood the merge flow against deliberately messy staging data (shared phones, renamed usernames, chained merges) before agent access; EC-04’s ordering rule in particular needs real-flow validation.</w:t>
      </w:r>
    </w:p>
    <w:p>
      <w:pPr>
        <w:numPr>
          <w:ilvl w:val="0"/>
          <w:numId w:val="1006"/>
        </w:numPr>
        <w:pStyle w:val="Compact"/>
      </w:pPr>
      <w:r>
        <w:t xml:space="preserve">Review R-02’s revisit trigger quarterly with the operator: if impersonation-driven losses appear in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backoffice, the reserved confirmation flows (§19) are the designed escape hatch — not ad-hoc verification bolted into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08. Next in series: Document 09 — AI System: Chatbot, Copilot, Supervisor.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2026-07-26T19:50:26Z</dcterms:created>
  <dcterms:modified xsi:type="dcterms:W3CDTF">2026-07-26T19:50:26Z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