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9" w:name="Xde1efa88891b9565b5d907b74ce4fe13e406beb"/>
    <w:p>
      <w:pPr>
        <w:pStyle w:val="Heading1"/>
      </w:pPr>
      <w:r>
        <w:t xml:space="preserve">Document 09 — AI System: Chatbot, Copilot, Supervisor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09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AI engineers, backend engineers, frontend engineers, QA, product, compliance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Doc 01 (events, settings, quotas), Doc 03 (permissions</w:t>
      </w:r>
      <w:r>
        <w:t xml:space="preserve"> </w:t>
      </w:r>
      <w:r>
        <w:rPr>
          <w:rStyle w:val="VerbatimChar"/>
        </w:rPr>
        <w:t xml:space="preserve">ai.*</w:t>
      </w:r>
      <w:r>
        <w:t xml:space="preserve">), Doc 04 (message pipeline, transcript/OCR hooks, batch-tail hint), Doc 05 (flows, menus, business-mode fallbacks), Doc 06 (handoff packet contract, subject generation), Doc 08 (customer context, RG flag storage). Consumed by: Doc 07 (Copilot slot, AI actions), Doc 10 (KB retrieval), Doc 12 (automation AI actions), Doc 15 (AI reports).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Provider-agnostic orchestrator over HTTP LLM APIs (model-per-task), pgvector (retrieval), Redis (semaphores), Horizon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queue, Reverb streaming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platform’s AI layer as three surfaces sharing one orchestrator: the</w:t>
      </w:r>
      <w:r>
        <w:t xml:space="preserve"> </w:t>
      </w:r>
      <w:r>
        <w:rPr>
          <w:bCs/>
          <w:b/>
        </w:rPr>
        <w:t xml:space="preserve">Chatbot</w:t>
      </w:r>
      <w:r>
        <w:t xml:space="preserve"> </w:t>
      </w:r>
      <w:r>
        <w:t xml:space="preserve">(customer-facing on Telegram and web — greets, detects language and intent, runs forms, answers from the knowledge base, resolves or hands off), the</w:t>
      </w:r>
      <w:r>
        <w:t xml:space="preserve"> </w:t>
      </w:r>
      <w:r>
        <w:rPr>
          <w:bCs/>
          <w:b/>
        </w:rPr>
        <w:t xml:space="preserve">Copilot</w:t>
      </w:r>
      <w:r>
        <w:t xml:space="preserve"> </w:t>
      </w:r>
      <w:r>
        <w:t xml:space="preserve">(agent-facing — summaries, drafted replies, translation, similar tickets, macro suggestions; never auto-sends), and the</w:t>
      </w:r>
      <w:r>
        <w:t xml:space="preserve"> </w:t>
      </w:r>
      <w:r>
        <w:rPr>
          <w:bCs/>
          <w:b/>
        </w:rPr>
        <w:t xml:space="preserve">Supervisor</w:t>
      </w:r>
      <w:r>
        <w:t xml:space="preserve"> </w:t>
      </w:r>
      <w:r>
        <w:t xml:space="preserve">(management-facing — anomaly alerts, sentiment monitoring, QA pre-scoring, daily digests). It defines the per-message inference pipeline (normalize → classify → decide → act), retrieval-augmented answering over Doc 10’s published articles, the Responsible Gaming classifier with its priority override, the complete Backoffice configuration surface (personas, thresholds with historical simulation, guardrails, kill switches — all no-code), the AI decision log that makes every action reportable and tunable, the quality loop, honesty rules (disclosure, no invented transaction facts, visible AI marking), provider abstraction with model-per-task routing, prompt/config versioning, cost metering against Doc 01 quotas, and degradation behavior when providers fail. The platform’s stance: AI resolves the routine majority, and every AI action is visible, attributable, reversible in effect, and measurable.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Specify AI behavior as product contracts (inputs, outputs, thresholds, fallbacks) rather than model magic, so QA can test it and operators can configure it.</w:t>
      </w:r>
    </w:p>
    <w:p>
      <w:pPr>
        <w:numPr>
          <w:ilvl w:val="0"/>
          <w:numId w:val="1001"/>
        </w:numPr>
        <w:pStyle w:val="Compact"/>
      </w:pPr>
      <w:r>
        <w:t xml:space="preserve">Bound the Chatbot’s authority precisely — what it may answer, what it must never claim, when it must hand off — for a money-adjacent domain.</w:t>
      </w:r>
    </w:p>
    <w:p>
      <w:pPr>
        <w:numPr>
          <w:ilvl w:val="0"/>
          <w:numId w:val="1001"/>
        </w:numPr>
        <w:pStyle w:val="Compact"/>
      </w:pPr>
      <w:r>
        <w:t xml:space="preserve">Make AI performance a first-class dataset (decision log) powering Doc 15 reports and continuous tuning.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orchestrator architecture &amp; provider abstraction; task catalog (classify, chatbot turn, draft, summarize, translate, transcribe, OCR, subject, QA pre-score, anomaly digest); the inference pipeline and its attachment points in Doc 04/05; RAG over KB; RG classifier &amp; override; handoff logic and the Doc 06 packet production; Copilot features &amp; UI contract for Doc 07’s slot; Supervisor surface outputs; Backoffice config (personas, thresholds, guardrails, scopes, kill switches); decision logging; quality loop; honesty rules; cost metering; degradation; events.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KB authoring (Doc 10); automation rule conditions that consume AI outputs (Doc 12); AI report rendering (Doc 15); the raw media hooks’ storage (Doc 04); model training/fine-tuning (not in v1 — prompt+retrieval only).</w:t>
      </w:r>
    </w:p>
    <w:bookmarkEnd w:id="22"/>
    <w:bookmarkStart w:id="31" w:name="functional-requirements"/>
    <w:p>
      <w:pPr>
        <w:pStyle w:val="Heading2"/>
      </w:pPr>
      <w:r>
        <w:t xml:space="preserve">4. Functional Requirements</w:t>
      </w:r>
    </w:p>
    <w:bookmarkStart w:id="23" w:name="orchestrator-task-catalog"/>
    <w:p>
      <w:pPr>
        <w:pStyle w:val="Heading3"/>
      </w:pPr>
      <w:r>
        <w:t xml:space="preserve">4.1 Orchestrator &amp; task catalog</w:t>
      </w:r>
    </w:p>
    <w:p>
      <w:pPr>
        <w:pStyle w:val="FirstParagraph"/>
      </w:pPr>
      <w:r>
        <w:t xml:space="preserve">FR-01</w:t>
      </w:r>
      <w:r>
        <w:t xml:space="preserve"> </w:t>
      </w:r>
      <w:r>
        <w:rPr>
          <w:rStyle w:val="VerbatimChar"/>
        </w:rPr>
        <w:t xml:space="preserve">AiOrchestrator</w:t>
      </w:r>
      <w:r>
        <w:t xml:space="preserve"> </w:t>
      </w:r>
      <w:r>
        <w:t xml:space="preserve">exposes typed tasks; each task declares: input schema, output schema, default model tier (</w:t>
      </w:r>
      <w:r>
        <w:rPr>
          <w:rStyle w:val="VerbatimChar"/>
        </w:rPr>
        <w:t xml:space="preserve">fast</w:t>
      </w:r>
      <w:r>
        <w:t xml:space="preserve"> </w:t>
      </w:r>
      <w:r>
        <w:t xml:space="preserve">= cheap classification-grade,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= drafting-grade), max tokens, timeout, retry policy, and whether output is customer-visible (stricter guardrail set). v1 tasks:</w:t>
      </w:r>
      <w:r>
        <w:t xml:space="preserve"> </w:t>
      </w:r>
      <w:r>
        <w:rPr>
          <w:rStyle w:val="VerbatimChar"/>
        </w:rPr>
        <w:t xml:space="preserve">classify_message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chatbot_turn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draft_reply</w:t>
      </w:r>
      <w:r>
        <w:t xml:space="preserve">,</w:t>
      </w:r>
      <w:r>
        <w:t xml:space="preserve"> </w:t>
      </w:r>
      <w:r>
        <w:rPr>
          <w:rStyle w:val="VerbatimChar"/>
        </w:rPr>
        <w:t xml:space="preserve">improve_text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summarize_thread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transcribe_voice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ocr_receipt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generate_subject</w:t>
      </w:r>
      <w:r>
        <w:t xml:space="preserve"> </w:t>
      </w:r>
      <w:r>
        <w:t xml:space="preserve">(Doc 06 FR-03),</w:t>
      </w:r>
      <w:r>
        <w:t xml:space="preserve"> </w:t>
      </w:r>
      <w:r>
        <w:rPr>
          <w:rStyle w:val="VerbatimChar"/>
        </w:rPr>
        <w:t xml:space="preserve">qa_prescore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anomaly_scan</w:t>
      </w:r>
      <w:r>
        <w:t xml:space="preserve">.</w:t>
      </w:r>
      <w:r>
        <w:t xml:space="preserve"> </w:t>
      </w:r>
      <w:r>
        <w:t xml:space="preserve">FR-02 Provider abstraction: named provider configs (endpoint, auth ref via vault, model map per tier) with an ordered fallback chain per task tier; switching providers or models is a Backoffice change (</w:t>
      </w:r>
      <w:r>
        <w:rPr>
          <w:rStyle w:val="VerbatimChar"/>
        </w:rPr>
        <w:t xml:space="preserve">ai.thresholds.edit</w:t>
      </w:r>
      <w:r>
        <w:t xml:space="preserve">-adjacent key</w:t>
      </w:r>
      <w:r>
        <w:t xml:space="preserve"> </w:t>
      </w:r>
      <w:r>
        <w:rPr>
          <w:rStyle w:val="VerbatimChar"/>
        </w:rPr>
        <w:t xml:space="preserve">ai.providers.manage</w:t>
      </w:r>
      <w:r>
        <w:t xml:space="preserve"> </w:t>
      </w:r>
      <w:r>
        <w:t xml:space="preserve">added to the Doc 03 catalog change log), zero deploy.</w:t>
      </w:r>
      <w:r>
        <w:t xml:space="preserve"> </w:t>
      </w:r>
      <w:r>
        <w:t xml:space="preserve">FR-03 Every task call runs as a queued job on the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queue with a per-tenant concurrency semaphore (Redis) and per-tenant daily token quota (Doc 01 NFR-06); customer-blocking paths (chatbot turn) get priority lanes over background paths (digest, QA pre-score).</w:t>
      </w:r>
      <w:r>
        <w:t xml:space="preserve"> </w:t>
      </w:r>
      <w:r>
        <w:t xml:space="preserve">FR-04 Prompt/config versioning: prompts, persona settings, thresholds, and guardrail sets are versioned records; every decision logs the exact</w:t>
      </w:r>
      <w:r>
        <w:t xml:space="preserve"> </w:t>
      </w:r>
      <w:r>
        <w:rPr>
          <w:rStyle w:val="VerbatimChar"/>
        </w:rPr>
        <w:t xml:space="preserve">config_version</w:t>
      </w:r>
      <w:r>
        <w:t xml:space="preserve">; publishing a new version is instant with rollback (Doc 05 menu-publish pattern).</w:t>
      </w:r>
    </w:p>
    <w:bookmarkEnd w:id="23"/>
    <w:bookmarkStart w:id="24" w:name="X087457f03e965f4f8f904825d6b2b9f9c6bc69b"/>
    <w:p>
      <w:pPr>
        <w:pStyle w:val="Heading3"/>
      </w:pPr>
      <w:r>
        <w:t xml:space="preserve">4.2 Inference pipeline (per inbound customer message — attaches at Doc 04 FR-10 step 6)</w:t>
      </w:r>
    </w:p>
    <w:p>
      <w:pPr>
        <w:pStyle w:val="FirstParagraph"/>
      </w:pPr>
      <w:r>
        <w:t xml:space="preserve">FR-05</w:t>
      </w:r>
      <w:r>
        <w:t xml:space="preserve"> </w:t>
      </w:r>
      <w:r>
        <w:rPr>
          <w:bCs/>
          <w:b/>
        </w:rPr>
        <w:t xml:space="preserve">Normalize:</w:t>
      </w:r>
      <w:r>
        <w:t xml:space="preserve"> </w:t>
      </w:r>
      <w:r>
        <w:t xml:space="preserve">voice →</w:t>
      </w:r>
      <w:r>
        <w:t xml:space="preserve"> </w:t>
      </w:r>
      <w:r>
        <w:rPr>
          <w:rStyle w:val="VerbatimChar"/>
        </w:rPr>
        <w:t xml:space="preserve">transcribe_voice</w:t>
      </w:r>
      <w:r>
        <w:t xml:space="preserve"> </w:t>
      </w:r>
      <w:r>
        <w:t xml:space="preserve">(writes transcript_ref per Doc 04 T-05); receipt-like images →</w:t>
      </w:r>
      <w:r>
        <w:t xml:space="preserve"> </w:t>
      </w:r>
      <w:r>
        <w:rPr>
          <w:rStyle w:val="VerbatimChar"/>
        </w:rPr>
        <w:t xml:space="preserve">ocr_receipt</w:t>
      </w:r>
      <w:r>
        <w:t xml:space="preserve"> </w:t>
      </w:r>
      <w:r>
        <w:t xml:space="preserve">extracting {amount, currency, reference, timestamp, method?} with per-field confidence; language detection on text/transcript (persisted per Doc 04 FR-06).</w:t>
      </w:r>
      <w:r>
        <w:t xml:space="preserve"> </w:t>
      </w:r>
      <w:r>
        <w:t xml:space="preserve">FR-06</w:t>
      </w:r>
      <w:r>
        <w:t xml:space="preserve"> </w:t>
      </w:r>
      <w:r>
        <w:rPr>
          <w:bCs/>
          <w:b/>
        </w:rPr>
        <w:t xml:space="preserve">Classify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classify_message</w:t>
      </w:r>
      <w:r>
        <w:t xml:space="preserve">, fast tier, batched on Doc 04 EC-01’s batch-tail hint): outputs intent (operator-configurable taxonomy seeded: deposits, withdrawals, bonuses, verification, technical, betting_rules, complaint, rg_risk, spam, other), sentiment (−2..+2), urgency (0..3), spam probability,</w:t>
      </w:r>
      <w:r>
        <w:t xml:space="preserve"> </w:t>
      </w:r>
      <w:r>
        <w:rPr>
          <w:bCs/>
          <w:b/>
        </w:rPr>
        <w:t xml:space="preserve">rg_risk score</w:t>
      </w:r>
      <w:r>
        <w:t xml:space="preserve"> </w:t>
      </w:r>
      <w:r>
        <w:t xml:space="preserve">— the RG classifier is a dedicated prompt tuned for high precision; any rg_risk ≥ threshold</w:t>
      </w:r>
      <w:r>
        <w:t xml:space="preserve"> </w:t>
      </w:r>
      <w:r>
        <w:rPr>
          <w:bCs/>
          <w:b/>
        </w:rPr>
        <w:t xml:space="preserve">overrides everything</w:t>
      </w:r>
      <w:r>
        <w:t xml:space="preserve"> </w:t>
      </w:r>
      <w:r>
        <w:t xml:space="preserve">(FR-13).</w:t>
      </w:r>
      <w:r>
        <w:t xml:space="preserve"> </w:t>
      </w:r>
      <w:r>
        <w:t xml:space="preserve">FR-07</w:t>
      </w:r>
      <w:r>
        <w:t xml:space="preserve"> </w:t>
      </w:r>
      <w:r>
        <w:rPr>
          <w:bCs/>
          <w:b/>
        </w:rPr>
        <w:t xml:space="preserve">Decide:</w:t>
      </w:r>
      <w:r>
        <w:t xml:space="preserve"> </w:t>
      </w:r>
      <w:r>
        <w:t xml:space="preserve">if the conversation has an open assigned ticket → no chatbot turn; deliver classification to Copilot context and stop. Else if chatbot enabled for this endpoint (Doc 05/13 flags + kill switches) →</w:t>
      </w:r>
      <w:r>
        <w:t xml:space="preserve"> </w:t>
      </w:r>
      <w:r>
        <w:rPr>
          <w:rStyle w:val="VerbatimChar"/>
        </w:rPr>
        <w:t xml:space="preserve">chatbot_turn</w:t>
      </w:r>
      <w:r>
        <w:t xml:space="preserve">. Else → handoff path directly.</w:t>
      </w:r>
      <w:r>
        <w:t xml:space="preserve"> </w:t>
      </w:r>
      <w:r>
        <w:t xml:space="preserve">FR-08</w:t>
      </w:r>
      <w:r>
        <w:t xml:space="preserve"> </w:t>
      </w:r>
      <w:r>
        <w:rPr>
          <w:bCs/>
          <w:b/>
        </w:rPr>
        <w:t xml:space="preserve">Chatbot turn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chatbot_turn</w:t>
      </w:r>
      <w:r>
        <w:t xml:space="preserve">, strong tier, streaming): context = persona + guardrails + conversation window (last N messages, config) + customer context (language, prior-ticket topical summary — no RG flag content ever enters prompts for non-RG flows, SEC-04) + retrieval results (FR-10) + active flow state (Doc 05 menu flows / Doc 12 forms). Output is a structured action:</w:t>
      </w:r>
      <w:r>
        <w:t xml:space="preserve"> </w:t>
      </w:r>
      <w:r>
        <w:rPr>
          <w:rStyle w:val="VerbatimChar"/>
        </w:rPr>
        <w:t xml:space="preserve">answer{text, citations[]}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run_form{form_id}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continue_flow{...}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handoff{reason}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resolve{closing_text}</w:t>
      </w:r>
      <w:r>
        <w:t xml:space="preserve">; the adapter layer renders per channel capability (buttons vs numbered text, Doc 05 FR-27).</w:t>
      </w:r>
      <w:r>
        <w:t xml:space="preserve"> </w:t>
      </w:r>
      <w:r>
        <w:t xml:space="preserve">FR-09</w:t>
      </w:r>
      <w:r>
        <w:t xml:space="preserve"> </w:t>
      </w:r>
      <w:r>
        <w:rPr>
          <w:bCs/>
          <w:b/>
        </w:rPr>
        <w:t xml:space="preserve">Resolution &amp; CSAT: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marks the conversation AI-resolved (no ticket) and triggers the 1-tap CSAT prompt (Doc 12 survey); a customer reply after AI-resolve within 24 h reopens the AI turn with prior context flagged</w:t>
      </w:r>
      <w:r>
        <w:t xml:space="preserve"> </w:t>
      </w:r>
      <w:r>
        <w:rPr>
          <w:rStyle w:val="VerbatimChar"/>
        </w:rPr>
        <w:t xml:space="preserve">post_resolution</w:t>
      </w:r>
      <w:r>
        <w:t xml:space="preserve">.</w:t>
      </w:r>
    </w:p>
    <w:bookmarkEnd w:id="24"/>
    <w:bookmarkStart w:id="25" w:name="retrieval-rag"/>
    <w:p>
      <w:pPr>
        <w:pStyle w:val="Heading3"/>
      </w:pPr>
      <w:r>
        <w:t xml:space="preserve">4.3 Retrieval (RAG)</w:t>
      </w:r>
    </w:p>
    <w:p>
      <w:pPr>
        <w:pStyle w:val="FirstParagraph"/>
      </w:pPr>
      <w:r>
        <w:t xml:space="preserve">FR-10 Retrieval scope:</w:t>
      </w:r>
      <w:r>
        <w:t xml:space="preserve"> </w:t>
      </w:r>
      <w:r>
        <w:rPr>
          <w:bCs/>
          <w:b/>
        </w:rPr>
        <w:t xml:space="preserve">published</w:t>
      </w:r>
      <w:r>
        <w:t xml:space="preserve"> </w:t>
      </w:r>
      <w:r>
        <w:t xml:space="preserve">KB articles only (Doc 10 contract), restricted to categories the operator marked AI-usable, in the customer’s language with the Doc 01 fallback chain; internal articles are retrievable only for Copilot tasks, never chatbot. Embeddings maintained per Doc 10’s publish events (pgvector); retrieval returns top-k chunks with article ids → answers must carry citations (article ids) or the answer path is refused in favor of handoff (</w:t>
      </w:r>
      <w:r>
        <w:rPr>
          <w:rStyle w:val="VerbatimChar"/>
        </w:rPr>
        <w:t xml:space="preserve">no_grounding</w:t>
      </w:r>
      <w:r>
        <w:t xml:space="preserve"> </w:t>
      </w:r>
      <w:r>
        <w:t xml:space="preserve">reason) — the chatbot never answers policy/money questions from model memory.</w:t>
      </w:r>
      <w:r>
        <w:t xml:space="preserve"> </w:t>
      </w:r>
      <w:r>
        <w:t xml:space="preserve">FR-11 Confidence &amp; thresholds (all Backoffice sliders with</w:t>
      </w:r>
      <w:r>
        <w:t xml:space="preserve"> </w:t>
      </w:r>
      <w:r>
        <w:rPr>
          <w:bCs/>
          <w:b/>
        </w:rPr>
        <w:t xml:space="preserve">historical simulation</w:t>
      </w:r>
      <w:r>
        <w:t xml:space="preserve">:</w:t>
      </w:r>
      <w:r>
        <w:t xml:space="preserve"> </w:t>
      </w:r>
      <w:r>
        <w:t xml:space="preserve">“</w:t>
      </w:r>
      <w:r>
        <w:t xml:space="preserve">with these values, yesterday’s 1,240 conversations would have been 61% auto-resolved / 12% more handoffs</w:t>
      </w:r>
      <w:r>
        <w:t xml:space="preserve">”</w:t>
      </w:r>
      <w:r>
        <w:t xml:space="preserve"> </w:t>
      </w:r>
      <w:r>
        <w:t xml:space="preserve">computed from the decision log):</w:t>
      </w:r>
      <w:r>
        <w:t xml:space="preserve"> </w:t>
      </w:r>
      <w:r>
        <w:rPr>
          <w:rStyle w:val="VerbatimChar"/>
        </w:rPr>
        <w:t xml:space="preserve">auto_resolve_min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handoff_below</w:t>
      </w:r>
      <w:r>
        <w:t xml:space="preserve">,</w:t>
      </w:r>
      <w:r>
        <w:t xml:space="preserve"> </w:t>
      </w:r>
      <w:r>
        <w:rPr>
          <w:rStyle w:val="VerbatimChar"/>
        </w:rPr>
        <w:t xml:space="preserve">spam_min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rg_min</w:t>
      </w:r>
      <w:r>
        <w:t xml:space="preserve">; per-endpoint overrides (a stricter bot for VIP account).</w:t>
      </w:r>
    </w:p>
    <w:bookmarkEnd w:id="25"/>
    <w:bookmarkStart w:id="26" w:name="handoff-rg"/>
    <w:p>
      <w:pPr>
        <w:pStyle w:val="Heading3"/>
      </w:pPr>
      <w:r>
        <w:t xml:space="preserve">4.4 Handoff &amp; RG</w:t>
      </w:r>
    </w:p>
    <w:p>
      <w:pPr>
        <w:pStyle w:val="FirstParagraph"/>
      </w:pPr>
      <w:r>
        <w:t xml:space="preserve">FR-12 Handoff triggers (any): confidence &lt;</w:t>
      </w:r>
      <w:r>
        <w:t xml:space="preserve"> </w:t>
      </w:r>
      <w:r>
        <w:rPr>
          <w:rStyle w:val="VerbatimChar"/>
        </w:rPr>
        <w:t xml:space="preserve">handoff_below</w:t>
      </w:r>
      <w:r>
        <w:t xml:space="preserve">; customer requests a human (intent or Doc 05</w:t>
      </w:r>
      <w:r>
        <w:t xml:space="preserve"> </w:t>
      </w:r>
      <w:r>
        <w:rPr>
          <w:rStyle w:val="VerbatimChar"/>
        </w:rPr>
        <w:t xml:space="preserve">/human</w:t>
      </w:r>
      <w:r>
        <w:t xml:space="preserve">); blocked-intent list (guardrails); form completion routed to human by design;</w:t>
      </w:r>
      <w:r>
        <w:t xml:space="preserve"> </w:t>
      </w:r>
      <w:r>
        <w:rPr>
          <w:rStyle w:val="VerbatimChar"/>
        </w:rPr>
        <w:t xml:space="preserve">no_grounding</w:t>
      </w:r>
      <w:r>
        <w:t xml:space="preserve">; message limit without resolution (guardrail</w:t>
      </w:r>
      <w:r>
        <w:t xml:space="preserve"> </w:t>
      </w:r>
      <w:r>
        <w:rPr>
          <w:rStyle w:val="VerbatimChar"/>
        </w:rPr>
        <w:t xml:space="preserve">max_ai_messages</w:t>
      </w:r>
      <w:r>
        <w:t xml:space="preserve">, default 8); post-resolution reopen ×2. Handoff produces the</w:t>
      </w:r>
      <w:r>
        <w:t xml:space="preserve"> </w:t>
      </w:r>
      <w:r>
        <w:rPr>
          <w:bCs/>
          <w:b/>
        </w:rPr>
        <w:t xml:space="preserve">Doc 06 FR-11 packet</w:t>
      </w:r>
      <w:r>
        <w:t xml:space="preserve"> </w:t>
      </w:r>
      <w:r>
        <w:t xml:space="preserve">exactly (summary, intent+confidence, language, sentiment, urgency, suggested routing + reasons, form_data, kb_shown, transcript anchor) and calls</w:t>
      </w:r>
      <w:r>
        <w:t xml:space="preserve"> </w:t>
      </w:r>
      <w:r>
        <w:rPr>
          <w:rStyle w:val="VerbatimChar"/>
        </w:rPr>
        <w:t xml:space="preserve">createFromHandoff</w:t>
      </w:r>
      <w:r>
        <w:t xml:space="preserve">; the customer receives the handoff template (Doc 05 FR-28) with live queue-wait estimate (Doc 11 data).</w:t>
      </w:r>
      <w:r>
        <w:t xml:space="preserve"> </w:t>
      </w:r>
      <w:r>
        <w:t xml:space="preserve">FR-13 RG override: rg_risk ≥</w:t>
      </w:r>
      <w:r>
        <w:t xml:space="preserve"> </w:t>
      </w:r>
      <w:r>
        <w:rPr>
          <w:rStyle w:val="VerbatimChar"/>
        </w:rPr>
        <w:t xml:space="preserve">rg_min</w:t>
      </w:r>
      <w:r>
        <w:t xml:space="preserve"> </w:t>
      </w:r>
      <w:r>
        <w:t xml:space="preserve">→ immediate handoff to the RG queue (Doc 11) regardless of all other state (even mid-form), the RG customer template (calm, resource-including, operator-approved fixed text — not generated),</w:t>
      </w:r>
      <w:r>
        <w:t xml:space="preserve"> </w:t>
      </w:r>
      <w:r>
        <w:rPr>
          <w:rStyle w:val="VerbatimChar"/>
        </w:rPr>
        <w:t xml:space="preserve">rg_flag</w:t>
      </w:r>
      <w:r>
        <w:t xml:space="preserve"> </w:t>
      </w:r>
      <w:r>
        <w:t xml:space="preserve">set on the customer (source=ai, excerpt ref — Doc 08 FR-14), promotional suppression contracts engage (Doc 08 FR-15). Generated text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used for RG responses; only the approved template. False-positive clearing feeds calibration (Doc 08 EC-06).</w:t>
      </w:r>
    </w:p>
    <w:bookmarkEnd w:id="26"/>
    <w:bookmarkStart w:id="27" w:name="copilot-agent-surface-fills-doc-07s-slot"/>
    <w:p>
      <w:pPr>
        <w:pStyle w:val="Heading3"/>
      </w:pPr>
      <w:r>
        <w:t xml:space="preserve">4.5 Copilot (agent surface — fills Doc 07’s slot)</w:t>
      </w:r>
    </w:p>
    <w:p>
      <w:pPr>
        <w:pStyle w:val="FirstParagraph"/>
      </w:pPr>
      <w:r>
        <w:t xml:space="preserve">FR-14 Panel contents (contract): live thread summary (refreshes on new messages, debounced 10 s); intent/sentiment/urgency chips;</w:t>
      </w:r>
      <w:r>
        <w:t xml:space="preserve"> </w:t>
      </w:r>
      <w:r>
        <w:rPr>
          <w:bCs/>
          <w:b/>
        </w:rPr>
        <w:t xml:space="preserve">suggested reply</w:t>
      </w:r>
      <w:r>
        <w:t xml:space="preserve"> </w:t>
      </w:r>
      <w:r>
        <w:t xml:space="preserve">(streamed, editable, insert-to-composer — never auto-send; insertion gated by</w:t>
      </w:r>
      <w:r>
        <w:t xml:space="preserve"> </w:t>
      </w:r>
      <w:r>
        <w:rPr>
          <w:rStyle w:val="VerbatimChar"/>
        </w:rPr>
        <w:t xml:space="preserve">ai.copilot.insert_draft</w:t>
      </w:r>
      <w:r>
        <w:t xml:space="preserve">); relevant KB (top 3 with insert-as-link); similar resolved tickets (retrieval over resolved-ticket summaries, top 3, scope-checked); macro suggestions (Doc 12); guardrail notices (e.g.,</w:t>
      </w:r>
      <w:r>
        <w:t xml:space="preserve"> </w:t>
      </w:r>
      <w:r>
        <w:t xml:space="preserve">“</w:t>
      </w:r>
      <w:r>
        <w:t xml:space="preserve">low confidence — verify the reference manually</w:t>
      </w:r>
      <w:r>
        <w:t xml:space="preserve">”</w:t>
      </w:r>
      <w:r>
        <w:t xml:space="preserve">); low-confidence banner instead of a bad draft.</w:t>
      </w:r>
      <w:r>
        <w:t xml:space="preserve"> </w:t>
      </w:r>
      <w:r>
        <w:t xml:space="preserve">FR-15 Composer AI actions (Doc 07 FR-19 slot): Draft reply, Improve (tone/grammar keeping meaning), Translate (agent writes in their language → send in customer language, with the original always stored in message metadata and visible on hover — honesty), Summarize thread (inserts as internal note draft).</w:t>
      </w:r>
      <w:r>
        <w:t xml:space="preserve"> </w:t>
      </w:r>
      <w:r>
        <w:t xml:space="preserve">FR-16 Every Copilot artifact the agent uses is logged with outcome (</w:t>
      </w:r>
      <w:r>
        <w:rPr>
          <w:rStyle w:val="VerbatimChar"/>
        </w:rPr>
        <w:t xml:space="preserve">inserted_unedited | inserted_edited{diff_ref} | discarded</w:t>
      </w:r>
      <w:r>
        <w:t xml:space="preserve">) — the edit-mining input for the quality loop (FR-20).</w:t>
      </w:r>
    </w:p>
    <w:bookmarkEnd w:id="27"/>
    <w:bookmarkStart w:id="28" w:name="supervisor-surface"/>
    <w:p>
      <w:pPr>
        <w:pStyle w:val="Heading3"/>
      </w:pPr>
      <w:r>
        <w:t xml:space="preserve">4.6 Supervisor surface</w:t>
      </w:r>
    </w:p>
    <w:p>
      <w:pPr>
        <w:pStyle w:val="FirstParagraph"/>
      </w:pPr>
      <w:r>
        <w:t xml:space="preserve">FR-17 Outputs (consumed by Doc 15 dashboards + notifications):</w:t>
      </w:r>
      <w:r>
        <w:t xml:space="preserve"> </w:t>
      </w:r>
      <w:r>
        <w:rPr>
          <w:rStyle w:val="VerbatimChar"/>
        </w:rPr>
        <w:t xml:space="preserve">anomaly_scan</w:t>
      </w:r>
      <w:r>
        <w:t xml:space="preserve"> </w:t>
      </w:r>
      <w:r>
        <w:t xml:space="preserve">(hourly: volume/intent/sentiment deltas vs baseline → alerts like</w:t>
      </w:r>
      <w:r>
        <w:t xml:space="preserve"> </w:t>
      </w:r>
      <w:r>
        <w:t xml:space="preserve">“</w:t>
      </w:r>
      <w:r>
        <w:t xml:space="preserve">withdrawal complaints +240% since 14:00</w:t>
      </w:r>
      <w:r>
        <w:t xml:space="preserve">”</w:t>
      </w:r>
      <w:r>
        <w:t xml:space="preserve">), live sentiment watch (conversations crossing very-negative threshold → supervisor feed item),</w:t>
      </w:r>
      <w:r>
        <w:t xml:space="preserve"> </w:t>
      </w:r>
      <w:r>
        <w:rPr>
          <w:rStyle w:val="VerbatimChar"/>
        </w:rPr>
        <w:t xml:space="preserve">qa_prescore</w:t>
      </w:r>
      <w:r>
        <w:t xml:space="preserve"> </w:t>
      </w:r>
      <w:r>
        <w:t xml:space="preserve">(scores sampled resolved tickets against the operator’s rubric (Doc 12/16 content) to prioritize human QA review — pre-score is advisory, never a published agent score by itself),</w:t>
      </w:r>
      <w:r>
        <w:t xml:space="preserve"> </w:t>
      </w:r>
      <w:r>
        <w:rPr>
          <w:rStyle w:val="VerbatimChar"/>
        </w:rPr>
        <w:t xml:space="preserve">daily_digest</w:t>
      </w:r>
      <w:r>
        <w:t xml:space="preserve"> </w:t>
      </w:r>
      <w:r>
        <w:t xml:space="preserve">(yesterday in 6 bullets, per manager scope, localized).</w:t>
      </w:r>
    </w:p>
    <w:bookmarkEnd w:id="28"/>
    <w:bookmarkStart w:id="29" w:name="configuration-kill-switches-honesty"/>
    <w:p>
      <w:pPr>
        <w:pStyle w:val="Heading3"/>
      </w:pPr>
      <w:r>
        <w:t xml:space="preserve">4.7 Configuration, kill switches, honesty</w:t>
      </w:r>
    </w:p>
    <w:p>
      <w:pPr>
        <w:pStyle w:val="FirstParagraph"/>
      </w:pPr>
      <w:r>
        <w:t xml:space="preserve">FR-18 Backoffice (permissions per Doc 03):</w:t>
      </w:r>
      <w:r>
        <w:t xml:space="preserve"> </w:t>
      </w:r>
      <w:r>
        <w:rPr>
          <w:bCs/>
          <w:b/>
        </w:rPr>
        <w:t xml:space="preserve">Persona</w:t>
      </w:r>
      <w:r>
        <w:t xml:space="preserve"> </w:t>
      </w:r>
      <w:r>
        <w:t xml:space="preserve">(name, avatar, greeting, tone sliders formal↔friendly / brief↔detailed, per language) — persona changes preview against 5 canned conversations before publish;</w:t>
      </w:r>
      <w:r>
        <w:t xml:space="preserve"> </w:t>
      </w:r>
      <w:r>
        <w:rPr>
          <w:bCs/>
          <w:b/>
        </w:rPr>
        <w:t xml:space="preserve">Thresholds</w:t>
      </w:r>
      <w:r>
        <w:t xml:space="preserve"> </w:t>
      </w:r>
      <w:r>
        <w:t xml:space="preserve">(FR-11 sliders + simulation);</w:t>
      </w:r>
      <w:r>
        <w:t xml:space="preserve"> </w:t>
      </w:r>
      <w:r>
        <w:rPr>
          <w:bCs/>
          <w:b/>
        </w:rPr>
        <w:t xml:space="preserve">Guardrails</w:t>
      </w:r>
      <w:r>
        <w:t xml:space="preserve">: blocked topics (seeded: odds/betting advice, legal advice, promises of payment or reversal, account-balance claims), mandatory disclosure wording, RG template text,</w:t>
      </w:r>
      <w:r>
        <w:t xml:space="preserve"> </w:t>
      </w:r>
      <w:r>
        <w:rPr>
          <w:rStyle w:val="VerbatimChar"/>
        </w:rPr>
        <w:t xml:space="preserve">max_ai_messages</w:t>
      </w:r>
      <w:r>
        <w:t xml:space="preserve">, profanity policy, PII redaction toggle for AI outputs;</w:t>
      </w:r>
      <w:r>
        <w:t xml:space="preserve"> </w:t>
      </w:r>
      <w:r>
        <w:rPr>
          <w:bCs/>
          <w:b/>
        </w:rPr>
        <w:t xml:space="preserve">Scope</w:t>
      </w:r>
      <w:r>
        <w:t xml:space="preserve">: AI-usable KB categories, endpoints where chatbot is on;</w:t>
      </w:r>
      <w:r>
        <w:t xml:space="preserve"> </w:t>
      </w:r>
      <w:r>
        <w:rPr>
          <w:bCs/>
          <w:b/>
        </w:rPr>
        <w:t xml:space="preserve">Kill switches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ai.killswitch</w:t>
      </w:r>
      <w:r>
        <w:t xml:space="preserve">): per surface × per channel × per bot/widget — instant, no deploy, big red UI with confirmation, evented.</w:t>
      </w:r>
      <w:r>
        <w:t xml:space="preserve"> </w:t>
      </w:r>
      <w:r>
        <w:t xml:space="preserve">FR-19 Honesty rules (product-level, non-configurable): (a) the assistant discloses it is an AI in its first greeting and whenever asked (wording configurable, presence not); (b) the chatbot never states transaction/account facts as facts — templates force claim-framing (</w:t>
      </w:r>
      <w:r>
        <w:t xml:space="preserve">“</w:t>
      </w:r>
      <w:r>
        <w:t xml:space="preserve">you mentioned a 2,000 ETB deposit</w:t>
      </w:r>
      <w:r>
        <w:t xml:space="preserve">”</w:t>
      </w:r>
      <w:r>
        <w:t xml:space="preserve">) and money questions without grounding hand off; (c) all AI-authored messages are marked</w:t>
      </w:r>
      <w:r>
        <w:t xml:space="preserve"> </w:t>
      </w:r>
      <w:r>
        <w:rPr>
          <w:rStyle w:val="VerbatimChar"/>
        </w:rPr>
        <w:t xml:space="preserve">author_type=ai</w:t>
      </w:r>
      <w:r>
        <w:t xml:space="preserve"> </w:t>
      </w:r>
      <w:r>
        <w:t xml:space="preserve">(Doc 04) and rendered with the AI accent everywhere staff-facing (Doc 07 §9); (d) AI messages are never edited post-send — corrections are new messages (Doc 04 FR-23).</w:t>
      </w:r>
    </w:p>
    <w:bookmarkEnd w:id="29"/>
    <w:bookmarkStart w:id="30" w:name="decision-log-quality-loop"/>
    <w:p>
      <w:pPr>
        <w:pStyle w:val="Heading3"/>
      </w:pPr>
      <w:r>
        <w:t xml:space="preserve">4.8 Decision log &amp; quality loop</w:t>
      </w:r>
    </w:p>
    <w:p>
      <w:pPr>
        <w:pStyle w:val="FirstParagraph"/>
      </w:pPr>
      <w:r>
        <w:t xml:space="preserve">FR-20 Every task invocation writes</w:t>
      </w:r>
      <w:r>
        <w:t xml:space="preserve"> </w:t>
      </w:r>
      <w:r>
        <w:rPr>
          <w:rStyle w:val="VerbatimChar"/>
        </w:rPr>
        <w:t xml:space="preserve">ai_decisions</w:t>
      </w:r>
      <w:r>
        <w:t xml:space="preserve"> </w:t>
      </w:r>
      <w:r>
        <w:t xml:space="preserve">(Doc 01 schema): surface, task, model+config_version, tokens, confidence, intent, action, outcome, latency. Outcome enrichment arrives from downstream events (resolved-then-reopened, CSAT score, handoff-then-agent-agreed-routing y/n, Copilot edit outcomes FR-16). Weekly automated outputs: top-10 unanswerable questions → one-click</w:t>
      </w:r>
      <w:r>
        <w:t xml:space="preserve"> </w:t>
      </w:r>
      <w:r>
        <w:t xml:space="preserve">“</w:t>
      </w:r>
      <w:r>
        <w:t xml:space="preserve">draft KB article from these conversations</w:t>
      </w:r>
      <w:r>
        <w:t xml:space="preserve">”</w:t>
      </w:r>
      <w:r>
        <w:t xml:space="preserve"> </w:t>
      </w:r>
      <w:r>
        <w:t xml:space="preserve">(Doc 10 integration); confidence calibration curve; RG precision review queue (all fires + all clears).</w:t>
      </w:r>
      <w:r>
        <w:t xml:space="preserve"> </w:t>
      </w:r>
      <w:r>
        <w:t xml:space="preserve">FR-21 Events:</w:t>
      </w:r>
      <w:r>
        <w:t xml:space="preserve"> </w:t>
      </w:r>
      <w:r>
        <w:rPr>
          <w:rStyle w:val="VerbatimChar"/>
        </w:rPr>
        <w:t xml:space="preserve">ai.decision.logged</w:t>
      </w:r>
      <w:r>
        <w:t xml:space="preserve"> </w:t>
      </w:r>
      <w:r>
        <w:t xml:space="preserve">(high-volume, sampled to bus),</w:t>
      </w:r>
      <w:r>
        <w:t xml:space="preserve"> </w:t>
      </w:r>
      <w:r>
        <w:rPr>
          <w:rStyle w:val="VerbatimChar"/>
        </w:rPr>
        <w:t xml:space="preserve">ai.handoff.created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ai.resolved</w:t>
      </w:r>
      <w:r>
        <w:t xml:space="preserve">,</w:t>
      </w:r>
      <w:r>
        <w:t xml:space="preserve"> </w:t>
      </w:r>
      <w:r>
        <w:rPr>
          <w:rStyle w:val="VerbatimChar"/>
        </w:rPr>
        <w:t xml:space="preserve">ai.rg.flagged</w:t>
      </w:r>
      <w:r>
        <w:t xml:space="preserve">,</w:t>
      </w:r>
      <w:r>
        <w:t xml:space="preserve"> </w:t>
      </w:r>
      <w:r>
        <w:rPr>
          <w:rStyle w:val="VerbatimChar"/>
        </w:rPr>
        <w:t xml:space="preserve">ai.killswitch.changed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ai.config.published</w:t>
      </w:r>
      <w:r>
        <w:t xml:space="preserve"> </w:t>
      </w:r>
      <w:r>
        <w:t xml:space="preserve">— audit + reports.</w:t>
      </w:r>
    </w:p>
    <w:bookmarkEnd w:id="30"/>
    <w:bookmarkEnd w:id="31"/>
    <w:bookmarkStart w:id="32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 Chatbot first token ≤ 2.5 s p90, full turn ≤ 8 s p95 (streamed to the customer as it generates where the channel allows; Telegram sends complete messages — internal streaming still bounds total).</w:t>
      </w:r>
      <w:r>
        <w:t xml:space="preserve"> </w:t>
      </w:r>
      <w:r>
        <w:t xml:space="preserve">NFR-02 Classification ≤ 1.2 s p95 (fast tier) and never blocks message persistence (Doc 04 ordering: persist first, AI after).</w:t>
      </w:r>
      <w:r>
        <w:t xml:space="preserve"> </w:t>
      </w:r>
      <w:r>
        <w:t xml:space="preserve">NFR-03 Copilot summary/draft first token ≤ 2 s p90 in-panel (streamed).</w:t>
      </w:r>
      <w:r>
        <w:t xml:space="preserve"> </w:t>
      </w:r>
      <w:r>
        <w:t xml:space="preserve">NFR-04 Provider failover engages ≤ 10 s after error-rate trip; total AI unavailability degrades to straight-to-human within one message (FR/FS contracts) — customer wait never exceeds the handoff template time.</w:t>
      </w:r>
      <w:r>
        <w:t xml:space="preserve"> </w:t>
      </w:r>
      <w:r>
        <w:t xml:space="preserve">NFR-05 Decision-log write adds ≤ 3 ms to task completion (async insert, batched).</w:t>
      </w:r>
      <w:r>
        <w:t xml:space="preserve"> </w:t>
      </w:r>
      <w:r>
        <w:t xml:space="preserve">NFR-06 Cost ceilings: per-tenant daily token quota enforced pre-call with 80% alert (Doc 01 NFR-06); per-conversation turn cap (</w:t>
      </w:r>
      <w:r>
        <w:rPr>
          <w:rStyle w:val="VerbatimChar"/>
        </w:rPr>
        <w:t xml:space="preserve">max_ai_messages</w:t>
      </w:r>
      <w:r>
        <w:t xml:space="preserve">) bounds worst-case spend.</w:t>
      </w:r>
      <w:r>
        <w:t xml:space="preserve"> </w:t>
      </w:r>
      <w:r>
        <w:t xml:space="preserve">NFR-07 RG classifier: precision target ≥ 0.9 at launch threshold (validated on a labeled fixture set, Doc 19); recall is secondary by design (missed cases fall to human handling; false accusations are the costlier error — documented rationale).</w:t>
      </w:r>
    </w:p>
    <w:bookmarkEnd w:id="32"/>
    <w:bookmarkStart w:id="33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 player at 2 AM, I ask in Amharic where my deposit is; the assistant reads my receipt screenshot, tells me the typical timing with a citation, and checks back in 30 minutes — no human needed.</w:t>
      </w:r>
      <w:r>
        <w:t xml:space="preserve"> </w:t>
      </w:r>
      <w:r>
        <w:t xml:space="preserve">US-02 As a player in distress, the moment I say I can’t stop, marketing goes silent and a calm, pre-approved message with help resources arrives, and a specialist team gets my case.</w:t>
      </w:r>
      <w:r>
        <w:t xml:space="preserve"> </w:t>
      </w:r>
      <w:r>
        <w:t xml:space="preserve">US-03 As an agent, every handed-off ticket opens with a summary so I never scroll 40 messages to understand it.</w:t>
      </w:r>
      <w:r>
        <w:t xml:space="preserve"> </w:t>
      </w:r>
      <w:r>
        <w:t xml:space="preserve">US-04 As an agent, I type my reply in English, hit Translate, and the customer receives Amharic — with the original preserved so my team can audit what I actually said.</w:t>
      </w:r>
      <w:r>
        <w:t xml:space="preserve"> </w:t>
      </w:r>
      <w:r>
        <w:t xml:space="preserve">US-05 As a supervisor, I get pinged that withdrawal complaints tripled in an hour — before the queue melts, not after.</w:t>
      </w:r>
      <w:r>
        <w:t xml:space="preserve"> </w:t>
      </w:r>
      <w:r>
        <w:t xml:space="preserve">US-06 As an operator admin, I drag a confidence slider and see exactly how yesterday would have played out before I commit.</w:t>
      </w:r>
      <w:r>
        <w:t xml:space="preserve"> </w:t>
      </w:r>
      <w:r>
        <w:t xml:space="preserve">US-07 As an operator admin, one red button turns the chatbot off on one bot during an incident, instantly, and the audit shows who pressed it.</w:t>
      </w:r>
    </w:p>
    <w:bookmarkEnd w:id="33"/>
    <w:bookmarkStart w:id="34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 AI never auto-sends on the Copilot surface — the agent’s send is the only send (FR-14); no roadmap item may change this without a series-wide review.</w:t>
      </w:r>
      <w:r>
        <w:t xml:space="preserve"> </w:t>
      </w:r>
      <w:r>
        <w:t xml:space="preserve">BR-02 Grounding or handoff (FR-10): policy and money answers require citations;</w:t>
      </w:r>
      <w:r>
        <w:t xml:space="preserve"> </w:t>
      </w:r>
      <w:r>
        <w:t xml:space="preserve">“</w:t>
      </w:r>
      <w:r>
        <w:t xml:space="preserve">the model probably knows</w:t>
      </w:r>
      <w:r>
        <w:t xml:space="preserve">”</w:t>
      </w:r>
      <w:r>
        <w:t xml:space="preserve"> </w:t>
      </w:r>
      <w:r>
        <w:t xml:space="preserve">is never sufficient in this domain.</w:t>
      </w:r>
      <w:r>
        <w:t xml:space="preserve"> </w:t>
      </w:r>
      <w:r>
        <w:t xml:space="preserve">BR-03 RG responses are template-only (FR-13): generation risk is unacceptable where the fixed, operator-approved wording is the safe artifact.</w:t>
      </w:r>
      <w:r>
        <w:t xml:space="preserve"> </w:t>
      </w:r>
      <w:r>
        <w:t xml:space="preserve">BR-04 High precision over recall for RG (NFR-07) — flagging a healthy customer as at-risk is the costlier error; the human pipeline catches what AI misses.</w:t>
      </w:r>
      <w:r>
        <w:t xml:space="preserve"> </w:t>
      </w:r>
      <w:r>
        <w:t xml:space="preserve">BR-05 The disclosure requirement (FR-19a) is not operator-removable — white-label extends to the assistant’s name, not to hiding its nature.</w:t>
      </w:r>
      <w:r>
        <w:t xml:space="preserve"> </w:t>
      </w:r>
      <w:r>
        <w:t xml:space="preserve">BR-06 AI reads customer context to help, never to profile: prompts include topical history summaries, never RG flag contents outside RG flows, never staff notes (notes are staff-private, Doc 04 BR-01 extended to prompts).</w:t>
      </w:r>
      <w:r>
        <w:t xml:space="preserve"> </w:t>
      </w:r>
      <w:r>
        <w:t xml:space="preserve">BR-07 Every threshold change is simulated before publish (FR-11) — configuration by evidence, not vibes.</w:t>
      </w:r>
    </w:p>
    <w:bookmarkEnd w:id="34"/>
    <w:bookmarkStart w:id="35" w:name="ux-requirements"/>
    <w:p>
      <w:pPr>
        <w:pStyle w:val="Heading2"/>
      </w:pPr>
      <w:r>
        <w:t xml:space="preserve">8. UX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Chatbot (customer):</w:t>
      </w:r>
      <w:r>
        <w:t xml:space="preserve"> </w:t>
      </w:r>
      <w:r>
        <w:t xml:space="preserve">greeting includes persona name + disclosure; typing indicator during generation (Doc 05 FR-19 / Doc 13); citations render as</w:t>
      </w:r>
      <w:r>
        <w:t xml:space="preserve"> </w:t>
      </w:r>
      <w:r>
        <w:t xml:space="preserve">“</w:t>
      </w:r>
      <w:r>
        <w:t xml:space="preserve">Read more</w:t>
      </w:r>
      <w:r>
        <w:t xml:space="preserve">”</w:t>
      </w:r>
      <w:r>
        <w:t xml:space="preserve"> </w:t>
      </w:r>
      <w:r>
        <w:t xml:space="preserve">article links (web) / trailing links (Telegram); handoff message sets expectations with live wait estimate; CSAT is a 1-tap 1–5 prompt with optional comment;</w:t>
      </w:r>
      <w:r>
        <w:t xml:space="preserve"> </w:t>
      </w:r>
      <w:r>
        <w:rPr>
          <w:rStyle w:val="VerbatimChar"/>
        </w:rPr>
        <w:t xml:space="preserve">post_resolution</w:t>
      </w:r>
      <w:r>
        <w:t xml:space="preserve"> </w:t>
      </w:r>
      <w:r>
        <w:t xml:space="preserve">reopens greet with continuity (</w:t>
      </w:r>
      <w:r>
        <w:t xml:space="preserve">“</w:t>
      </w:r>
      <w:r>
        <w:t xml:space="preserve">About your deposit from earlier —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Copilot panel (Doc 07 slot):</w:t>
      </w:r>
      <w:r>
        <w:t xml:space="preserve"> </w:t>
      </w:r>
      <w:r>
        <w:t xml:space="preserve">sections per FR-14 with independent skeletons; suggested reply streams into a card with [Insert] [Regenerate] [Discard]; regenerate limited ×3 per message with cooldown; low-confidence state replaces the draft card with the banner + KB links (never an empty spinner forever — 10 s timeout to the degraded card); guardrail notices as amber inline strips.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Composer actions:</w:t>
      </w:r>
      <w:r>
        <w:t xml:space="preserve"> </w:t>
      </w:r>
      <w:r>
        <w:t xml:space="preserve">buttons cluster per Doc 07 FR-19; Translate shows a two-line preview (original ↔ translation) before send; Improve shows a diff view (accept/revert per change v2 — v1 whole-text accept).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Backoffice AI screens:</w:t>
      </w:r>
      <w:r>
        <w:t xml:space="preserve"> </w:t>
      </w:r>
      <w:r>
        <w:t xml:space="preserve">persona editor with live preview chat (canned conversations); threshold sliders with the simulation panel (numbers + a small bar delta viz); guardrails as managed lists with seeded-item lock icons (platform-seeded items editable in wording, not deletable); kill-switch page with per-scope toggle grid, confirmation modal stating blast radius (</w:t>
      </w:r>
      <w:r>
        <w:t xml:space="preserve">“</w:t>
      </w:r>
      <w:r>
        <w:t xml:space="preserve">turns off the chatbot for</w:t>
      </w:r>
      <w:r>
        <w:t xml:space="preserve"> </w:t>
      </w:r>
      <w:r>
        <w:t xml:space="preserve">@BrandSupport</w:t>
      </w:r>
      <w:r>
        <w:t xml:space="preserve"> </w:t>
      </w:r>
      <w:r>
        <w:t xml:space="preserve">— 312 conversations/day average</w:t>
      </w:r>
      <w:r>
        <w:t xml:space="preserve">”</w:t>
      </w:r>
      <w:r>
        <w:t xml:space="preserve">), and a status banner mirrored in the inbox header when any switch is off.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Empty/error states:</w:t>
      </w:r>
      <w:r>
        <w:t xml:space="preserve"> </w:t>
      </w:r>
      <w:r>
        <w:t xml:space="preserve">no KB coverage yet → chatbot setup checklist points to Doc 10 starter templates; provider outage → Copilot degraded card (</w:t>
      </w:r>
      <w:r>
        <w:t xml:space="preserve">“</w:t>
      </w:r>
      <w:r>
        <w:t xml:space="preserve">AI unavailable — macros and KB search still work</w:t>
      </w:r>
      <w:r>
        <w:t xml:space="preserve">”</w:t>
      </w:r>
      <w:r>
        <w:t xml:space="preserve">), chatbot auto-bypass note in health.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Loading:</w:t>
      </w:r>
      <w:r>
        <w:t xml:space="preserve"> </w:t>
      </w:r>
      <w:r>
        <w:t xml:space="preserve">all AI surfaces stream or skeleton; nothing blocks the composer or the thread.</w:t>
      </w:r>
    </w:p>
    <w:bookmarkEnd w:id="35"/>
    <w:bookmarkStart w:id="36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3"/>
        </w:numPr>
        <w:pStyle w:val="Compact"/>
      </w:pPr>
      <w:r>
        <w:t xml:space="preserve">AI accent (platform token) on: chatbot bubbles (staff view), Copilot cards, AI-suggested values in the handoff packet, AI-set fields — one consistent visual language (Doc 07 §9 rule).</w:t>
      </w:r>
    </w:p>
    <w:p>
      <w:pPr>
        <w:numPr>
          <w:ilvl w:val="0"/>
          <w:numId w:val="1003"/>
        </w:numPr>
        <w:pStyle w:val="Compact"/>
      </w:pPr>
      <w:r>
        <w:t xml:space="preserve">Confidence meter: 5-segment bar + percent tooltip; never color-only (labels low/medium/high).</w:t>
      </w:r>
    </w:p>
    <w:p>
      <w:pPr>
        <w:numPr>
          <w:ilvl w:val="0"/>
          <w:numId w:val="1003"/>
        </w:numPr>
        <w:pStyle w:val="Compact"/>
      </w:pPr>
      <w:r>
        <w:t xml:space="preserve">Simulation panel: before/after columns with deltas, and a</w:t>
      </w:r>
      <w:r>
        <w:t xml:space="preserve"> </w:t>
      </w:r>
      <w:r>
        <w:t xml:space="preserve">“</w:t>
      </w:r>
      <w:r>
        <w:t xml:space="preserve">conversations that flip</w:t>
      </w:r>
      <w:r>
        <w:t xml:space="preserve">”</w:t>
      </w:r>
      <w:r>
        <w:t xml:space="preserve"> </w:t>
      </w:r>
      <w:r>
        <w:t xml:space="preserve">drill-down list (samples, anonymized display names).</w:t>
      </w:r>
    </w:p>
    <w:p>
      <w:pPr>
        <w:numPr>
          <w:ilvl w:val="0"/>
          <w:numId w:val="1003"/>
        </w:numPr>
        <w:pStyle w:val="Compact"/>
      </w:pPr>
      <w:r>
        <w:t xml:space="preserve">Kill-switch toggles: oversized, red-when-off with an</w:t>
      </w:r>
      <w:r>
        <w:t xml:space="preserve"> </w:t>
      </w:r>
      <w:r>
        <w:t xml:space="preserve">“</w:t>
      </w:r>
      <w:r>
        <w:t xml:space="preserve">OFF since {time} by {actor}</w:t>
      </w:r>
      <w:r>
        <w:t xml:space="preserve">”</w:t>
      </w:r>
      <w:r>
        <w:t xml:space="preserve"> </w:t>
      </w:r>
      <w:r>
        <w:t xml:space="preserve">caption.</w:t>
      </w:r>
    </w:p>
    <w:p>
      <w:pPr>
        <w:numPr>
          <w:ilvl w:val="0"/>
          <w:numId w:val="1003"/>
        </w:numPr>
        <w:pStyle w:val="Compact"/>
      </w:pPr>
      <w:r>
        <w:t xml:space="preserve">RG-related admin UI uses the calm slate treatment (Doc 08 §9 consistency).</w:t>
      </w:r>
    </w:p>
    <w:p>
      <w:pPr>
        <w:numPr>
          <w:ilvl w:val="0"/>
          <w:numId w:val="1003"/>
        </w:numPr>
        <w:pStyle w:val="Compact"/>
      </w:pPr>
      <w:r>
        <w:t xml:space="preserve">Streaming text uses a subtle caret, no typewriter sound, reduced-motion renders in chunks.</w:t>
      </w:r>
    </w:p>
    <w:bookmarkEnd w:id="36"/>
    <w:bookmarkStart w:id="37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t xml:space="preserve">T-01 Orchestrator: task classes with typed IO (per FR-01), provider driver interface (complete/stream), fallback chain executor with circuit breakers per provider (error-rate trip → next provider; all-tripped → degraded mode events).</w:t>
      </w:r>
      <w:r>
        <w:t xml:space="preserve"> </w:t>
      </w:r>
      <w:r>
        <w:t xml:space="preserve">T-02 Prompt assembly: layered — system (platform honesty rules, immutable) + tenant persona + guardrails + task template + context; layers logged by version hash; the immutable layer is code-shipped (not operator-editable) and its hash asserted in decisions.</w:t>
      </w:r>
      <w:r>
        <w:t xml:space="preserve"> </w:t>
      </w:r>
      <w:r>
        <w:t xml:space="preserve">T-03 Prompt-injection posture: customer content is delimited and role-separated; retrieved chunks carry provenance and are instruction-stripped (sanitizer removes imperative-to-assistant patterns from KB text at index time — Doc 10 hook); output actions are schema-validated (an</w:t>
      </w:r>
      <w:r>
        <w:t xml:space="preserve"> </w:t>
      </w:r>
      <w:r>
        <w:t xml:space="preserve">“</w:t>
      </w:r>
      <w:r>
        <w:t xml:space="preserve">action</w:t>
      </w:r>
      <w:r>
        <w:t xml:space="preserve">”</w:t>
      </w:r>
      <w:r>
        <w:t xml:space="preserve"> </w:t>
      </w:r>
      <w:r>
        <w:t xml:space="preserve">the model invents outside the enum is discarded → handoff</w:t>
      </w:r>
      <w:r>
        <w:t xml:space="preserve"> </w:t>
      </w:r>
      <w:r>
        <w:rPr>
          <w:rStyle w:val="VerbatimChar"/>
        </w:rPr>
        <w:t xml:space="preserve">invalid_action</w:t>
      </w:r>
      <w:r>
        <w:t xml:space="preserve">); tool surface is closed (the chatbot has no tools beyond the declared action enum in v1).</w:t>
      </w:r>
      <w:r>
        <w:t xml:space="preserve"> </w:t>
      </w:r>
      <w:r>
        <w:t xml:space="preserve">T-04 Streaming: provider stream → Reverb relay to the Copilot card / widget; Telegram receives the completed message (with an optional early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typing action per Doc 05 FR-19).</w:t>
      </w:r>
      <w:r>
        <w:t xml:space="preserve"> </w:t>
      </w:r>
      <w:r>
        <w:t xml:space="preserve">T-05 Retrieval: pgvector HNSW over Doc 10 chunk embeddings; hybrid score (vector + keyword) with language filter; index maintenance on Doc 10 publish events; similar-tickets retrieval over nightly-embedded resolved-ticket summaries with Doc 03 scope filtering at query time.</w:t>
      </w:r>
      <w:r>
        <w:t xml:space="preserve"> </w:t>
      </w:r>
      <w:r>
        <w:t xml:space="preserve">T-06 RG classifier: separate prompt+config from general classification; evaluation harness with the labeled fixture set (Doc 19 owns the corpus process); threshold changes require the simulation view like all others plus a precision readout.</w:t>
      </w:r>
      <w:r>
        <w:t xml:space="preserve"> </w:t>
      </w:r>
      <w:r>
        <w:t xml:space="preserve">T-07 Metering: token counts from provider responses accumulate to Redis per-tenant counters reconciled daily to DB (Doc 01 FS-05 pattern); cost = tokens × provider rate card (config).</w:t>
      </w:r>
      <w:r>
        <w:t xml:space="preserve"> </w:t>
      </w:r>
      <w:r>
        <w:t xml:space="preserve">T-08 Decision log: async batched inserts (NFR-05); outcome enrichment via event consumers joining on decision ids carried in downstream events (handoff packet embeds decision_id; CSAT joins via ticket).</w:t>
      </w:r>
      <w:r>
        <w:t xml:space="preserve"> </w:t>
      </w:r>
      <w:r>
        <w:t xml:space="preserve">T-09 Contract tests: golden-conversation suite (fixture dialogs → expected action types at pinned config versions); guardrail red-team fixtures (blocked topics, injection attempts, transaction-fact traps) run in CI against a recorded/replay provider mock + nightly against the live provider in staging.</w:t>
      </w:r>
    </w:p>
    <w:p>
      <w:pPr>
        <w:pStyle w:val="BodyText"/>
      </w:pPr>
      <w:r>
        <w:rPr>
          <w:bCs/>
          <w:b/>
        </w:rPr>
        <w:t xml:space="preserve">Turn flow (text diagram):</w:t>
      </w:r>
    </w:p>
    <w:p>
      <w:pPr>
        <w:pStyle w:val="SourceCode"/>
      </w:pPr>
      <w:r>
        <w:rPr>
          <w:rStyle w:val="VerbatimChar"/>
        </w:rPr>
        <w:t xml:space="preserve">inbound (Doc 04 fanout) → classify(fast) ──rg≥min──► RG override: template + RG handoff + flag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open ticket? → context to Copilot, stop</w:t>
      </w:r>
      <w:r>
        <w:br/>
      </w:r>
      <w:r>
        <w:rPr>
          <w:rStyle w:val="VerbatimChar"/>
        </w:rPr>
        <w:t xml:space="preserve">        └─ chatbot_turn(strong): persona+guardrails+window+retrieval</w:t>
      </w:r>
      <w:r>
        <w:br/>
      </w:r>
      <w:r>
        <w:rPr>
          <w:rStyle w:val="VerbatimChar"/>
        </w:rPr>
        <w:t xml:space="preserve">              → action: answer(cited) | run_form | continue_flow | resolve(+CSAT) | handoff</w:t>
      </w:r>
      <w:r>
        <w:br/>
      </w:r>
      <w:r>
        <w:rPr>
          <w:rStyle w:val="VerbatimChar"/>
        </w:rPr>
        <w:t xml:space="preserve">              → adapter renders per channel · decision logged (config_version, confidence)</w:t>
      </w:r>
    </w:p>
    <w:bookmarkEnd w:id="37"/>
    <w:bookmarkStart w:id="38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Provider credentials in vault; prompts/outputs logged without secrets; provider data-retention terms reviewed and pinned in Doc 18’s vendor register (send-minimization: only the context layers listed in T-02, never full customer profiles).</w:t>
      </w:r>
      <w:r>
        <w:t xml:space="preserve"> </w:t>
      </w:r>
      <w:r>
        <w:t xml:space="preserve">SEC-02 PII minimization in prompts: phone/email/id numbers masked by the redaction layer unless the task needs them (OCR reference numbers are needed; masking map logged).</w:t>
      </w:r>
      <w:r>
        <w:t xml:space="preserve"> </w:t>
      </w:r>
      <w:r>
        <w:t xml:space="preserve">SEC-03 Injection defenses per T-03 with CI red-team suite (T-09); a successful injection class found later is a Sev-2 with a runbook (kill switch → patch sanitizer → replay fixtures).</w:t>
      </w:r>
      <w:r>
        <w:t xml:space="preserve"> </w:t>
      </w:r>
      <w:r>
        <w:t xml:space="preserve">SEC-04 RG flag contents and staff notes never enter prompts (BR-06) — enforced by the context-builder’s allowlist, tested.</w:t>
      </w:r>
      <w:r>
        <w:t xml:space="preserve"> </w:t>
      </w:r>
      <w:r>
        <w:t xml:space="preserve">SEC-05 Kill switches and config publishes are high-visibility audit events (Doc 03 high-risk class).</w:t>
      </w:r>
      <w:r>
        <w:t xml:space="preserve"> </w:t>
      </w:r>
      <w:r>
        <w:t xml:space="preserve">SEC-06 Decision-log access is</w:t>
      </w:r>
      <w:r>
        <w:t xml:space="preserve"> </w:t>
      </w:r>
      <w:r>
        <w:rPr>
          <w:rStyle w:val="VerbatimChar"/>
        </w:rPr>
        <w:t xml:space="preserve">ai.decisions.view</w:t>
      </w:r>
      <w:r>
        <w:t xml:space="preserve">; raw prompt/output payload access is a stricter platform-debug permission (payloads stored 30 days then reduced to hashes + metrics — privacy by schedule).</w:t>
      </w:r>
    </w:p>
    <w:bookmarkEnd w:id="38"/>
    <w:bookmarkStart w:id="39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4"/>
        </w:numPr>
        <w:pStyle w:val="Compact"/>
      </w:pPr>
      <w:r>
        <w:t xml:space="preserve">Latency budgets NFR-01–03 under L2 with 20 concurrent chatbot turns/tenant (semaphore default; tunable).</w:t>
      </w:r>
    </w:p>
    <w:p>
      <w:pPr>
        <w:numPr>
          <w:ilvl w:val="0"/>
          <w:numId w:val="1004"/>
        </w:numPr>
        <w:pStyle w:val="Compact"/>
      </w:pPr>
      <w:r>
        <w:t xml:space="preserve">Retrieval ≤ 120 ms p95 at 50k chunks; hybrid rerank included.</w:t>
      </w:r>
    </w:p>
    <w:p>
      <w:pPr>
        <w:numPr>
          <w:ilvl w:val="0"/>
          <w:numId w:val="1004"/>
        </w:numPr>
        <w:pStyle w:val="Compact"/>
      </w:pPr>
      <w:r>
        <w:t xml:space="preserve">Simulation over one day’s decisions (10k) ≤ 5 s.</w:t>
      </w:r>
    </w:p>
    <w:p>
      <w:pPr>
        <w:numPr>
          <w:ilvl w:val="0"/>
          <w:numId w:val="1004"/>
        </w:numPr>
        <w:pStyle w:val="Compact"/>
      </w:pPr>
      <w:r>
        <w:t xml:space="preserve">Anomaly scan over hourly aggregates ≤ 30 s per tenant.</w:t>
      </w:r>
    </w:p>
    <w:p>
      <w:pPr>
        <w:numPr>
          <w:ilvl w:val="0"/>
          <w:numId w:val="1004"/>
        </w:numPr>
        <w:pStyle w:val="Compact"/>
      </w:pPr>
      <w:r>
        <w:t xml:space="preserve">Degraded-mode switchover (provider chain exhausted → straight-to-human) ≤ 1 message turn (no customer ever waits on a dead provider past its timeout).</w:t>
      </w:r>
    </w:p>
    <w:bookmarkEnd w:id="39"/>
    <w:bookmarkStart w:id="40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Copilot cards are labeled regions with streaming updates announced politely at sentence boundaries (not token-by-token); confidence conveyed as text; insert/regenerate/discard fully keyboard-operable with focus returning to the composer after insert; kill-switch grid navigable with clear on/off state semantics (</w:t>
      </w:r>
      <w:r>
        <w:rPr>
          <w:rStyle w:val="VerbatimChar"/>
        </w:rPr>
        <w:t xml:space="preserve">role="switch"</w:t>
      </w:r>
      <w:r>
        <w:t xml:space="preserve">); simulation deltas readable as text tables; widget chatbot (Doc 13) inherits WCAG AA including reduced-motion streaming.</w:t>
      </w:r>
    </w:p>
    <w:bookmarkEnd w:id="40"/>
    <w:bookmarkStart w:id="41" w:name="localization-requirements"/>
    <w:p>
      <w:pPr>
        <w:pStyle w:val="Heading2"/>
      </w:pPr>
      <w:r>
        <w:t xml:space="preserve">14. Localization Requirements</w:t>
      </w:r>
    </w:p>
    <w:p>
      <w:pPr>
        <w:pStyle w:val="FirstParagraph"/>
      </w:pPr>
      <w:r>
        <w:t xml:space="preserve">Persona, greetings, disclosure wording, handoff/RG templates per language with completeness gates (an endpoint can’t enable a language missing its RG template — hard rule); classification/generation quality validated per launch language with the golden suite in en + am; translation tasks preserve numbers/currency/reference formats verbatim (validator rejects altered digits — money-safety rule); Copilot chips and banners under</w:t>
      </w:r>
      <w:r>
        <w:t xml:space="preserve"> </w:t>
      </w:r>
      <w:r>
        <w:rPr>
          <w:rStyle w:val="VerbatimChar"/>
        </w:rPr>
        <w:t xml:space="preserve">ai.*</w:t>
      </w:r>
      <w:r>
        <w:t xml:space="preserve"> </w:t>
      </w:r>
      <w:r>
        <w:t xml:space="preserve">i18n; digests localized per recipient.</w:t>
      </w:r>
    </w:p>
    <w:bookmarkEnd w:id="41"/>
    <w:bookmarkStart w:id="42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Customer sends 6 rapid messages → batch-tail classification (Doc 04 EC-01) yields one coherent turn addressing all; fixture-pinned.</w:t>
      </w:r>
      <w:r>
        <w:t xml:space="preserve"> </w:t>
      </w:r>
      <w:r>
        <w:t xml:space="preserve">EC-02 Voice note in a third language (neither en nor am) → transcript + detected language; if no KB coverage in that language → polite capability message (localized template in detected language where supported, else English) + handoff</w:t>
      </w:r>
      <w:r>
        <w:t xml:space="preserve"> </w:t>
      </w:r>
      <w:r>
        <w:rPr>
          <w:rStyle w:val="VerbatimChar"/>
        </w:rPr>
        <w:t xml:space="preserve">unsupported_language</w:t>
      </w:r>
      <w:r>
        <w:t xml:space="preserve">.</w:t>
      </w:r>
      <w:r>
        <w:t xml:space="preserve"> </w:t>
      </w:r>
      <w:r>
        <w:t xml:space="preserve">EC-03 OCR reads a doctored receipt confidently → the honesty rule saves us: AI only restates the claim and checks timing; any credit decision is human (BR framing in FR-19b); the OCR fields land in the packet for the agent’s own verification.</w:t>
      </w:r>
      <w:r>
        <w:t xml:space="preserve"> </w:t>
      </w:r>
      <w:r>
        <w:t xml:space="preserve">EC-04 Customer asks the chatbot for betting advice (</w:t>
      </w:r>
      <w:r>
        <w:t xml:space="preserve">“</w:t>
      </w:r>
      <w:r>
        <w:t xml:space="preserve">what should I bet on?</w:t>
      </w:r>
      <w:r>
        <w:t xml:space="preserve">”</w:t>
      </w:r>
      <w:r>
        <w:t xml:space="preserve">) → blocked topic → friendly deflection template + optional KB link to responsible-play content; repeated ×3 → handoff with</w:t>
      </w:r>
      <w:r>
        <w:t xml:space="preserve"> </w:t>
      </w:r>
      <w:r>
        <w:rPr>
          <w:rStyle w:val="VerbatimChar"/>
        </w:rPr>
        <w:t xml:space="preserve">blocked_topic_persistence</w:t>
      </w:r>
      <w:r>
        <w:t xml:space="preserve">.</w:t>
      </w:r>
      <w:r>
        <w:t xml:space="preserve"> </w:t>
      </w:r>
      <w:r>
        <w:t xml:space="preserve">EC-05 The model outputs an action outside the enum or malformed JSON → schema validation discards → automatic single retry with a repair instruction → still bad → handoff</w:t>
      </w:r>
      <w:r>
        <w:t xml:space="preserve"> </w:t>
      </w:r>
      <w:r>
        <w:rPr>
          <w:rStyle w:val="VerbatimChar"/>
        </w:rPr>
        <w:t xml:space="preserve">invalid_action</w:t>
      </w:r>
      <w:r>
        <w:t xml:space="preserve">; both logged (this is the FR-08 contract’s safety net).</w:t>
      </w:r>
      <w:r>
        <w:t xml:space="preserve"> </w:t>
      </w:r>
      <w:r>
        <w:t xml:space="preserve">EC-06 KB article unpublished mid-conversation after being cited → citation links resolve to the Doc 10 tombstone (</w:t>
      </w:r>
      <w:r>
        <w:t xml:space="preserve">“</w:t>
      </w:r>
      <w:r>
        <w:t xml:space="preserve">this article was updated</w:t>
      </w:r>
      <w:r>
        <w:t xml:space="preserve">”</w:t>
      </w:r>
      <w:r>
        <w:t xml:space="preserve">) — acceptable; retrieval cache invalidation (Doc 10) prevents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citations.</w:t>
      </w:r>
      <w:r>
        <w:t xml:space="preserve"> </w:t>
      </w:r>
      <w:r>
        <w:t xml:space="preserve">EC-07 Two endpoints, different thresholds, same customer (hybrid Doc 05 EC-04) → per-endpoint config applies per conversation; the packet notes the endpoint for agent context.</w:t>
      </w:r>
      <w:r>
        <w:t xml:space="preserve"> </w:t>
      </w:r>
      <w:r>
        <w:t xml:space="preserve">EC-08</w:t>
      </w:r>
      <w:r>
        <w:t xml:space="preserve"> </w:t>
      </w:r>
      <w:r>
        <w:rPr>
          <w:rStyle w:val="VerbatimChar"/>
        </w:rPr>
        <w:t xml:space="preserve">post_resolution</w:t>
      </w:r>
      <w:r>
        <w:t xml:space="preserve"> </w:t>
      </w:r>
      <w:r>
        <w:t xml:space="preserve">loop (customer keeps replying after resolve) → ×2 reopen then mandatory handoff (FR-12) — no infinite AI loops.</w:t>
      </w:r>
      <w:r>
        <w:t xml:space="preserve"> </w:t>
      </w:r>
      <w:r>
        <w:t xml:space="preserve">EC-09 Copilot regenerate ×3 exhausted → card locks to the low-confidence state with KB links; telemetry flags the conversation for the weekly unanswerable review.</w:t>
      </w:r>
      <w:r>
        <w:t xml:space="preserve"> </w:t>
      </w:r>
      <w:r>
        <w:t xml:space="preserve">EC-10 Translate task on mixed-language input (Amharic + English in one message) → dominant-language detection, translation preserves embedded English terms; validator’s digit rule applies.</w:t>
      </w:r>
      <w:r>
        <w:t xml:space="preserve"> </w:t>
      </w:r>
      <w:r>
        <w:t xml:space="preserve">EC-11 Provider returns policy-refusal on benign content (over-refusal) → mapped to</w:t>
      </w:r>
      <w:r>
        <w:t xml:space="preserve"> </w:t>
      </w:r>
      <w:r>
        <w:rPr>
          <w:rStyle w:val="VerbatimChar"/>
        </w:rPr>
        <w:t xml:space="preserve">no_grounding</w:t>
      </w:r>
      <w:r>
        <w:t xml:space="preserve">-style handoff, logged distinctly (</w:t>
      </w:r>
      <w:r>
        <w:rPr>
          <w:rStyle w:val="VerbatimChar"/>
        </w:rPr>
        <w:t xml:space="preserve">provider_refusal</w:t>
      </w:r>
      <w:r>
        <w:t xml:space="preserve">) for the vendor review; never surfaces raw provider refusal text to customers.</w:t>
      </w:r>
      <w:r>
        <w:t xml:space="preserve"> </w:t>
      </w:r>
      <w:r>
        <w:t xml:space="preserve">EC-12 Quota exhausted mid-conversation → chatbot completes the current turn from reserve headroom (5% soft buffer), then straight-to-human with the standard handoff template; admins alerted at 80% long before.</w:t>
      </w:r>
    </w:p>
    <w:bookmarkEnd w:id="42"/>
    <w:bookmarkStart w:id="43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 Primary provider outage → circuit breaker → fallback chain; if all exhausted: chatbot bypass (inbound goes straight to handoff with template), Copilot degraded card, Supervisor tasks pause; recovery auto-resumes; the whole sequence is evented and visible in health.</w:t>
      </w:r>
      <w:r>
        <w:t xml:space="preserve"> </w:t>
      </w:r>
      <w:r>
        <w:t xml:space="preserve">FS-02 Retrieval index corruption → chatbot enters</w:t>
      </w:r>
      <w:r>
        <w:t xml:space="preserve"> </w:t>
      </w:r>
      <w:r>
        <w:rPr>
          <w:rStyle w:val="VerbatimChar"/>
        </w:rPr>
        <w:t xml:space="preserve">no_grounding</w:t>
      </w:r>
      <w:r>
        <w:t xml:space="preserve"> </w:t>
      </w:r>
      <w:r>
        <w:t xml:space="preserve">handoff mode for policy questions (safe), smalltalk/forms unaffected; rebuild from Doc 10 sources; alert.</w:t>
      </w:r>
      <w:r>
        <w:t xml:space="preserve"> </w:t>
      </w:r>
      <w:r>
        <w:t xml:space="preserve">FS-03 Transcription/OCR provider down → Doc 04 EC-07 semantics (player works, transcript unavailable); classification proceeds on caption/absence; retry queue drains on recovery.</w:t>
      </w:r>
      <w:r>
        <w:t xml:space="preserve"> </w:t>
      </w:r>
      <w:r>
        <w:t xml:space="preserve">FS-04 Decision-log backlog → task completion unaffected (async); reports lag with standard staleness pattern; reconciliation on drain.</w:t>
      </w:r>
      <w:r>
        <w:t xml:space="preserve"> </w:t>
      </w:r>
      <w:r>
        <w:t xml:space="preserve">FS-05 A bad config publish (e.g., threshold typo auto-resolving everything) → instant rollback (FR-04) + the simulation requirement (BR-07) makes this unlikely + the daily digest surfaces anomalous resolution-rate jumps within 24 h at worst; runbook: rollback → replay affected conversations’ outcomes for the report correction note.</w:t>
      </w:r>
    </w:p>
    <w:bookmarkEnd w:id="43"/>
    <w:bookmarkStart w:id="44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Sixty days post-launch: AI resolution ≥ 40% with CSAT(AI) within 0.3 of CSAT(human), reopen-after-AI ≤ 8% — read directly off Doc 15’s AI report, sourced from the decision log.</w:t>
      </w:r>
      <w:r>
        <w:t xml:space="preserve"> </w:t>
      </w:r>
      <w:r>
        <w:t xml:space="preserve">SS-02 The weekly unanswerable-questions review turns the top gap into a KB article in one click; the following week’s handoffs for that intent drop measurably (the loop demonstrably closes).</w:t>
      </w:r>
      <w:r>
        <w:t xml:space="preserve"> </w:t>
      </w:r>
      <w:r>
        <w:t xml:space="preserve">SS-03 An RG fixture audit: 50 seeded distress dialogs → template-only responses, correct routing, flags with excerpts, zero generated RG text (AC-04).</w:t>
      </w:r>
      <w:r>
        <w:t xml:space="preserve"> </w:t>
      </w:r>
      <w:r>
        <w:t xml:space="preserve">SS-04 A provider incident at peak: failover within 10 s, then full outage → zero customers stuck (all handed off with wait estimates), Copilot degraded gracefully, post-incident report generated from events alone.</w:t>
      </w:r>
    </w:p>
    <w:bookmarkEnd w:id="44"/>
    <w:bookmarkStart w:id="45" w:name="acceptance-criteria"/>
    <w:p>
      <w:pPr>
        <w:pStyle w:val="Heading2"/>
      </w:pPr>
      <w:r>
        <w:t xml:space="preserve">18. Acceptance Criteria</w:t>
      </w:r>
    </w:p>
    <w:p>
      <w:pPr>
        <w:pStyle w:val="FirstParagraph"/>
      </w:pPr>
      <w:r>
        <w:t xml:space="preserve">AC-01 Golden-conversation suite (T-09) green at pinned configs for en + am across all action types, including batch-tail (EC-01) and post-resolution (EC-08) flows.</w:t>
      </w:r>
      <w:r>
        <w:t xml:space="preserve"> </w:t>
      </w:r>
      <w:r>
        <w:t xml:space="preserve">AC-02 Grounding rule: policy/money fixtures without retrieval hits always hand off (</w:t>
      </w:r>
      <w:r>
        <w:rPr>
          <w:rStyle w:val="VerbatimChar"/>
        </w:rPr>
        <w:t xml:space="preserve">no_grounding</w:t>
      </w:r>
      <w:r>
        <w:t xml:space="preserve">); every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action carries ≥1 valid citation (schema-enforced, tested).</w:t>
      </w:r>
      <w:r>
        <w:t xml:space="preserve"> </w:t>
      </w:r>
      <w:r>
        <w:t xml:space="preserve">AC-03 Threshold simulation: for a seeded decision-log day, slider changes produce exactly the recomputed outcomes the engine would produce (simulation-vs-replay parity test).</w:t>
      </w:r>
      <w:r>
        <w:t xml:space="preserve"> </w:t>
      </w:r>
      <w:r>
        <w:t xml:space="preserve">AC-04 RG: labeled fixture set meets NFR-07 precision at the shipped threshold; override preempts mid-form; template-only output byte-verified; flag + excerpt + suppression contracts fire (Doc 08/11/12/14 integration fixtures).</w:t>
      </w:r>
      <w:r>
        <w:t xml:space="preserve"> </w:t>
      </w:r>
      <w:r>
        <w:t xml:space="preserve">AC-05 Honesty: disclosure present in first greeting across personas/languages; transaction-fact traps (fixtures asserting the bot won’t confirm</w:t>
      </w:r>
      <w:r>
        <w:t xml:space="preserve"> </w:t>
      </w:r>
      <w:r>
        <w:t xml:space="preserve">“</w:t>
      </w:r>
      <w:r>
        <w:t xml:space="preserve">so my deposit WAS received, right?</w:t>
      </w:r>
      <w:r>
        <w:t xml:space="preserve">”</w:t>
      </w:r>
      <w:r>
        <w:t xml:space="preserve">) pass; AI marking present on every surface (DOM assertions).</w:t>
      </w:r>
      <w:r>
        <w:t xml:space="preserve"> </w:t>
      </w:r>
      <w:r>
        <w:t xml:space="preserve">AC-06 Copilot: never-auto-send proven (no code path from suggestion to adapter without the composer send action — static + runtime test); edit-outcome logging (FR-16) captures all three outcomes.</w:t>
      </w:r>
      <w:r>
        <w:t xml:space="preserve"> </w:t>
      </w:r>
      <w:r>
        <w:t xml:space="preserve">AC-07 Injection red-team suite: all shipped fixtures neutralized (blocked topics hold, no system-prompt leakage, no out-of-enum actions executed); suite required in CI.</w:t>
      </w:r>
      <w:r>
        <w:t xml:space="preserve"> </w:t>
      </w:r>
      <w:r>
        <w:t xml:space="preserve">AC-08 Kill switches: each scope combination silences exactly its blast radius ≤ 10 s, evented, bannered.</w:t>
      </w:r>
      <w:r>
        <w:t xml:space="preserve"> </w:t>
      </w:r>
      <w:r>
        <w:t xml:space="preserve">AC-09 Degradation ladder (FS-01): scripted provider-failure drill produces the specified customer experience with zero unanswered customers.</w:t>
      </w:r>
      <w:r>
        <w:t xml:space="preserve"> </w:t>
      </w:r>
      <w:r>
        <w:t xml:space="preserve">AC-10 Metering: token counts reconcile to provider invoices within 2% on the monthly check; quota enforcement (EC-12) proven.</w:t>
      </w:r>
    </w:p>
    <w:bookmarkEnd w:id="45"/>
    <w:bookmarkStart w:id="46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5"/>
        </w:numPr>
        <w:pStyle w:val="Compact"/>
      </w:pPr>
      <w:r>
        <w:t xml:space="preserve">Tool-use for the chatbot (closed enum → declared tools like</w:t>
      </w:r>
      <w:r>
        <w:t xml:space="preserve"> </w:t>
      </w:r>
      <w:r>
        <w:t xml:space="preserve">“</w:t>
      </w:r>
      <w:r>
        <w:t xml:space="preserve">check queue wait</w:t>
      </w:r>
      <w:r>
        <w:t xml:space="preserve">”</w:t>
      </w:r>
      <w:r>
        <w:t xml:space="preserve"> </w:t>
      </w:r>
      <w:r>
        <w:t xml:space="preserve">already implicit; future: operator-approved read-only lookups) — the action-schema architecture is the extension point.</w:t>
      </w:r>
    </w:p>
    <w:p>
      <w:pPr>
        <w:numPr>
          <w:ilvl w:val="0"/>
          <w:numId w:val="1005"/>
        </w:numPr>
        <w:pStyle w:val="Compact"/>
      </w:pPr>
      <w:r>
        <w:t xml:space="preserve">Fine-tuned or distilled classification models for cost (task abstraction makes swap invisible).</w:t>
      </w:r>
    </w:p>
    <w:p>
      <w:pPr>
        <w:numPr>
          <w:ilvl w:val="0"/>
          <w:numId w:val="1005"/>
        </w:numPr>
        <w:pStyle w:val="Compact"/>
      </w:pPr>
      <w:r>
        <w:t xml:space="preserve">Ghost-text inline Copilot (Doc 07 §19) under the same never-auto-send rule.</w:t>
      </w:r>
    </w:p>
    <w:p>
      <w:pPr>
        <w:numPr>
          <w:ilvl w:val="0"/>
          <w:numId w:val="1005"/>
        </w:numPr>
        <w:pStyle w:val="Compact"/>
      </w:pPr>
      <w:r>
        <w:t xml:space="preserve">Voice replies (TTS) on channels that support it.</w:t>
      </w:r>
    </w:p>
    <w:p>
      <w:pPr>
        <w:numPr>
          <w:ilvl w:val="0"/>
          <w:numId w:val="1005"/>
        </w:numPr>
        <w:pStyle w:val="Compact"/>
      </w:pPr>
      <w:r>
        <w:t xml:space="preserve">Cross-conversation customer-level summaries (</w:t>
      </w:r>
      <w:r>
        <w:t xml:space="preserve">“</w:t>
      </w:r>
      <w:r>
        <w:t xml:space="preserve">relationship memory</w:t>
      </w:r>
      <w:r>
        <w:t xml:space="preserve">”</w:t>
      </w:r>
      <w:r>
        <w:t xml:space="preserve">) with explicit provenance — gated on a privacy review.</w:t>
      </w:r>
    </w:p>
    <w:p>
      <w:pPr>
        <w:numPr>
          <w:ilvl w:val="0"/>
          <w:numId w:val="1005"/>
        </w:numPr>
        <w:pStyle w:val="Compact"/>
      </w:pPr>
      <w:r>
        <w:t xml:space="preserve">Agent-quality coaching packs generated from QA pre-scores + edit mining (aggregated, opt-in per Doc 16 policy).</w:t>
      </w:r>
    </w:p>
    <w:bookmarkEnd w:id="46"/>
    <w:bookmarkStart w:id="47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 Hallucinated money facts (Critical impact) → grounding-or-handoff (BR-02), claim-framing templates, transaction-fact trap tests (AC-05), no-tools v1; residual risk accepted and monitored via reopen-after-AI + CSAT.</w:t>
      </w:r>
      <w:r>
        <w:t xml:space="preserve"> </w:t>
      </w:r>
      <w:r>
        <w:t xml:space="preserve">R-02 RG false positives alienating healthy customers (High) → precision-first threshold (NFR-07), calm template, human clearing with calibration loop; false</w:t>
      </w:r>
      <w:r>
        <w:t xml:space="preserve"> </w:t>
      </w:r>
      <w:r>
        <w:rPr>
          <w:iCs/>
          <w:i/>
        </w:rPr>
        <w:t xml:space="preserve">negatives</w:t>
      </w:r>
      <w:r>
        <w:t xml:space="preserve"> </w:t>
      </w:r>
      <w:r>
        <w:t xml:space="preserve">fall to normal human handling by design.</w:t>
      </w:r>
      <w:r>
        <w:t xml:space="preserve"> </w:t>
      </w:r>
      <w:r>
        <w:t xml:space="preserve">R-03 Prompt injection via KB or customer content (High/Medium) → T-03 layered defenses + CI red-team + Sev-2 runbook; closed action enum bounds blast radius.</w:t>
      </w:r>
      <w:r>
        <w:t xml:space="preserve"> </w:t>
      </w:r>
      <w:r>
        <w:t xml:space="preserve">R-04 Provider dependency (High likelihood of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incident) → fallback chains, degradation ladder, vendor register with exit criteria; the platform is fully operable AI-off (the ultimate fallback is the product’s own human workflow).</w:t>
      </w:r>
      <w:r>
        <w:t xml:space="preserve"> </w:t>
      </w:r>
      <w:r>
        <w:t xml:space="preserve">R-05 Cost runaway on viral days (Medium/Medium) → quotas, turn caps, fast-tier classification, EC-12 soft-landing; cost dashboards in Doc 15.</w:t>
      </w:r>
      <w:r>
        <w:t xml:space="preserve"> </w:t>
      </w:r>
      <w:r>
        <w:t xml:space="preserve">R-06 Operator over-trust (treating AI resolution rate as the only KPI) (Medium/Medium) → Doc 15 pairs resolution rate with CSAT(AI) and reopen-after-AI by default — the honest triad ships together.</w:t>
      </w:r>
    </w:p>
    <w:bookmarkEnd w:id="47"/>
    <w:bookmarkStart w:id="48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6"/>
        </w:numPr>
        <w:pStyle w:val="Compact"/>
      </w:pPr>
      <w:r>
        <w:t xml:space="preserve">Build the orchestrator + decision log + golden-conversation harness before any surface — the harness is how every subsequent prompt change stays safe.</w:t>
      </w:r>
    </w:p>
    <w:p>
      <w:pPr>
        <w:numPr>
          <w:ilvl w:val="0"/>
          <w:numId w:val="1006"/>
        </w:numPr>
        <w:pStyle w:val="Compact"/>
      </w:pPr>
      <w:r>
        <w:t xml:space="preserve">Launch the chatbot conservative (high handoff threshold, small KB scope) and widen via the simulation tool weekly; earned autonomy beats day-one ambition in a money domain.</w:t>
      </w:r>
    </w:p>
    <w:p>
      <w:pPr>
        <w:numPr>
          <w:ilvl w:val="0"/>
          <w:numId w:val="1006"/>
        </w:numPr>
        <w:pStyle w:val="Compact"/>
      </w:pPr>
      <w:r>
        <w:t xml:space="preserve">Treat the RG fixture corpus as a governed asset (labeled, versioned, reviewed with the operator’s compliance contact) — it is the conscience of this module.</w:t>
      </w:r>
    </w:p>
    <w:p>
      <w:pPr>
        <w:numPr>
          <w:ilvl w:val="0"/>
          <w:numId w:val="1006"/>
        </w:numPr>
        <w:pStyle w:val="Compact"/>
      </w:pPr>
      <w:r>
        <w:t xml:space="preserve">Keep the immutable honesty layer (T-02) in code with its hash in every decision — when an auditor or regulator asks</w:t>
      </w:r>
      <w:r>
        <w:t xml:space="preserve"> </w:t>
      </w:r>
      <w:r>
        <w:t xml:space="preserve">“</w:t>
      </w:r>
      <w:r>
        <w:t xml:space="preserve">could the operator disable the disclosure?</w:t>
      </w:r>
      <w:r>
        <w:t xml:space="preserve">”</w:t>
      </w:r>
      <w:r>
        <w:t xml:space="preserve">, the answer must be provably no.</w:t>
      </w:r>
    </w:p>
    <w:p>
      <w:pPr>
        <w:numPr>
          <w:ilvl w:val="0"/>
          <w:numId w:val="1006"/>
        </w:numPr>
        <w:pStyle w:val="Compact"/>
      </w:pPr>
      <w:r>
        <w:t xml:space="preserve">Schedule the monthly invoice-reconciliation (AC-10) and the quarterly vendor review from day one; AI cost and dependency drift silently otherwise.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09. Next in series: Document 10 — Knowledge Base.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2026-07-26T20:04:03Z</dcterms:created>
  <dcterms:modified xsi:type="dcterms:W3CDTF">2026-07-26T20:04:03Z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