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8" w:name="X16d3d5428c70732214a13bd1cea40d7da14eabc"/>
    <w:p>
      <w:pPr>
        <w:pStyle w:val="Heading1"/>
      </w:pPr>
      <w:r>
        <w:t xml:space="preserve">Document 12 — Automation, SLA, Forms &amp; Custom Fields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12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product,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(events, settings, outbox), Doc 03 (permissions</w:t>
      </w:r>
      <w:r>
        <w:t xml:space="preserve"> </w:t>
      </w:r>
      <w:r>
        <w:rPr>
          <w:rStyle w:val="VerbatimChar"/>
        </w:rPr>
        <w:t xml:space="preserve">automation.*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macros.*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forms.*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sla.*</w:t>
      </w:r>
      <w:r>
        <w:t xml:space="preserve">), Doc 04 (messages), Doc 05 (channel renderings, window events), Doc 06 (ticket events &amp; transition service, timers pattern), Doc 09 (AI conditions/actions, CSAT trigger), Doc 11 (routing actions, business-hours consumption). Consumed by: Doc 07 (macros palette, SLA chips), Doc 13 (form renders, surveys), Doc 14 (SMS actions), Doc 15 (SLA &amp; CSAT metrics), Doc 17 (audit).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PostgreSQL, Redis (timers), Horizon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queue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workflow layer — five tightly related subsystems: (1) the</w:t>
      </w:r>
      <w:r>
        <w:t xml:space="preserve"> </w:t>
      </w:r>
      <w:r>
        <w:rPr>
          <w:bCs/>
          <w:b/>
        </w:rPr>
        <w:t xml:space="preserve">Automation Rules engine</w:t>
      </w:r>
      <w:r>
        <w:t xml:space="preserve"> </w:t>
      </w:r>
      <w:r>
        <w:t xml:space="preserve">(if-trigger-then-actions with condition trees, deterministic ordering, dry-run testing, execution logs, and loop protection); (2)</w:t>
      </w:r>
      <w:r>
        <w:t xml:space="preserve"> </w:t>
      </w:r>
      <w:r>
        <w:rPr>
          <w:bCs/>
          <w:b/>
        </w:rPr>
        <w:t xml:space="preserve">SLA management</w:t>
      </w:r>
      <w:r>
        <w:t xml:space="preserve"> </w:t>
      </w:r>
      <w:r>
        <w:t xml:space="preserve">(policies with per-priority targets for first response, next response, and resolution, business-hours or calendar time, pause conditions including the channel-unreachable flag, warning thresholds, instances armed per ticket, and the timers that drive Doc 07’s chips and Doc 11’s boosts); (3)</w:t>
      </w:r>
      <w:r>
        <w:t xml:space="preserve"> </w:t>
      </w:r>
      <w:r>
        <w:rPr>
          <w:bCs/>
          <w:b/>
        </w:rPr>
        <w:t xml:space="preserve">Business hours &amp; holidays</w:t>
      </w:r>
      <w:r>
        <w:t xml:space="preserve"> </w:t>
      </w:r>
      <w:r>
        <w:t xml:space="preserve">(tenant calendars with department overrides, consumed by SLA, routing estimates, and off-hours bot behavior); (4)</w:t>
      </w:r>
      <w:r>
        <w:t xml:space="preserve"> </w:t>
      </w:r>
      <w:r>
        <w:rPr>
          <w:bCs/>
          <w:b/>
        </w:rPr>
        <w:t xml:space="preserve">Macros &amp; saved replies</w:t>
      </w:r>
      <w:r>
        <w:t xml:space="preserve"> </w:t>
      </w:r>
      <w:r>
        <w:t xml:space="preserve">(personal/team/tenant scopes, variables, the Doc 07 palette contract); and (5) the</w:t>
      </w:r>
      <w:r>
        <w:t xml:space="preserve"> </w:t>
      </w:r>
      <w:r>
        <w:rPr>
          <w:bCs/>
          <w:b/>
        </w:rPr>
        <w:t xml:space="preserve">Form builder and Custom Fields</w:t>
      </w:r>
      <w:r>
        <w:t xml:space="preserve"> </w:t>
      </w:r>
      <w:r>
        <w:t xml:space="preserve">(13 field types, drag-and-drop multi-step forms with conditional logic, dual rendering — web widget forms and Telegram conversational one-field-per-message flows — versioned publishing with submission snapshots) plus</w:t>
      </w:r>
      <w:r>
        <w:t xml:space="preserve"> </w:t>
      </w:r>
      <w:r>
        <w:rPr>
          <w:bCs/>
          <w:b/>
        </w:rPr>
        <w:t xml:space="preserve">CSAT surveys</w:t>
      </w:r>
      <w:r>
        <w:t xml:space="preserve"> </w:t>
      </w:r>
      <w:r>
        <w:t xml:space="preserve">(1-tap post-resolution and post-AI-resolution capture on both channels). Everything here is Backoffice-configurable with zero code, and everything emits events for audit and reporting.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Give operators the no-code workflow toolkit the master requirements demand: rules, SLAs, forms, fields, macros, hours — each safe to change on a live system.</w:t>
      </w:r>
    </w:p>
    <w:p>
      <w:pPr>
        <w:numPr>
          <w:ilvl w:val="0"/>
          <w:numId w:val="1001"/>
        </w:numPr>
        <w:pStyle w:val="Compact"/>
      </w:pPr>
      <w:r>
        <w:t xml:space="preserve">Define exact evaluation semantics (rule ordering, SLA clock math, condition truth tables, form versioning) so behavior is testable and disputes are decidable.</w:t>
      </w:r>
    </w:p>
    <w:p>
      <w:pPr>
        <w:numPr>
          <w:ilvl w:val="0"/>
          <w:numId w:val="1001"/>
        </w:numPr>
        <w:pStyle w:val="Compact"/>
      </w:pPr>
      <w:r>
        <w:t xml:space="preserve">Contract the integration points every consumer document renders: SLA chips, macro palette, form renders, CSAT prompts.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rules engine (triggers, conditions, actions, ordering, dry-run, logs, loop protection, rate/blast guards); SLA policies, instances, clocks, pauses, warnings, breaches, re-targeting semantics; business hours &amp; holiday calendars; macros &amp; saved replies; custom field definitions (ticket + customer entities); form builder, versioning, dual rendering, validation, submissions; CSAT surveys (both channels, both resolution paths); events for all subsystems.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routing algorithms (Doc 11 — rules call its actions); SMS template content (Doc 14 — rules trigger sends); AI task internals (Doc 09 — rules consume its outputs and call its actions); report formulas (Doc 15); the widget’s rendering engine (Doc 13 renders this doc’s form contract).</w:t>
      </w:r>
    </w:p>
    <w:bookmarkEnd w:id="22"/>
    <w:bookmarkStart w:id="30" w:name="functional-requirements"/>
    <w:p>
      <w:pPr>
        <w:pStyle w:val="Heading2"/>
      </w:pPr>
      <w:r>
        <w:t xml:space="preserve">4. Functional Requirements</w:t>
      </w:r>
    </w:p>
    <w:bookmarkStart w:id="23" w:name="automation-rules"/>
    <w:p>
      <w:pPr>
        <w:pStyle w:val="Heading3"/>
      </w:pPr>
      <w:r>
        <w:t xml:space="preserve">4.1 Automation rules</w:t>
      </w:r>
    </w:p>
    <w:p>
      <w:pPr>
        <w:pStyle w:val="FirstParagraph"/>
      </w:pPr>
      <w:r>
        <w:t xml:space="preserve">FR-01 Rule = {name, description, trigger, condition tree, ordered actions[], position, active, run-window (optional schedule constraint)}. Triggers (v1):</w:t>
      </w:r>
      <w:r>
        <w:t xml:space="preserve"> </w:t>
      </w:r>
      <w:r>
        <w:rPr>
          <w:rStyle w:val="VerbatimChar"/>
        </w:rPr>
        <w:t xml:space="preserve">ticket.created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ticket.status_changed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ticket.priority_changed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ticket.transferred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 </w:t>
      </w:r>
      <w:r>
        <w:t xml:space="preserve">(customer),</w:t>
      </w:r>
      <w:r>
        <w:t xml:space="preserve"> </w:t>
      </w:r>
      <w:r>
        <w:rPr>
          <w:rStyle w:val="VerbatimChar"/>
        </w:rPr>
        <w:t xml:space="preserve">form.submitted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sla.warned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sla.breached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csat.received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telegram.window.closing|expired</w:t>
      </w:r>
      <w:r>
        <w:t xml:space="preserve"> </w:t>
      </w:r>
      <w:r>
        <w:t xml:space="preserve">(Doc 05 FR-22),</w:t>
      </w:r>
      <w:r>
        <w:t xml:space="preserve"> </w:t>
      </w:r>
      <w:r>
        <w:rPr>
          <w:rStyle w:val="VerbatimChar"/>
        </w:rPr>
        <w:t xml:space="preserve">customer.rg_flag.set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(cron-like, tenant timezone, min interval 5 min).</w:t>
      </w:r>
      <w:r>
        <w:t xml:space="preserve"> </w:t>
      </w:r>
      <w:r>
        <w:t xml:space="preserve">FR-02 Conditions: nested all/any groups over: ticket fields (status, priority, department, queue, channel, tags, age, custom fields), customer fields (tags, language, country, custom fields, VIP-source field, blocked), message facts (contains/keyword sets, language), AI outputs (intent, sentiment range, confidence range, urgency — Doc 09 classification), time facts (within/outside business hours, day-of-week). Operators per type (equals, in, contains, gt/lt, between, is-empty). Keyword sets are managed lists (reusable across rules).</w:t>
      </w:r>
      <w:r>
        <w:t xml:space="preserve"> </w:t>
      </w:r>
      <w:r>
        <w:t xml:space="preserve">FR-03 Actions (each independently audited): assign (agent/queue via Doc 11), transfer department, set priority/status (through Doc 06’s transition service — illegal transitions fail that action with a logged reason, remaining actions continue), add/remove tags, set custom field, send macro as reply (channel-capability aware), add internal note, notify (users/roles — Doc 16 delivery), send SMS template (Doc 14, template-based only), webhook out (Doc 01 signed), run AI task (summarize→note, classify-refresh, translate-last-message→note), escalate (Doc 06 FR-23 with rule-authored reason), suppress (marketing-suppression flag used by Doc 08 FR-15 consumers).</w:t>
      </w:r>
      <w:r>
        <w:t xml:space="preserve"> </w:t>
      </w:r>
      <w:r>
        <w:t xml:space="preserve">FR-04 Evaluation semantics: per event, active rules whose trigger matches evaluate</w:t>
      </w:r>
      <w:r>
        <w:t xml:space="preserve"> </w:t>
      </w:r>
      <w:r>
        <w:rPr>
          <w:bCs/>
          <w:b/>
        </w:rPr>
        <w:t xml:space="preserve">in position order</w:t>
      </w:r>
      <w:r>
        <w:t xml:space="preserve">; each matching rule’s actions run in listed order; per-event guards: max 10 rules fire, max 20 total actions, rule-chain depth ≤ 3 (an action-caused event carries a chain-depth counter; exceeding it stops evaluation with a</w:t>
      </w:r>
      <w:r>
        <w:t xml:space="preserve"> </w:t>
      </w:r>
      <w:r>
        <w:rPr>
          <w:rStyle w:val="VerbatimChar"/>
        </w:rPr>
        <w:t xml:space="preserve">loop_guard</w:t>
      </w:r>
      <w:r>
        <w:t xml:space="preserve"> </w:t>
      </w:r>
      <w:r>
        <w:t xml:space="preserve">log entry + alert). Same-rule-same-ticket cooldown (default 5 min, per-rule setting) prevents thrash.</w:t>
      </w:r>
      <w:r>
        <w:t xml:space="preserve"> </w:t>
      </w:r>
      <w:r>
        <w:t xml:space="preserve">FR-05 Dry-run tester: pick/paste a sample ticket or event → shows which rules would match (with per-condition truth), which actions would run, in order, and which guards would trip — zero side effects; runnable against historical events (last 7 days picker).</w:t>
      </w:r>
      <w:r>
        <w:t xml:space="preserve"> </w:t>
      </w:r>
      <w:r>
        <w:t xml:space="preserve">FR-06 Execution log per rule: matched count, last run, per-execution detail (event ref, condition results, action outcomes incl. failures), retention 90 days; a global</w:t>
      </w:r>
      <w:r>
        <w:t xml:space="preserve"> </w:t>
      </w:r>
      <w:r>
        <w:t xml:space="preserve">“</w:t>
      </w:r>
      <w:r>
        <w:t xml:space="preserve">what touched this ticket</w:t>
      </w:r>
      <w:r>
        <w:t xml:space="preserve">”</w:t>
      </w:r>
      <w:r>
        <w:t xml:space="preserve"> </w:t>
      </w:r>
      <w:r>
        <w:t xml:space="preserve">view exists on the ticket timeline (rule actions appear as system events with rule links — Doc 06 FR-26 integration).</w:t>
      </w:r>
      <w:r>
        <w:t xml:space="preserve"> </w:t>
      </w:r>
      <w:r>
        <w:t xml:space="preserve">FR-07 Activation is separate from editing (</w:t>
      </w:r>
      <w:r>
        <w:rPr>
          <w:rStyle w:val="VerbatimChar"/>
        </w:rPr>
        <w:t xml:space="preserve">automation.rules.activate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.edit</w:t>
      </w:r>
      <w:r>
        <w:t xml:space="preserve">, Doc 03): edits to an active rule create a draft revision; activating the revision swaps atomically; revision history kept with diff (who changed what).</w:t>
      </w:r>
    </w:p>
    <w:bookmarkEnd w:id="23"/>
    <w:bookmarkStart w:id="24" w:name="sla"/>
    <w:p>
      <w:pPr>
        <w:pStyle w:val="Heading3"/>
      </w:pPr>
      <w:r>
        <w:t xml:space="preserve">4.2 SLA</w:t>
      </w:r>
    </w:p>
    <w:p>
      <w:pPr>
        <w:pStyle w:val="FirstParagraph"/>
      </w:pPr>
      <w:r>
        <w:t xml:space="preserve">FR-08 Policy = {name, order (first match wins), match conditions (subset of FR-02: department, priority, channel, tags, VIP source), targets per priority: first_response, next_response (each subsequent customer message → staff reply), resolution; clock mode: business_hours (with calendar ref) | calendar; warning threshold % (default 80); pause conditions:</w:t>
      </w:r>
      <w:r>
        <w:t xml:space="preserve"> </w:t>
      </w:r>
      <w:r>
        <w:rPr>
          <w:rStyle w:val="VerbatimChar"/>
        </w:rPr>
        <w:t xml:space="preserve">pending_customer</w:t>
      </w:r>
      <w:r>
        <w:t xml:space="preserve"> </w:t>
      </w:r>
      <w:r>
        <w:t xml:space="preserve">(default on),</w:t>
      </w:r>
      <w:r>
        <w:t xml:space="preserve"> </w:t>
      </w:r>
      <w:r>
        <w:rPr>
          <w:rStyle w:val="VerbatimChar"/>
        </w:rPr>
        <w:t xml:space="preserve">pending_internal</w:t>
      </w:r>
      <w:r>
        <w:t xml:space="preserve"> </w:t>
      </w:r>
      <w:r>
        <w:t xml:space="preserve">(default off),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 </w:t>
      </w:r>
      <w:r>
        <w:t xml:space="preserve">(default on — Doc 06 BR-07 realized), outside business hours (implied by clock mode); re-target on priority change:</w:t>
      </w:r>
      <w:r>
        <w:t xml:space="preserve"> </w:t>
      </w:r>
      <w:r>
        <w:rPr>
          <w:rStyle w:val="VerbatimChar"/>
        </w:rPr>
        <w:t xml:space="preserve">keep | retarget_remaining</w:t>
      </w:r>
      <w:r>
        <w:t xml:space="preserve"> </w:t>
      </w:r>
      <w:r>
        <w:t xml:space="preserve">(default keep, Doc 06 FR-22 badge); breach escalation hook (optional: auto-escalate per Doc 06 FR-23 with policy-authored reason).}</w:t>
      </w:r>
      <w:r>
        <w:t xml:space="preserve"> </w:t>
      </w:r>
      <w:r>
        <w:t xml:space="preserve">FR-09 Instance arming: on ticket creation, first matching policy arms an instance (policy snapshot embedded — later policy edits never mutate armed instances, Doc 06 SS-03 semantics); stages arm/clear per lifecycle: first_response clears on Doc 06 FR-24’s first_response_at; next_response re-arms on each customer message while open-family, clears on staff public reply; resolution clears on resolved.</w:t>
      </w:r>
      <w:r>
        <w:t xml:space="preserve"> </w:t>
      </w:r>
      <w:r>
        <w:t xml:space="preserve">FR-10 Clock math (normative): elapsed = Σ active intervals ∩ (business-hours calendar if mode=business) minus paused intervals; warning fires at threshold% of target; breach at 100%; both emit events (</w:t>
      </w:r>
      <w:r>
        <w:rPr>
          <w:rStyle w:val="VerbatimChar"/>
        </w:rPr>
        <w:t xml:space="preserve">sla.warned|breached {stage}</w:t>
      </w:r>
      <w:r>
        <w:t xml:space="preserve">) consumed by Doc 07 chips, Doc 11 boosts, FR-01 triggers, Doc 15. Timers via the platform ZSET pattern (Doc 06 T-03) with recompute-on-pause/resume (no per-second ticking; next-fire-at scheduling).</w:t>
      </w:r>
      <w:r>
        <w:t xml:space="preserve"> </w:t>
      </w:r>
      <w:r>
        <w:t xml:space="preserve">FR-11 SLA chip contract (Doc 07/06 render): stage label + countdown (green → amber at warning → red at breach, pulsing prohibited per reduced-motion rules), pause state shows a pause glyph with reason tooltip; multi-stage display shows the most urgent stage.</w:t>
      </w:r>
    </w:p>
    <w:bookmarkEnd w:id="24"/>
    <w:bookmarkStart w:id="25" w:name="business-hours-holidays"/>
    <w:p>
      <w:pPr>
        <w:pStyle w:val="Heading3"/>
      </w:pPr>
      <w:r>
        <w:t xml:space="preserve">4.3 Business hours &amp; holidays</w:t>
      </w:r>
    </w:p>
    <w:p>
      <w:pPr>
        <w:pStyle w:val="FirstParagraph"/>
      </w:pPr>
      <w:r>
        <w:t xml:space="preserve">FR-12 Tenant calendar: per-weekday intervals (multiple per day supported — split shifts), timezone (tenant), holiday list (date + name, recurring-yearly flag); department overrides (Doc 11 FR-01) reference their own calendar or deltas; editable visually (week grid painter); changes apply prospectively (armed SLA instances keep their snapshot calendar — documented on the edit screen).</w:t>
      </w:r>
      <w:r>
        <w:t xml:space="preserve"> </w:t>
      </w:r>
      <w:r>
        <w:t xml:space="preserve">FR-13 Consumers (contracts): SLA clock (FR-08), Doc 11 estimator off-hours bands, Doc 05/13 off-hours bot templates, FR-01 time conditions, Doc 14 quiet-hours default source.</w:t>
      </w:r>
    </w:p>
    <w:bookmarkEnd w:id="25"/>
    <w:bookmarkStart w:id="26" w:name="macros-saved-replies"/>
    <w:p>
      <w:pPr>
        <w:pStyle w:val="Heading3"/>
      </w:pPr>
      <w:r>
        <w:t xml:space="preserve">4.4 Macros &amp; saved replies</w:t>
      </w:r>
    </w:p>
    <w:p>
      <w:pPr>
        <w:pStyle w:val="FirstParagraph"/>
      </w:pPr>
      <w:r>
        <w:t xml:space="preserve">FR-14 Macro = {name, scope: personal|team|tenant, body (rich-lite per Doc 07 FR-18), variables, optional bundled actions (set status/priority/tags applied on insert-and-send — shown as chips in the palette so agents know a macro does more than text)}; saved reply = body-only macro (same storage,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). Permissions:</w:t>
      </w:r>
      <w:r>
        <w:t xml:space="preserve"> </w:t>
      </w:r>
      <w:r>
        <w:rPr>
          <w:rStyle w:val="VerbatimChar"/>
        </w:rPr>
        <w:t xml:space="preserve">macros.personal.manage</w:t>
      </w:r>
      <w:r>
        <w:t xml:space="preserve"> </w:t>
      </w:r>
      <w:r>
        <w:t xml:space="preserve">(own),</w:t>
      </w:r>
      <w:r>
        <w:t xml:space="preserve"> </w:t>
      </w:r>
      <w:r>
        <w:rPr>
          <w:rStyle w:val="VerbatimChar"/>
        </w:rPr>
        <w:t xml:space="preserve">macros.shared.manage</w:t>
      </w:r>
      <w:r>
        <w:t xml:space="preserve"> </w:t>
      </w:r>
      <w:r>
        <w:t xml:space="preserve">(team/tenant).</w:t>
      </w:r>
      <w:r>
        <w:t xml:space="preserve"> </w:t>
      </w:r>
      <w:r>
        <w:t xml:space="preserve">FR-15 Variables:</w:t>
      </w:r>
      <w:r>
        <w:t xml:space="preserve"> </w:t>
      </w:r>
      <w:r>
        <w:rPr>
          <w:rStyle w:val="VerbatimChar"/>
        </w:rPr>
        <w:t xml:space="preserve">{{customer.name}}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{{ticket.number}}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{{agent.first_name}}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{{queue.wait_band}}</w:t>
      </w:r>
      <w:r>
        <w:t xml:space="preserve"> </w:t>
      </w:r>
      <w:r>
        <w:t xml:space="preserve">(Doc 11 estimator), custom fields by key; unresolved variables render highlighted in the palette preview and block send until filled or removed (no</w:t>
      </w:r>
      <w:r>
        <w:t xml:space="preserve"> </w:t>
      </w:r>
      <w:r>
        <w:rPr>
          <w:rStyle w:val="VerbatimChar"/>
        </w:rPr>
        <w:t xml:space="preserve">{{blank}}</w:t>
      </w:r>
      <w:r>
        <w:t xml:space="preserve"> </w:t>
      </w:r>
      <w:r>
        <w:t xml:space="preserve">ever reaches a customer — hard rule).</w:t>
      </w:r>
      <w:r>
        <w:t xml:space="preserve"> </w:t>
      </w:r>
      <w:r>
        <w:t xml:space="preserve">FR-16 Palette contract (Doc 07 FR-19):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search across scopes (personal first), preview pane with live variable resolution, insert; usage counts recorded per macro (Doc 15 macro report; also drives palette ranking).</w:t>
      </w:r>
    </w:p>
    <w:bookmarkEnd w:id="26"/>
    <w:bookmarkStart w:id="27" w:name="custom-fields"/>
    <w:p>
      <w:pPr>
        <w:pStyle w:val="Heading3"/>
      </w:pPr>
      <w:r>
        <w:t xml:space="preserve">4.5 Custom fields</w:t>
      </w:r>
    </w:p>
    <w:p>
      <w:pPr>
        <w:pStyle w:val="FirstParagraph"/>
      </w:pPr>
      <w:r>
        <w:t xml:space="preserve">FR-17 Definition = {entity: ticket|customer, key (immutable snake_case), label (i18n), type: text|number|email|phone|date|time|checkbox|radio|dropdown|multi_select|url|file|rich_text, options (for choice types, each with i18n label + stable value), validation (per type: min/max, regex, required-contexts), agent_editable, customer_visible (forms only), position, active}. Managed under</w:t>
      </w:r>
      <w:r>
        <w:t xml:space="preserve"> </w:t>
      </w:r>
      <w:r>
        <w:rPr>
          <w:rStyle w:val="VerbatimChar"/>
        </w:rPr>
        <w:t xml:space="preserve">fields.manage</w:t>
      </w:r>
      <w:r>
        <w:t xml:space="preserve"> </w:t>
      </w:r>
      <w:r>
        <w:t xml:space="preserve">(high-risk — field changes ripple everywhere).</w:t>
      </w:r>
      <w:r>
        <w:t xml:space="preserve"> </w:t>
      </w:r>
      <w:r>
        <w:t xml:space="preserve">FR-18 Lifecycle: deactivate hides from new input, values persist read-only with a</w:t>
      </w:r>
      <w:r>
        <w:t xml:space="preserve"> </w:t>
      </w:r>
      <w:r>
        <w:t xml:space="preserve">“</w:t>
      </w:r>
      <w:r>
        <w:t xml:space="preserve">retired field</w:t>
      </w:r>
      <w:r>
        <w:t xml:space="preserve">”</w:t>
      </w:r>
      <w:r>
        <w:t xml:space="preserve"> </w:t>
      </w:r>
      <w:r>
        <w:t xml:space="preserve">tag (Doc 08 EC-09); reactivation restores; keys never reused; type changes prohibited (create a new field — migration guidance shown); option removal keeps historic values rendered with the stored label snapshot.</w:t>
      </w:r>
      <w:r>
        <w:t xml:space="preserve"> </w:t>
      </w:r>
      <w:r>
        <w:t xml:space="preserve">FR-19 Field values: stored per Doc 01 (</w:t>
      </w:r>
      <w:r>
        <w:rPr>
          <w:rStyle w:val="VerbatimChar"/>
        </w:rPr>
        <w:t xml:space="preserve">customer_fields</w:t>
      </w:r>
      <w:r>
        <w:t xml:space="preserve"> </w:t>
      </w:r>
      <w:r>
        <w:t xml:space="preserve">/ ticket</w:t>
      </w:r>
      <w:r>
        <w:t xml:space="preserve"> </w:t>
      </w:r>
      <w:r>
        <w:rPr>
          <w:rStyle w:val="VerbatimChar"/>
        </w:rPr>
        <w:t xml:space="preserve">form_data</w:t>
      </w:r>
      <w:r>
        <w:t xml:space="preserve">+</w:t>
      </w:r>
      <w:r>
        <w:rPr>
          <w:rStyle w:val="VerbatimChar"/>
        </w:rPr>
        <w:t xml:space="preserve">custom fields</w:t>
      </w:r>
      <w:r>
        <w:t xml:space="preserve"> </w:t>
      </w:r>
      <w:r>
        <w:t xml:space="preserve">jsonb per Doc 06 FR-01); indexed for the FR-02 conditions and Doc 07 view filters (expression indexes on hot keys, ops-managed list).</w:t>
      </w:r>
    </w:p>
    <w:bookmarkEnd w:id="27"/>
    <w:bookmarkStart w:id="28" w:name="form-builder"/>
    <w:p>
      <w:pPr>
        <w:pStyle w:val="Heading3"/>
      </w:pPr>
      <w:r>
        <w:t xml:space="preserve">4.6 Form builder</w:t>
      </w:r>
    </w:p>
    <w:p>
      <w:pPr>
        <w:pStyle w:val="FirstParagraph"/>
      </w:pPr>
      <w:r>
        <w:t xml:space="preserve">FR-20 Form = versioned definition {name, entity bindings (creates/updates ticket with department + optional priority), steps[] each with fields[] (refs to custom fields or inline form-only fields), conditional logic (show/hide field or step when {field op value}, no cross-step forward references), completion actions (route per Doc 11 tag, tag ticket, priority), per-language labels/help texts with completeness gates for enabled languages}.</w:t>
      </w:r>
      <w:r>
        <w:t xml:space="preserve"> </w:t>
      </w:r>
      <w:r>
        <w:t xml:space="preserve">FR-21 Dual rendering (normative):</w:t>
      </w:r>
      <w:r>
        <w:t xml:space="preserve"> </w:t>
      </w:r>
      <w:r>
        <w:rPr>
          <w:bCs/>
          <w:b/>
        </w:rPr>
        <w:t xml:space="preserve">Widget</w:t>
      </w:r>
      <w:r>
        <w:t xml:space="preserve"> </w:t>
      </w:r>
      <w:r>
        <w:t xml:space="preserve">(Doc 13 renders): stepped form UI with inline validation, progress, file upload per Doc 04 caps.</w:t>
      </w:r>
      <w:r>
        <w:t xml:space="preserve"> </w:t>
      </w:r>
      <w:r>
        <w:rPr>
          <w:bCs/>
          <w:b/>
        </w:rPr>
        <w:t xml:space="preserve">Telegram conversational</w:t>
      </w:r>
      <w:r>
        <w:t xml:space="preserve"> </w:t>
      </w:r>
      <w:r>
        <w:t xml:space="preserve">(Doc 05 flows): one field per message; choice fields → inline buttons (direct mode) / numbered text (business mode); validation errors as friendly retry prompts with 3-attempt-then-offer-human; file field accepts photo/document natively; a mid-form</w:t>
      </w:r>
      <w:r>
        <w:t xml:space="preserve"> </w:t>
      </w:r>
      <w:r>
        <w:rPr>
          <w:rStyle w:val="VerbatimChar"/>
        </w:rPr>
        <w:t xml:space="preserve">/human</w:t>
      </w:r>
      <w:r>
        <w:t xml:space="preserve"> </w:t>
      </w:r>
      <w:r>
        <w:t xml:space="preserve">or handoff trigger preserves partial data into the packet (Doc 09 FR-12 form_data may be partial, flagged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).</w:t>
      </w:r>
      <w:r>
        <w:t xml:space="preserve"> </w:t>
      </w:r>
      <w:r>
        <w:t xml:space="preserve">FR-22 Publishing: draft → publish creates an immutable version; submissions snapshot {version_id + answers} (Doc 06 form_data — schema-drift-proof); publish validation blocks: conditional referencing missing/retired fields, required file on a capability lacking upload (Doc 04 capability check), enabled language with incomplete labels; usage banner shows bindings (bot menus, rules, widget shortcuts) before publish.</w:t>
      </w:r>
      <w:r>
        <w:t xml:space="preserve"> </w:t>
      </w:r>
      <w:r>
        <w:t xml:space="preserve">FR-23 Seeded forms (provisioning): Deposit Issue, Withdrawal Issue, Verification Request — full schemas (amount+currency, method choice, transaction reference with per-method regex hints, timestamp, screenshot file optional-but-requested, free-text) as editable content (Doc 10 BR-07 stance).</w:t>
      </w:r>
    </w:p>
    <w:bookmarkEnd w:id="28"/>
    <w:bookmarkStart w:id="29" w:name="csat-surveys"/>
    <w:p>
      <w:pPr>
        <w:pStyle w:val="Heading3"/>
      </w:pPr>
      <w:r>
        <w:t xml:space="preserve">4.7 CSAT surveys</w:t>
      </w:r>
    </w:p>
    <w:p>
      <w:pPr>
        <w:pStyle w:val="FirstParagraph"/>
      </w:pPr>
      <w:r>
        <w:t xml:space="preserve">FR-24 Trigger points: ticket resolved (Doc 06 FR-06) and AI-resolved (Doc 09 FR-09); one survey per resolution event, suppressed if the same customer received one within</w:t>
      </w:r>
      <w:r>
        <w:t xml:space="preserve"> </w:t>
      </w:r>
      <w:r>
        <w:rPr>
          <w:rStyle w:val="VerbatimChar"/>
        </w:rPr>
        <w:t xml:space="preserve">csat.cooldown.hours</w:t>
      </w:r>
      <w:r>
        <w:t xml:space="preserve"> </w:t>
      </w:r>
      <w:r>
        <w:t xml:space="preserve">(default 24) or is RG-flagged (suppression contract Doc 08 FR-15).</w:t>
      </w:r>
      <w:r>
        <w:t xml:space="preserve"> </w:t>
      </w:r>
      <w:r>
        <w:t xml:space="preserve">FR-25 Capture: 1-tap score 1–5 (Telegram inline buttons / numbered text per mode; widget star row) + optional comment prompt after scoring; response window 72 h then expires; exactly one response per survey (edits within 1 h replace); events</w:t>
      </w:r>
      <w:r>
        <w:t xml:space="preserve"> </w:t>
      </w:r>
      <w:r>
        <w:rPr>
          <w:rStyle w:val="VerbatimChar"/>
        </w:rPr>
        <w:t xml:space="preserve">csat.sent|received|expired</w:t>
      </w:r>
      <w:r>
        <w:t xml:space="preserve"> </w:t>
      </w:r>
      <w:r>
        <w:t xml:space="preserve">with {score, comment?, ticket, resolver_type: human|ai} — Doc 15’s CSAT source of truth; low scores (≤2) raise a review item (Doc 09 FR-20 loop + supervisor feed).</w:t>
      </w:r>
    </w:p>
    <w:bookmarkEnd w:id="29"/>
    <w:bookmarkEnd w:id="30"/>
    <w:bookmarkStart w:id="31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Rule evaluation per event ≤ 20 ms p99 at 200 active rules (compiled condition trees, indexed guards); action execution async on the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queue ≤ 2 s p95 to completion.</w:t>
      </w:r>
      <w:r>
        <w:t xml:space="preserve"> </w:t>
      </w:r>
      <w:r>
        <w:t xml:space="preserve">NFR-02 SLA timer accuracy: warning/breach fire within ±30 s of the computed instant (next-fire-at scheduling; recompute on every pause/resume/priority event).</w:t>
      </w:r>
      <w:r>
        <w:t xml:space="preserve"> </w:t>
      </w:r>
      <w:r>
        <w:t xml:space="preserve">NFR-03 Dry-run over a 7-day event window (≤ 50k events) ≤ 10 s with progressive results.</w:t>
      </w:r>
      <w:r>
        <w:t xml:space="preserve"> </w:t>
      </w:r>
      <w:r>
        <w:t xml:space="preserve">NFR-04 Form render definitions cached per version (immutable → infinite TTL); widget form payload ≤ 30 KB.</w:t>
      </w:r>
      <w:r>
        <w:t xml:space="preserve"> </w:t>
      </w:r>
      <w:r>
        <w:t xml:space="preserve">NFR-05 Macro palette search ≤ 50 ms p95 at 1k macros.</w:t>
      </w:r>
      <w:r>
        <w:t xml:space="preserve"> </w:t>
      </w:r>
      <w:r>
        <w:t xml:space="preserve">NFR-06 All five subsystems’ writes are evented (Doc 01 outbox) and audited; zero configuration change is silent.</w:t>
      </w:r>
    </w:p>
    <w:bookmarkEnd w:id="31"/>
    <w:bookmarkStart w:id="32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operator admin, I build</w:t>
      </w:r>
      <w:r>
        <w:t xml:space="preserve"> </w:t>
      </w:r>
      <w:r>
        <w:t xml:space="preserve">“</w:t>
      </w:r>
      <w:r>
        <w:t xml:space="preserve">if Bonus Issue form + promo code MEGA10 → tag, route to Bonuses, normal priority</w:t>
      </w:r>
      <w:r>
        <w:t xml:space="preserve">”</w:t>
      </w:r>
      <w:r>
        <w:t xml:space="preserve"> </w:t>
      </w:r>
      <w:r>
        <w:t xml:space="preserve">in five minutes and dry-run it against yesterday before activating.</w:t>
      </w:r>
      <w:r>
        <w:t xml:space="preserve"> </w:t>
      </w:r>
      <w:r>
        <w:t xml:space="preserve">US-02 As an operator admin, VIP withdrawal tickets get a 10-minute first-response SLA in business hours, and I can prove exactly when a breach clock paused because we were waiting on the customer.</w:t>
      </w:r>
      <w:r>
        <w:t xml:space="preserve"> </w:t>
      </w:r>
      <w:r>
        <w:t xml:space="preserve">US-03 As an agent, my</w:t>
      </w:r>
      <w:r>
        <w:t xml:space="preserve"> </w:t>
      </w:r>
      <w:r>
        <w:rPr>
          <w:rStyle w:val="VerbatimChar"/>
        </w:rPr>
        <w:t xml:space="preserve">/refund-timeline</w:t>
      </w:r>
      <w:r>
        <w:t xml:space="preserve"> </w:t>
      </w:r>
      <w:r>
        <w:t xml:space="preserve">macro fills the player’s name and the live queue wait, and warns me before I could ever send a blank variable.</w:t>
      </w:r>
      <w:r>
        <w:t xml:space="preserve"> </w:t>
      </w:r>
      <w:r>
        <w:t xml:space="preserve">US-04 As a player on Telegram at midnight, the deposit form asks me one clear question at a time, accepts my screenshot, and hands me to the morning queue with everything attached.</w:t>
      </w:r>
      <w:r>
        <w:t xml:space="preserve"> </w:t>
      </w:r>
      <w:r>
        <w:t xml:space="preserve">US-05 As a product owner, I add a</w:t>
      </w:r>
      <w:r>
        <w:t xml:space="preserve"> </w:t>
      </w:r>
      <w:r>
        <w:t xml:space="preserve">“</w:t>
      </w:r>
      <w:r>
        <w:t xml:space="preserve">payment method</w:t>
      </w:r>
      <w:r>
        <w:t xml:space="preserve">”</w:t>
      </w:r>
      <w:r>
        <w:t xml:space="preserve"> </w:t>
      </w:r>
      <w:r>
        <w:t xml:space="preserve">dropdown once and it’s usable in forms, rule conditions, view filters, and reports without engineering.</w:t>
      </w:r>
      <w:r>
        <w:t xml:space="preserve"> </w:t>
      </w:r>
      <w:r>
        <w:t xml:space="preserve">US-06 As a supervisor, every ticket a rule touched says so on its timeline, with a link to the rule and that execution’s detail.</w:t>
      </w:r>
      <w:r>
        <w:t xml:space="preserve"> </w:t>
      </w:r>
      <w:r>
        <w:t xml:space="preserve">US-07 As a player, after my issue is resolved I tap one star rating and I’m done — and nobody surveys me three times in a day.</w:t>
      </w:r>
    </w:p>
    <w:bookmarkEnd w:id="32"/>
    <w:bookmarkStart w:id="33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Deterministic order everywhere: rules by position, policies first-match, actions as listed — no parallel/priority magic; what the admin sees is the execution order.</w:t>
      </w:r>
      <w:r>
        <w:t xml:space="preserve"> </w:t>
      </w:r>
      <w:r>
        <w:t xml:space="preserve">BR-02 Rules act through the same doors as humans: status via the transition service, routing via Doc 11, SMS via templates — automation gains no bypass powers (illegal transitions fail per-action, honestly logged).</w:t>
      </w:r>
      <w:r>
        <w:t xml:space="preserve"> </w:t>
      </w:r>
      <w:r>
        <w:t xml:space="preserve">BR-03 Armed SLA instances are contracts (snapshot semantics): policy and calendar edits are prospective; retroactive SLA rewriting is prohibited (dispute integrity).</w:t>
      </w:r>
      <w:r>
        <w:t xml:space="preserve"> </w:t>
      </w:r>
      <w:r>
        <w:t xml:space="preserve">BR-04 No blank variables to customers (FR-15) and no free-text SMS from rules (FR-03 template-only) — the two classic automation embarrassments are structurally impossible.</w:t>
      </w:r>
      <w:r>
        <w:t xml:space="preserve"> </w:t>
      </w:r>
      <w:r>
        <w:t xml:space="preserve">BR-05 Guards are non-negotiable platform limits (FR-04 caps); operators tune within them, never above them.</w:t>
      </w:r>
      <w:r>
        <w:t xml:space="preserve"> </w:t>
      </w:r>
      <w:r>
        <w:t xml:space="preserve">BR-06 Forms are versioned contracts (FR-22): a submission is forever interpretable against its exact version.</w:t>
      </w:r>
      <w:r>
        <w:t xml:space="preserve"> </w:t>
      </w:r>
      <w:r>
        <w:t xml:space="preserve">BR-07 CSAT is measurement, not marketing: one prompt per resolution, cooldown-suppressed, RG-suppressed, never incentivized in-product.</w:t>
      </w:r>
    </w:p>
    <w:bookmarkEnd w:id="33"/>
    <w:bookmarkStart w:id="34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Rules list:</w:t>
      </w:r>
      <w:r>
        <w:t xml:space="preserve"> </w:t>
      </w:r>
      <w:r>
        <w:t xml:space="preserve">position-ordered with drag-reorder, active toggles (permission-gated), matched-count sparkline, last-run, guard-trip badges; revision indicator on edited-active rules.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 editor:</w:t>
      </w:r>
      <w:r>
        <w:t xml:space="preserve"> </w:t>
      </w:r>
      <w:r>
        <w:t xml:space="preserve">three panels (Trigger → Conditions tree builder with all/any group nesting, per-row type-aware operator/value inputs, keyword-set picker → Actions ordered list with per-action config cards); inline validation (e.g., SMS action without a template chosen); the dry-run drawer alongside (FR-05) with per-condition truth badges (✓/✗ per row on a sample); save-as-draft vs activate flows per FR-07.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SLA policies:</w:t>
      </w:r>
      <w:r>
        <w:t xml:space="preserve"> </w:t>
      </w:r>
      <w:r>
        <w:t xml:space="preserve">ordered list with match summaries; policy editor shows a live example (</w:t>
      </w:r>
      <w:r>
        <w:t xml:space="preserve">“</w:t>
      </w:r>
      <w:r>
        <w:t xml:space="preserve">a High Deposits ticket created Tue 17:00 would target first response Wed 08:40</w:t>
      </w:r>
      <w:r>
        <w:t xml:space="preserve">”</w:t>
      </w:r>
      <w:r>
        <w:t xml:space="preserve">) computed from the calendar; pause-condition toggles with plain-language captions; the re-target choice explained with a diagram.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Business hours:</w:t>
      </w:r>
      <w:r>
        <w:t xml:space="preserve"> </w:t>
      </w:r>
      <w:r>
        <w:t xml:space="preserve">week-grid painter (drag intervals), holiday list with recurring toggles, department-override diff view (</w:t>
      </w:r>
      <w:r>
        <w:t xml:space="preserve">“</w:t>
      </w:r>
      <w:r>
        <w:t xml:space="preserve">Payments differs: Sat closed</w:t>
      </w:r>
      <w:r>
        <w:t xml:space="preserve">”</w:t>
      </w:r>
      <w:r>
        <w:t xml:space="preserve">); the prospective-only rule stated on the edit screen (BR-03).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Macros:</w:t>
      </w:r>
      <w:r>
        <w:t xml:space="preserve"> </w:t>
      </w:r>
      <w:r>
        <w:t xml:space="preserve">manager grouped by scope with usage counts; editor with variable palette, live preview against a sample ticket, bundled-action chips; the Doc 07 palette per FR-16.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Fields manager:</w:t>
      </w:r>
      <w:r>
        <w:t xml:space="preserve"> </w:t>
      </w:r>
      <w:r>
        <w:t xml:space="preserve">entity tabs, drag-order, type-locked badges, retired section; option editors with value-stability warnings;</w:t>
      </w:r>
      <w:r>
        <w:t xml:space="preserve"> </w:t>
      </w:r>
      <w:r>
        <w:t xml:space="preserve">“</w:t>
      </w:r>
      <w:r>
        <w:t xml:space="preserve">where used</w:t>
      </w:r>
      <w:r>
        <w:t xml:space="preserve">”</w:t>
      </w:r>
      <w:r>
        <w:t xml:space="preserve"> </w:t>
      </w:r>
      <w:r>
        <w:t xml:space="preserve">panel (forms, rules, views) before deactivate.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 builder:</w:t>
      </w:r>
      <w:r>
        <w:t xml:space="preserve"> </w:t>
      </w:r>
      <w:r>
        <w:t xml:space="preserve">left palette (field types + existing custom fields), center canvas with step tabs and drag placement, right inspector (labels per language with completeness dots per Doc 10 pattern, validation, conditional builder with a plain sentence render:</w:t>
      </w:r>
      <w:r>
        <w:t xml:space="preserve"> </w:t>
      </w:r>
      <w:r>
        <w:t xml:space="preserve">“</w:t>
      </w:r>
      <w:r>
        <w:t xml:space="preserve">Show when Method is not Cash Agent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dual live preview</w:t>
      </w:r>
      <w:r>
        <w:t xml:space="preserve"> </w:t>
      </w:r>
      <w:r>
        <w:t xml:space="preserve">toggle (widget render / Telegram chat simulation — the Doc 05 FR-27 side-by-side pattern); publish dialog with the FR-22 validation results and usage banner; version history with diff (fields added/removed/changed).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CSAT:</w:t>
      </w:r>
      <w:r>
        <w:t xml:space="preserve"> </w:t>
      </w:r>
      <w:r>
        <w:t xml:space="preserve">survey settings page (cooldown, window, comment prompt on/off, per-language button labels); the customer-facing renders per FR-25 contracts.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Empty/loading/error:</w:t>
      </w:r>
      <w:r>
        <w:t xml:space="preserve"> </w:t>
      </w:r>
      <w:r>
        <w:t xml:space="preserve">seeded content makes empties rare; rule editor skeletons; per-action failure states in execution detail with retry-action affordance (single action re-run, permission-gated, audited).</w:t>
      </w:r>
    </w:p>
    <w:bookmarkEnd w:id="34"/>
    <w:bookmarkStart w:id="35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Condition truth badges (✓ green / ✗ gray with the evaluated value shown) in dry-run — the single most useful debugging affordance, specified as mandatory.</w:t>
      </w:r>
    </w:p>
    <w:p>
      <w:pPr>
        <w:numPr>
          <w:ilvl w:val="0"/>
          <w:numId w:val="1003"/>
        </w:numPr>
        <w:pStyle w:val="Compact"/>
      </w:pPr>
      <w:r>
        <w:t xml:space="preserve">Guard-trip badges: amber shield with the guard name.</w:t>
      </w:r>
    </w:p>
    <w:p>
      <w:pPr>
        <w:numPr>
          <w:ilvl w:val="0"/>
          <w:numId w:val="1003"/>
        </w:numPr>
        <w:pStyle w:val="Compact"/>
      </w:pPr>
      <w:r>
        <w:t xml:space="preserve">SLA chips per FR-11 tokens; pause glyph = pause icon + reason tooltip; the amber transition at warning uses a step change, not animation.</w:t>
      </w:r>
    </w:p>
    <w:p>
      <w:pPr>
        <w:numPr>
          <w:ilvl w:val="0"/>
          <w:numId w:val="1003"/>
        </w:numPr>
        <w:pStyle w:val="Compact"/>
      </w:pPr>
      <w:r>
        <w:t xml:space="preserve">Form canvas: step tabs with completeness dots; conditional fields render with a branch glyph; Telegram preview uses the device-styled frame (Doc 05 §9 component).</w:t>
      </w:r>
    </w:p>
    <w:p>
      <w:pPr>
        <w:numPr>
          <w:ilvl w:val="0"/>
          <w:numId w:val="1003"/>
        </w:numPr>
        <w:pStyle w:val="Compact"/>
      </w:pPr>
      <w:r>
        <w:t xml:space="preserve">Variable tokens render as pills in editors (uneditable inner text, delete-as-unit).</w:t>
      </w:r>
    </w:p>
    <w:p>
      <w:pPr>
        <w:numPr>
          <w:ilvl w:val="0"/>
          <w:numId w:val="1003"/>
        </w:numPr>
        <w:pStyle w:val="Compact"/>
      </w:pPr>
      <w:r>
        <w:t xml:space="preserve">Responsive: managers tablet-capable; rule editor and form builder require ≥ 1024 px (fat-finger policy, consistent); SLA/hours/macros/CSAT settings phone-readable, edit on tablet+.</w:t>
      </w:r>
    </w:p>
    <w:p>
      <w:pPr>
        <w:numPr>
          <w:ilvl w:val="0"/>
          <w:numId w:val="1003"/>
        </w:numPr>
        <w:pStyle w:val="Compact"/>
      </w:pPr>
      <w:r>
        <w:t xml:space="preserve">Dark/light; reduced-motion throughout.</w:t>
      </w:r>
    </w:p>
    <w:bookmarkEnd w:id="35"/>
    <w:bookmarkStart w:id="36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Tables:</w:t>
      </w:r>
      <w:r>
        <w:t xml:space="preserve"> </w:t>
      </w:r>
      <w:r>
        <w:rPr>
          <w:rStyle w:val="VerbatimChar"/>
        </w:rPr>
        <w:t xml:space="preserve">automation_rules</w:t>
      </w:r>
      <w:r>
        <w:t xml:space="preserve"> </w:t>
      </w:r>
      <w:r>
        <w:t xml:space="preserve">(+</w:t>
      </w:r>
      <w:r>
        <w:rPr>
          <w:rStyle w:val="VerbatimChar"/>
        </w:rPr>
        <w:t xml:space="preserve">rule_revisions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rule_executions</w:t>
      </w:r>
      <w:r>
        <w:t xml:space="preserve"> </w:t>
      </w:r>
      <w:r>
        <w:t xml:space="preserve">per Doc 01),</w:t>
      </w:r>
      <w:r>
        <w:t xml:space="preserve"> </w:t>
      </w:r>
      <w:r>
        <w:rPr>
          <w:rStyle w:val="VerbatimChar"/>
        </w:rPr>
        <w:t xml:space="preserve">keyword_sets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sla_instances</w:t>
      </w:r>
      <w:r>
        <w:t xml:space="preserve"> </w:t>
      </w:r>
      <w:r>
        <w:t xml:space="preserve">(snapshot jsonb, stage rows with target_at/warned_at/breached_at/paused ranges),</w:t>
      </w:r>
      <w:r>
        <w:t xml:space="preserve"> </w:t>
      </w:r>
      <w:r>
        <w:rPr>
          <w:rStyle w:val="VerbatimChar"/>
        </w:rPr>
        <w:t xml:space="preserve">business_calendars</w:t>
      </w:r>
      <w:r>
        <w:t xml:space="preserve"> </w:t>
      </w:r>
      <w:r>
        <w:t xml:space="preserve">(+holidays),</w:t>
      </w:r>
      <w:r>
        <w:t xml:space="preserve"> </w:t>
      </w:r>
      <w:r>
        <w:rPr>
          <w:rStyle w:val="VerbatimChar"/>
        </w:rPr>
        <w:t xml:space="preserve">macros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field_definitions</w:t>
      </w:r>
      <w:r>
        <w:t xml:space="preserve"> </w:t>
      </w:r>
      <w:r>
        <w:t xml:space="preserve">(+ options),</w:t>
      </w:r>
      <w:r>
        <w:t xml:space="preserve"> </w:t>
      </w:r>
      <w:r>
        <w:rPr>
          <w:rStyle w:val="VerbatimChar"/>
        </w:rPr>
        <w:t xml:space="preserve">forms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form_versions</w:t>
      </w:r>
      <w:r>
        <w:t xml:space="preserve"> </w:t>
      </w:r>
      <w:r>
        <w:t xml:space="preserve">(schema jsonb),</w:t>
      </w:r>
      <w:r>
        <w:t xml:space="preserve"> </w:t>
      </w:r>
      <w:r>
        <w:rPr>
          <w:rStyle w:val="VerbatimChar"/>
        </w:rPr>
        <w:t xml:space="preserve">surveys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survey_responses</w:t>
      </w:r>
      <w:r>
        <w:t xml:space="preserve"> </w:t>
      </w:r>
      <w:r>
        <w:t xml:space="preserve">— all per Doc 01 conventions.</w:t>
      </w:r>
      <w:r>
        <w:t xml:space="preserve"> </w:t>
      </w:r>
      <w:r>
        <w:t xml:space="preserve">T-02 Rule engine: event subscriber compiles active rules per trigger into cached decision structures (invalidated on activate); condition evaluation against a materialized event context (ticket+customer+message+AI facts assembled once per event); actions dispatched as an ordered job chain with per-action try/log/continue semantics (BR-02 failures isolate).</w:t>
      </w:r>
      <w:r>
        <w:t xml:space="preserve"> </w:t>
      </w:r>
      <w:r>
        <w:t xml:space="preserve">T-03 Chain-depth: rule-caused events carry</w:t>
      </w:r>
      <w:r>
        <w:t xml:space="preserve"> </w:t>
      </w:r>
      <w:r>
        <w:rPr>
          <w:rStyle w:val="VerbatimChar"/>
        </w:rPr>
        <w:t xml:space="preserve">automation_depth</w:t>
      </w:r>
      <w:r>
        <w:t xml:space="preserve"> </w:t>
      </w:r>
      <w:r>
        <w:t xml:space="preserve">in payload metadata (Doc 01 event schema extension); depth ≥ 3 → evaluation skip +</w:t>
      </w:r>
      <w:r>
        <w:t xml:space="preserve"> </w:t>
      </w:r>
      <w:r>
        <w:rPr>
          <w:rStyle w:val="VerbatimChar"/>
        </w:rPr>
        <w:t xml:space="preserve">loop_guard</w:t>
      </w:r>
      <w:r>
        <w:t xml:space="preserve"> </w:t>
      </w:r>
      <w:r>
        <w:t xml:space="preserve">log.</w:t>
      </w:r>
      <w:r>
        <w:t xml:space="preserve"> </w:t>
      </w:r>
      <w:r>
        <w:t xml:space="preserve">T-04 SLA clocks: pure functions over interval sets (calendar intersection, pause subtraction) with a property-tested library (the module’s hardest correctness surface); next-fire-at computed per stage and armed in the ZSET timer (Doc 06 T-03 shared infrastructure); every state-affecting event (status change, message, priority, unreachable flag) triggers recompute.</w:t>
      </w:r>
      <w:r>
        <w:t xml:space="preserve"> </w:t>
      </w:r>
      <w:r>
        <w:t xml:space="preserve">T-05 Calendar snapshots: armed instances embed the resolved calendar (not a ref) per BR-03.</w:t>
      </w:r>
      <w:r>
        <w:t xml:space="preserve"> </w:t>
      </w:r>
      <w:r>
        <w:t xml:space="preserve">T-06 Macro variable resolution: server-side resolver shared by palette preview and send path (one implementation — no drift); unresolved detection blocks at the send API, not only UI.</w:t>
      </w:r>
      <w:r>
        <w:t xml:space="preserve"> </w:t>
      </w:r>
      <w:r>
        <w:t xml:space="preserve">T-07 Form runtime: version schema → widget JSON contract (Doc 13) and Telegram flow state machine (Doc 05 flows consume; per-conversation flow state in Redis with 24 h TTL + DB checkpoint at step boundaries — a crashed flow resumes at the last checkpoint); conditional logic evaluated server-side per step submission (client mirrors for UX, server is truth).</w:t>
      </w:r>
      <w:r>
        <w:t xml:space="preserve"> </w:t>
      </w:r>
      <w:r>
        <w:t xml:space="preserve">T-08 CSAT: survey rows armed on resolution events; channel delivery via the standard outbound path; response ingestion via callback (Telegram) / widget API with single-response upsert (edit window per FR-25).</w:t>
      </w:r>
      <w:r>
        <w:t xml:space="preserve"> </w:t>
      </w:r>
      <w:r>
        <w:t xml:space="preserve">T-09 Contract tests: rule-order/guard fixtures; SLA clock property tests + golden timelines (shared with Doc 15 per Doc 06 AC-09 pattern); form dual-render conformance (schema → both renders → submissions identical shape); macro no-blank-variable enforcement at API; CSAT dedupe/cooldown matrix.</w:t>
      </w:r>
    </w:p>
    <w:p>
      <w:pPr>
        <w:pStyle w:val="BodyText"/>
      </w:pPr>
      <w:r>
        <w:rPr>
          <w:bCs/>
          <w:b/>
        </w:rPr>
        <w:t xml:space="preserve">Rule evaluation flow (text diagram):</w:t>
      </w:r>
    </w:p>
    <w:p>
      <w:pPr>
        <w:pStyle w:val="SourceCode"/>
      </w:pPr>
      <w:r>
        <w:rPr>
          <w:rStyle w:val="VerbatimChar"/>
        </w:rPr>
        <w:t xml:space="preserve">event (outbox) → trigger index → candidate rules (position order)</w:t>
      </w:r>
      <w:r>
        <w:br/>
      </w:r>
      <w:r>
        <w:rPr>
          <w:rStyle w:val="VerbatimChar"/>
        </w:rPr>
        <w:t xml:space="preserve">  → per rule: condition tree vs event context ──✗→ next</w:t>
      </w:r>
      <w:r>
        <w:br/>
      </w:r>
      <w:r>
        <w:rPr>
          <w:rStyle w:val="VerbatimChar"/>
        </w:rPr>
        <w:t xml:space="preserve">        └─✓→ enqueue action chain [a1→a2→…] (per-action log; failures continue)</w:t>
      </w:r>
      <w:r>
        <w:br/>
      </w:r>
      <w:r>
        <w:rPr>
          <w:rStyle w:val="VerbatimChar"/>
        </w:rPr>
        <w:t xml:space="preserve">guards: ≤10 rules, ≤20 actions, depth ≤3, per-rule cooldown → loop_guard log + alert</w:t>
      </w:r>
      <w:r>
        <w:br/>
      </w:r>
      <w:r>
        <w:rPr>
          <w:rStyle w:val="VerbatimChar"/>
        </w:rPr>
        <w:t xml:space="preserve">SLA: state events → recompute stage clocks → arm next-fire → warn/breach events</w:t>
      </w:r>
    </w:p>
    <w:bookmarkEnd w:id="36"/>
    <w:bookmarkStart w:id="37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Rule actions execute with a system actor whose capabilities are the</w:t>
      </w:r>
      <w:r>
        <w:t xml:space="preserve"> </w:t>
      </w:r>
      <w:r>
        <w:rPr>
          <w:iCs/>
          <w:i/>
        </w:rPr>
        <w:t xml:space="preserve">union floor</w:t>
      </w:r>
      <w:r>
        <w:t xml:space="preserve"> </w:t>
      </w:r>
      <w:r>
        <w:t xml:space="preserve">of what the rule’s activator held at activation for those action types (captured on the revision) — a demoted author’s old rules can’t out-privilege the org silently; activator-capability drift surfaces as rule warnings (re-activation by a privileged admin refreshes).</w:t>
      </w:r>
      <w:r>
        <w:t xml:space="preserve"> </w:t>
      </w:r>
      <w:r>
        <w:t xml:space="preserve">SEC-02 Webhook-out actions: destination allowlist per tenant (admin-managed), signed payloads (Doc 01), no internal-network targets (SSRF egress rules, Doc 04 SEC-03 family).</w:t>
      </w:r>
      <w:r>
        <w:t xml:space="preserve"> </w:t>
      </w:r>
      <w:r>
        <w:t xml:space="preserve">SEC-03 Keyword sets and rule conditions may embed sensitive patterns —</w:t>
      </w:r>
      <w:r>
        <w:t xml:space="preserve"> </w:t>
      </w:r>
      <w:r>
        <w:rPr>
          <w:rStyle w:val="VerbatimChar"/>
        </w:rPr>
        <w:t xml:space="preserve">automation.rules.view</w:t>
      </w:r>
      <w:r>
        <w:t xml:space="preserve"> </w:t>
      </w:r>
      <w:r>
        <w:t xml:space="preserve">gates reading; execution logs elide message content beyond matched-keyword markers for non-privileged viewers.</w:t>
      </w:r>
      <w:r>
        <w:t xml:space="preserve"> </w:t>
      </w:r>
      <w:r>
        <w:t xml:space="preserve">SEC-04 Form file fields ride Doc 04’s full media security; form definitions are inert content (no script blocks exist in the schema — type-closed).</w:t>
      </w:r>
      <w:r>
        <w:t xml:space="preserve"> </w:t>
      </w:r>
      <w:r>
        <w:t xml:space="preserve">SEC-05 CSAT endpoints are token-bound to their survey (unguessable ids), rate-limited, single-response enforced server-side.</w:t>
      </w:r>
      <w:r>
        <w:t xml:space="preserve"> </w:t>
      </w:r>
      <w:r>
        <w:t xml:space="preserve">SEC-06 High-risk audit events: rule activation/deactivation, SLA policy changes, field deactivation, form publish (Doc 17 visibility classes).</w:t>
      </w:r>
    </w:p>
    <w:bookmarkEnd w:id="37"/>
    <w:bookmarkStart w:id="38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per NFR-01–05 under L2 with the guard caps as the worst-case bound.</w:t>
      </w:r>
    </w:p>
    <w:p>
      <w:pPr>
        <w:numPr>
          <w:ilvl w:val="0"/>
          <w:numId w:val="1004"/>
        </w:numPr>
        <w:pStyle w:val="Compact"/>
      </w:pPr>
      <w:r>
        <w:t xml:space="preserve">SLA recompute ≤ 5 ms per instance; 100k armed instances sweep-capable per Doc 06 T-03 budgets.</w:t>
      </w:r>
    </w:p>
    <w:p>
      <w:pPr>
        <w:numPr>
          <w:ilvl w:val="0"/>
          <w:numId w:val="1004"/>
        </w:numPr>
        <w:pStyle w:val="Compact"/>
      </w:pPr>
      <w:r>
        <w:t xml:space="preserve">Form step submission round-trip ≤ 150 ms p95 server-side (validation + checkpoint).</w:t>
      </w:r>
    </w:p>
    <w:p>
      <w:pPr>
        <w:numPr>
          <w:ilvl w:val="0"/>
          <w:numId w:val="1004"/>
        </w:numPr>
        <w:pStyle w:val="Compact"/>
      </w:pPr>
      <w:r>
        <w:t xml:space="preserve">Rule compilation on activate ≤ 1 s for 200 rules; cache invalidation cluster-wide ≤ 10 s (Doc 01 conventions).</w:t>
      </w:r>
    </w:p>
    <w:p>
      <w:pPr>
        <w:numPr>
          <w:ilvl w:val="0"/>
          <w:numId w:val="1004"/>
        </w:numPr>
        <w:pStyle w:val="Compact"/>
      </w:pPr>
      <w:r>
        <w:t xml:space="preserve">Dry-run progressive first results ≤ 1 s.</w:t>
      </w:r>
    </w:p>
    <w:bookmarkEnd w:id="38"/>
    <w:bookmarkStart w:id="39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Condition tree builder fully keyboard operable (add/group/indent via buttons, tree semantics with</w:t>
      </w:r>
      <w:r>
        <w:t xml:space="preserve"> </w:t>
      </w:r>
      <w:r>
        <w:rPr>
          <w:rStyle w:val="VerbatimChar"/>
        </w:rPr>
        <w:t xml:space="preserve">aria-level</w:t>
      </w:r>
      <w:r>
        <w:t xml:space="preserve">); truth badges text-paired; week-grid painter has an interval-list alternative editor (grid painting is enhancement, not requirement); form builder drag has placement menus; Telegram preview transcripts readable as conversation logs; variable pills announced with their resolution state; SLA example sentences (§8) are the accessible explanation of clock math; CSAT customer renders meet AA on both channels (button labels, star row with radio semantics in the widget).</w:t>
      </w:r>
    </w:p>
    <w:bookmarkEnd w:id="39"/>
    <w:bookmarkStart w:id="40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All admin strings</w:t>
      </w:r>
      <w:r>
        <w:t xml:space="preserve"> </w:t>
      </w:r>
      <w:r>
        <w:rPr>
          <w:rStyle w:val="VerbatimChar"/>
        </w:rPr>
        <w:t xml:space="preserve">workflow.*</w:t>
      </w:r>
      <w:r>
        <w:t xml:space="preserve"> </w:t>
      </w:r>
      <w:r>
        <w:t xml:space="preserve">(en + am); rule/policy/macro names are operator content; form labels/help/validation messages per language with completeness gates (FR-20/22); Telegram flow prompts and error retries localized per the form’s language resolution (customer language → form’s languages → fallback chain); CSAT button labels per language; SLA example sentences ICU-templated; calendar editor honors tenant timezone display with explicit labels; macro variables resolve locale-formatted values (dates, wait bands) per customer language on send.</w:t>
      </w:r>
    </w:p>
    <w:bookmarkEnd w:id="40"/>
    <w:bookmarkStart w:id="41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Two rules both assign to different queues on</w:t>
      </w:r>
      <w:r>
        <w:t xml:space="preserve"> </w:t>
      </w:r>
      <w:r>
        <w:rPr>
          <w:rStyle w:val="VerbatimChar"/>
        </w:rPr>
        <w:t xml:space="preserve">ticket.created</w:t>
      </w:r>
      <w:r>
        <w:t xml:space="preserve"> </w:t>
      </w:r>
      <w:r>
        <w:t xml:space="preserve">→ position order wins; the second’s assign action logs</w:t>
      </w:r>
      <w:r>
        <w:t xml:space="preserve"> </w:t>
      </w:r>
      <w:r>
        <w:rPr>
          <w:rStyle w:val="VerbatimChar"/>
        </w:rPr>
        <w:t xml:space="preserve">superseded_state</w:t>
      </w:r>
      <w:r>
        <w:t xml:space="preserve"> </w:t>
      </w:r>
      <w:r>
        <w:t xml:space="preserve">(acted on already-changed state honestly) — the dry-run makes this visible before activation.</w:t>
      </w:r>
      <w:r>
        <w:t xml:space="preserve"> </w:t>
      </w:r>
      <w:r>
        <w:t xml:space="preserve">EC-02 SLA next_response armed, customer sends 5 rapid messages → one armed stage (re-arm is idempotent while armed); clock from the first unanswered message (documented; fixture-pinned).</w:t>
      </w:r>
      <w:r>
        <w:t xml:space="preserve"> </w:t>
      </w:r>
      <w:r>
        <w:t xml:space="preserve">EC-03 Priority raised mid-stage with</w:t>
      </w:r>
      <w:r>
        <w:t xml:space="preserve"> </w:t>
      </w:r>
      <w:r>
        <w:rPr>
          <w:rStyle w:val="VerbatimChar"/>
        </w:rPr>
        <w:t xml:space="preserve">retarget_remaining</w:t>
      </w:r>
      <w:r>
        <w:t xml:space="preserve"> </w:t>
      </w:r>
      <w:r>
        <w:t xml:space="preserve">→ remaining % of the old target rescales to the new target’s duration (formula documented: remaining_new = remaining_pct × target_new); badge explains (Doc 06 FR-22).</w:t>
      </w:r>
      <w:r>
        <w:t xml:space="preserve"> </w:t>
      </w:r>
      <w:r>
        <w:t xml:space="preserve">EC-04 Pause conditions overlap (pending_customer AND unreachable) → paused intervals union (no double subtraction); property tests cover.</w:t>
      </w:r>
      <w:r>
        <w:t xml:space="preserve"> </w:t>
      </w:r>
      <w:r>
        <w:t xml:space="preserve">EC-05 Holiday added while instances armed → snapshot calendars unaffected (BR-03); new instances honor it; the edit screen banner names both facts.</w:t>
      </w:r>
      <w:r>
        <w:t xml:space="preserve"> </w:t>
      </w:r>
      <w:r>
        <w:t xml:space="preserve">EC-06 Form version published while a Telegram flow is mid-form on the old version → the flow completes on its version (checkpointed version ref); submissions snapshot correctly (BR-06).</w:t>
      </w:r>
      <w:r>
        <w:t xml:space="preserve"> </w:t>
      </w:r>
      <w:r>
        <w:t xml:space="preserve">EC-07 Conditional logic hides a required field → publish validation demands the requirement be conditional too (</w:t>
      </w:r>
      <w:r>
        <w:t xml:space="preserve">“</w:t>
      </w:r>
      <w:r>
        <w:t xml:space="preserve">required when visible</w:t>
      </w:r>
      <w:r>
        <w:t xml:space="preserve">”</w:t>
      </w:r>
      <w:r>
        <w:t xml:space="preserve">) — the builder auto-suggests the fix.</w:t>
      </w:r>
      <w:r>
        <w:t xml:space="preserve"> </w:t>
      </w:r>
      <w:r>
        <w:t xml:space="preserve">EC-08 Choice option removed after submissions exist → historic renders show the stored label snapshot (FR-18); rule conditions referencing the removed value flag a warning on the rule.</w:t>
      </w:r>
      <w:r>
        <w:t xml:space="preserve"> </w:t>
      </w:r>
      <w:r>
        <w:t xml:space="preserve">EC-09 Macro bundled action illegal for the inserting agent (lacks</w:t>
      </w:r>
      <w:r>
        <w:t xml:space="preserve"> </w:t>
      </w:r>
      <w:r>
        <w:rPr>
          <w:rStyle w:val="VerbatimChar"/>
        </w:rPr>
        <w:t xml:space="preserve">tickets.priority.change</w:t>
      </w:r>
      <w:r>
        <w:t xml:space="preserve">) → text inserts, the bundled action is skipped with an inline notice (per-capability honesty; no silent privilege).</w:t>
      </w:r>
      <w:r>
        <w:t xml:space="preserve"> </w:t>
      </w:r>
      <w:r>
        <w:t xml:space="preserve">EC-10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trigger during a DST-less-but-timezone-shifted tenant change → schedules recompute on timezone setting change; next-run preview always shown in the editor.</w:t>
      </w:r>
      <w:r>
        <w:t xml:space="preserve"> </w:t>
      </w:r>
      <w:r>
        <w:t xml:space="preserve">EC-11 CSAT tap arrives at hour 73 → expired survey; a polite</w:t>
      </w:r>
      <w:r>
        <w:t xml:space="preserve"> </w:t>
      </w:r>
      <w:r>
        <w:t xml:space="preserve">“</w:t>
      </w:r>
      <w:r>
        <w:t xml:space="preserve">window closed</w:t>
      </w:r>
      <w:r>
        <w:t xml:space="preserve">”</w:t>
      </w:r>
      <w:r>
        <w:t xml:space="preserve"> </w:t>
      </w:r>
      <w:r>
        <w:t xml:space="preserve">(Telegram) / disabled state (widget); no response recorded;</w:t>
      </w:r>
      <w:r>
        <w:t xml:space="preserve"> </w:t>
      </w:r>
      <w:r>
        <w:rPr>
          <w:rStyle w:val="VerbatimChar"/>
        </w:rPr>
        <w:t xml:space="preserve">csat.expired</w:t>
      </w:r>
      <w:r>
        <w:t xml:space="preserve"> </w:t>
      </w:r>
      <w:r>
        <w:t xml:space="preserve">already emitted.</w:t>
      </w:r>
      <w:r>
        <w:t xml:space="preserve"> </w:t>
      </w:r>
      <w:r>
        <w:t xml:space="preserve">EC-12 Rule cooldown vs a legitimate rapid sequence (form submitted twice for linked-work tickets) → cooldown keys on (rule, ticket) — the second ticket evaluates fresh; fixture-pinned.</w:t>
      </w:r>
      <w:r>
        <w:t xml:space="preserve"> </w:t>
      </w:r>
      <w:r>
        <w:t xml:space="preserve">EC-13 Webhook action target starts failing → per-destination retry ×8 backoff then auto-disable + alert (Doc 01 webhook semantics reused); rule continues (action isolation).</w:t>
      </w:r>
      <w:r>
        <w:t xml:space="preserve"> </w:t>
      </w:r>
      <w:r>
        <w:t xml:space="preserve">EC-14 An admin deactivates a field used by an active rule condition and a published form → the</w:t>
      </w:r>
      <w:r>
        <w:t xml:space="preserve"> </w:t>
      </w:r>
      <w:r>
        <w:t xml:space="preserve">“</w:t>
      </w:r>
      <w:r>
        <w:t xml:space="preserve">where used</w:t>
      </w:r>
      <w:r>
        <w:t xml:space="preserve">”</w:t>
      </w:r>
      <w:r>
        <w:t xml:space="preserve"> </w:t>
      </w:r>
      <w:r>
        <w:t xml:space="preserve">panel (FR §8) lists both; deactivation proceeds with the rule flagged warning (evaluates as is-empty) and the form’s next publish blocked until edited — live version keeps rendering the snapshot.</w:t>
      </w:r>
    </w:p>
    <w:bookmarkEnd w:id="41"/>
    <w:bookmarkStart w:id="42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Automation queue backlog → rule actions delay (evented lag alert); evaluation itself (synchronous, cheap) is unaffected; SLA clocks and timers are independent (Doc 06 T-03 infrastructure) — deadlines don’t slip because actions queue.</w:t>
      </w:r>
      <w:r>
        <w:t xml:space="preserve"> </w:t>
      </w:r>
      <w:r>
        <w:t xml:space="preserve">FS-02 Timer infrastructure loss → Doc 06 FS-01 rebuild semantics; SLA fires late-not-early (recompute from truth), post-recovery reconciliation marks any missed warned/breached with true timestamps (honest backdating in events, flagged</w:t>
      </w:r>
      <w:r>
        <w:t xml:space="preserve"> </w:t>
      </w:r>
      <w:r>
        <w:rPr>
          <w:rStyle w:val="VerbatimChar"/>
        </w:rPr>
        <w:t xml:space="preserve">late_fired</w:t>
      </w:r>
      <w:r>
        <w:t xml:space="preserve">).</w:t>
      </w:r>
      <w:r>
        <w:t xml:space="preserve"> </w:t>
      </w:r>
      <w:r>
        <w:t xml:space="preserve">FS-03 Rule compilation cache corrupt → fall back to interpretive evaluation (slower, correct) + alert; recompile heals.</w:t>
      </w:r>
      <w:r>
        <w:t xml:space="preserve"> </w:t>
      </w:r>
      <w:r>
        <w:t xml:space="preserve">FS-04 Form flow Redis state lost mid-conversation → resume from the last DB checkpoint (T-07); the customer sees a</w:t>
      </w:r>
      <w:r>
        <w:t xml:space="preserve"> </w:t>
      </w:r>
      <w:r>
        <w:t xml:space="preserve">“</w:t>
      </w:r>
      <w:r>
        <w:t xml:space="preserve">let’s continue from…</w:t>
      </w:r>
      <w:r>
        <w:t xml:space="preserve">”</w:t>
      </w:r>
      <w:r>
        <w:t xml:space="preserve"> </w:t>
      </w:r>
      <w:r>
        <w:t xml:space="preserve">recap prompt (one step of repetition at worst).</w:t>
      </w:r>
      <w:r>
        <w:t xml:space="preserve"> </w:t>
      </w:r>
      <w:r>
        <w:t xml:space="preserve">FS-05 A rule mass-fires wrongly (bad activation) → the guard caps bound per-event damage; the kill path is the active toggle (instant); the execution log scopes the blast radius for cleanup; the dry-run requirement in review culture (Recommendation 2) is the real prevention.</w:t>
      </w:r>
    </w:p>
    <w:bookmarkEnd w:id="42"/>
    <w:bookmarkStart w:id="43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The Doc 04-era journey J5 (new bonus launch) executes end-to-end in under an hour: KB article (Doc 10), Bonus form v2 here, routing rule here, bot menu (Doc 05), SMS template (Doc 14) — zero engineering, full audit.</w:t>
      </w:r>
      <w:r>
        <w:t xml:space="preserve"> </w:t>
      </w:r>
      <w:r>
        <w:t xml:space="preserve">SS-02 An SLA dispute (</w:t>
      </w:r>
      <w:r>
        <w:t xml:space="preserve">“</w:t>
      </w:r>
      <w:r>
        <w:t xml:space="preserve">you breached VIP terms</w:t>
      </w:r>
      <w:r>
        <w:t xml:space="preserve">”</w:t>
      </w:r>
      <w:r>
        <w:t xml:space="preserve">) is settled from the instance record: snapshot policy, pause intervals with reasons, warned/breached instants — arithmetic anyone can check.</w:t>
      </w:r>
      <w:r>
        <w:t xml:space="preserve"> </w:t>
      </w:r>
      <w:r>
        <w:t xml:space="preserve">SS-03 A mid-form Telegram handoff delivers partial form data in the packet; the agent completes the two missing answers conversationally; the submission history shows both phases honestly.</w:t>
      </w:r>
      <w:r>
        <w:t xml:space="preserve"> </w:t>
      </w:r>
      <w:r>
        <w:t xml:space="preserve">SS-04 Six months in, the rules list is a living operations manual: position-ordered, named, revision-historied — a new supervisor reads it top to bottom and understands the operation.</w:t>
      </w:r>
    </w:p>
    <w:bookmarkEnd w:id="43"/>
    <w:bookmarkStart w:id="44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Rule semantics: position order, per-action isolation (transition-service rejection continues chain), all guards (10/20/depth-3/cooldown) fixture-proven incl. EC-01/EC-12.</w:t>
      </w:r>
      <w:r>
        <w:t xml:space="preserve"> </w:t>
      </w:r>
      <w:r>
        <w:t xml:space="preserve">AC-02 Dry-run parity: dry-run verdicts equal live evaluation for a replayed event corpus (simulation-vs-replay, Doc 09 AC-03 pattern).</w:t>
      </w:r>
      <w:r>
        <w:t xml:space="preserve"> </w:t>
      </w:r>
      <w:r>
        <w:t xml:space="preserve">AC-03 SLA clock property tests green (interval math, pause union EC-04, retarget formula EC-03) + golden timelines shared with Doc 15; timer accuracy ±30 s measured; snapshot immutability (BR-03) proven against policy/calendar edits.</w:t>
      </w:r>
      <w:r>
        <w:t xml:space="preserve"> </w:t>
      </w:r>
      <w:r>
        <w:t xml:space="preserve">AC-04 Hours: split shifts, recurring holidays, department overrides, and the SLA example-sentence computation verified against the clock library (one implementation, §8 example uses it).</w:t>
      </w:r>
      <w:r>
        <w:t xml:space="preserve"> </w:t>
      </w:r>
      <w:r>
        <w:t xml:space="preserve">AC-05 Macros: variable resolution parity (preview = send), no-blank enforcement at API (T-06), bundled-action permission honesty (EC-09), palette budget (NFR-05).</w:t>
      </w:r>
      <w:r>
        <w:t xml:space="preserve"> </w:t>
      </w:r>
      <w:r>
        <w:t xml:space="preserve">AC-06 Fields: full type matrix (13 types × validation × render in forms/conditions/filters), lifecycle (retire/reactivate/no-reuse/no-type-change), option-snapshot rendering (EC-08), where-used completeness (EC-14).</w:t>
      </w:r>
      <w:r>
        <w:t xml:space="preserve"> </w:t>
      </w:r>
      <w:r>
        <w:t xml:space="preserve">AC-07 Forms: dual-render conformance suite (schema → widget + both Telegram modes), conditional logic incl. EC-07’s required-when-visible, versioned submissions (EC-06), publish validations (all FR-22 blocks), mid-form handoff partial data (SS-03 fixture), checkpoint resume (FS-04 drill).</w:t>
      </w:r>
      <w:r>
        <w:t xml:space="preserve"> </w:t>
      </w:r>
      <w:r>
        <w:t xml:space="preserve">AC-08 CSAT: trigger matrix (human/AI resolution), cooldown + RG suppression, single-response with edit window, expiry (EC-11), event completeness for Doc 15.</w:t>
      </w:r>
      <w:r>
        <w:t xml:space="preserve"> </w:t>
      </w:r>
      <w:r>
        <w:t xml:space="preserve">AC-09 Security: SEC-01 activator-capability floor enforced and drift-flagged; webhook allowlist + SSRF rules; log elision per SEC-03 role fixtures.</w:t>
      </w:r>
    </w:p>
    <w:bookmarkEnd w:id="44"/>
    <w:bookmarkStart w:id="45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Additional triggers/actions by catalog extension (the engine is trigger/action-registry-driven): time-in-status trigger, customer-anniversary schedule, bulk-action rules.</w:t>
      </w:r>
    </w:p>
    <w:p>
      <w:pPr>
        <w:numPr>
          <w:ilvl w:val="0"/>
          <w:numId w:val="1005"/>
        </w:numPr>
        <w:pStyle w:val="Compact"/>
      </w:pPr>
      <w:r>
        <w:t xml:space="preserve">Approval steps inside rules (human-in-the-loop actions) — pairs with Doc 03 four-eyes machinery.</w:t>
      </w:r>
    </w:p>
    <w:p>
      <w:pPr>
        <w:numPr>
          <w:ilvl w:val="0"/>
          <w:numId w:val="1005"/>
        </w:numPr>
        <w:pStyle w:val="Compact"/>
      </w:pPr>
      <w:r>
        <w:t xml:space="preserve">SLA business-value tiers (contractual reporting exports per VIP segment).</w:t>
      </w:r>
    </w:p>
    <w:p>
      <w:pPr>
        <w:numPr>
          <w:ilvl w:val="0"/>
          <w:numId w:val="1005"/>
        </w:numPr>
        <w:pStyle w:val="Compact"/>
      </w:pPr>
      <w:r>
        <w:t xml:space="preserve">Form logic v2: calculations, cross-step references, prefill from customer fields (prefill is the near-term one — reserved in the schema).</w:t>
      </w:r>
    </w:p>
    <w:p>
      <w:pPr>
        <w:numPr>
          <w:ilvl w:val="0"/>
          <w:numId w:val="1005"/>
        </w:numPr>
        <w:pStyle w:val="Compact"/>
      </w:pPr>
      <w:r>
        <w:t xml:space="preserve">Macro suggestions fully personalized by Doc 09 edit-mining (currently usage-ranked).</w:t>
      </w:r>
    </w:p>
    <w:p>
      <w:pPr>
        <w:numPr>
          <w:ilvl w:val="0"/>
          <w:numId w:val="1005"/>
        </w:numPr>
        <w:pStyle w:val="Compact"/>
      </w:pPr>
      <w:r>
        <w:t xml:space="preserve">A/B on CSAT prompt wording under the same one-prompt rule.</w:t>
      </w:r>
    </w:p>
    <w:bookmarkEnd w:id="45"/>
    <w:bookmarkStart w:id="46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Rule sprawl becoming unmaintainable (High likelihood) → position-ordered single list (no hidden layers), naming conventions in onboarding, matched-count visibility exposing dead rules, revision history; consider a quarterly rules-review ritual (operator-side).</w:t>
      </w:r>
      <w:r>
        <w:t xml:space="preserve"> </w:t>
      </w:r>
      <w:r>
        <w:t xml:space="preserve">R-02 SLA clock disputes (High impact) → the property-tested pure library + snapshot semantics + the human-readable instance record are the defense; golden fixtures shared with reporting kill</w:t>
      </w:r>
      <w:r>
        <w:t xml:space="preserve"> </w:t>
      </w:r>
      <w:r>
        <w:t xml:space="preserve">“</w:t>
      </w:r>
      <w:r>
        <w:t xml:space="preserve">two numbers</w:t>
      </w:r>
      <w:r>
        <w:t xml:space="preserve">”</w:t>
      </w:r>
      <w:r>
        <w:t xml:space="preserve"> </w:t>
      </w:r>
      <w:r>
        <w:t xml:space="preserve">arguments.</w:t>
      </w:r>
      <w:r>
        <w:t xml:space="preserve"> </w:t>
      </w:r>
      <w:r>
        <w:t xml:space="preserve">R-03 Form complexity creep toward a workflow platform (Medium/Medium) → v1 logic limits (no cross-step forward refs, no calculations) are explicit scope walls; §19 lists the sanctioned path.</w:t>
      </w:r>
      <w:r>
        <w:t xml:space="preserve"> </w:t>
      </w:r>
      <w:r>
        <w:t xml:space="preserve">R-04 Automation acting during incidents amplifying damage (Medium/High) → guard caps, per-action isolation, the instant active toggle, and Doc 09’s kill-switch culture extended here (a tenant-wide</w:t>
      </w:r>
      <w:r>
        <w:t xml:space="preserve"> </w:t>
      </w:r>
      <w:r>
        <w:t xml:space="preserve">“</w:t>
      </w:r>
      <w:r>
        <w:t xml:space="preserve">pause all rules</w:t>
      </w:r>
      <w:r>
        <w:t xml:space="preserve">”</w:t>
      </w:r>
      <w:r>
        <w:t xml:space="preserve"> </w:t>
      </w:r>
      <w:r>
        <w:t xml:space="preserve">switch ships in v1 under</w:t>
      </w:r>
      <w:r>
        <w:t xml:space="preserve"> </w:t>
      </w:r>
      <w:r>
        <w:rPr>
          <w:rStyle w:val="VerbatimChar"/>
        </w:rPr>
        <w:t xml:space="preserve">features.toggle</w:t>
      </w:r>
      <w:r>
        <w:t xml:space="preserve">).</w:t>
      </w:r>
      <w:r>
        <w:t xml:space="preserve"> </w:t>
      </w:r>
      <w:r>
        <w:t xml:space="preserve">R-05 Cooldowns/guards masking legitimate high-frequency needs (Low/Medium) → per-rule cooldown tunable to zero within platform caps; guard-trip logs make the ceiling visible so raising platform caps is an evidenced decision.</w:t>
      </w:r>
    </w:p>
    <w:bookmarkEnd w:id="46"/>
    <w:bookmarkStart w:id="47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SLA clock library first as a pure, property-tested package — it is the module’s correctness heart and both Doc 07’s chips and Doc 15’s metrics stand on it.</w:t>
      </w:r>
    </w:p>
    <w:p>
      <w:pPr>
        <w:numPr>
          <w:ilvl w:val="0"/>
          <w:numId w:val="1006"/>
        </w:numPr>
        <w:pStyle w:val="Compact"/>
      </w:pPr>
      <w:r>
        <w:t xml:space="preserve">Make dry-run-before-activate a cultural requirement (onboarding + a nudge when activating a never-dry-run revision) — FR-05 only prevents incidents if it’s used.</w:t>
      </w:r>
    </w:p>
    <w:p>
      <w:pPr>
        <w:numPr>
          <w:ilvl w:val="0"/>
          <w:numId w:val="1006"/>
        </w:numPr>
        <w:pStyle w:val="Compact"/>
      </w:pPr>
      <w:r>
        <w:t xml:space="preserve">Ship the seeded forms and 3–5 seeded example rules (deactivated) as teaching artifacts; operators learn the engine by reading working examples.</w:t>
      </w:r>
    </w:p>
    <w:p>
      <w:pPr>
        <w:numPr>
          <w:ilvl w:val="0"/>
          <w:numId w:val="1006"/>
        </w:numPr>
        <w:pStyle w:val="Compact"/>
      </w:pPr>
      <w:r>
        <w:t xml:space="preserve">Keep the tenant-wide rules-pause switch (R-04) rehearsed in the incident runbook alongside Doc 09’s AI kill switches — one page, all the stop buttons.</w:t>
      </w:r>
    </w:p>
    <w:p>
      <w:pPr>
        <w:numPr>
          <w:ilvl w:val="0"/>
          <w:numId w:val="1006"/>
        </w:numPr>
        <w:pStyle w:val="Compact"/>
      </w:pPr>
      <w:r>
        <w:t xml:space="preserve">Hold the line on BR-02 (no bypass powers) against every future</w:t>
      </w:r>
      <w:r>
        <w:t xml:space="preserve"> </w:t>
      </w:r>
      <w:r>
        <w:t xml:space="preserve">“</w:t>
      </w:r>
      <w:r>
        <w:t xml:space="preserve">just let the rule force it</w:t>
      </w:r>
      <w:r>
        <w:t xml:space="preserve">”</w:t>
      </w:r>
      <w:r>
        <w:t xml:space="preserve"> </w:t>
      </w:r>
      <w:r>
        <w:t xml:space="preserve">request; the day automation skips the transition service, Doc 06’s invariants and this module’s honesty both die.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12. Next in series: Document 13 — Web Chat Widget.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2026-07-26T21:31:22Z</dcterms:created>
  <dcterms:modified xsi:type="dcterms:W3CDTF">2026-07-26T21:31:22Z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