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7" w:name="X6833adc4389537a8c1d0d102e5280183b3eade5"/>
    <w:p>
      <w:pPr>
        <w:pStyle w:val="Heading1"/>
      </w:pPr>
      <w:r>
        <w:t xml:space="preserve">Document 15 — Reporting, Analytics &amp; Dashboards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15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data engineers, QA, product, operator admins, supervisors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(event stream, aggregates table, tenancy), Doc 03 (permissions</w:t>
      </w:r>
      <w:r>
        <w:t xml:space="preserve"> </w:t>
      </w:r>
      <w:r>
        <w:rPr>
          <w:rStyle w:val="VerbatimChar"/>
        </w:rPr>
        <w:t xml:space="preserve">reports.*</w:t>
      </w:r>
      <w:r>
        <w:t xml:space="preserve">, scope rules,</w:t>
      </w:r>
      <w:r>
        <w:t xml:space="preserve"> </w:t>
      </w:r>
      <w:r>
        <w:rPr>
          <w:rStyle w:val="VerbatimChar"/>
        </w:rPr>
        <w:t xml:space="preserve">reports.agents.individual</w:t>
      </w:r>
      <w:r>
        <w:t xml:space="preserve">), Doc 05 (Telegram events, calibration telemetry), Doc 06 (metric timestamps FR-24, spam exclusion, golden fixtures), Doc 09 (ai_decisions, digests, anomaly outputs), Doc 11 (routing events, queue data, supervisor ops), Doc 12 (SLA instances, CSAT events, golden timelines), Doc 13 (widget beacons/events), Doc 14 (SMS events, cost). Consumed by: every management persona; Doc 16 (scheduled-report notification delivery); Doc 17 (export audit).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Laravel, PostgreSQL (events + hourly aggregates), Redis (realtime counters), Reverb (live dashboard), Browsershot/Laravel Excel (exports), Horizon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queue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analytics layer: the</w:t>
      </w:r>
      <w:r>
        <w:t xml:space="preserve"> </w:t>
      </w:r>
      <w:r>
        <w:rPr>
          <w:bCs/>
          <w:b/>
        </w:rPr>
        <w:t xml:space="preserve">semantic metric dictionary</w:t>
      </w:r>
      <w:r>
        <w:t xml:space="preserve"> </w:t>
      </w:r>
      <w:r>
        <w:t xml:space="preserve">— one governed registry where every metric has a name, a normative formula bound to source events and Doc 06’s transactional timestamps, declared filters, business-hours awareness, and exclusion rules (spam and test/sandbox traffic never count) — the</w:t>
      </w:r>
      <w:r>
        <w:t xml:space="preserve"> </w:t>
      </w:r>
      <w:r>
        <w:rPr>
          <w:bCs/>
          <w:b/>
        </w:rPr>
        <w:t xml:space="preserve">two-speed data architecture</w:t>
      </w:r>
      <w:r>
        <w:t xml:space="preserve"> </w:t>
      </w:r>
      <w:r>
        <w:t xml:space="preserve">(an hourly-aggregate warehouse fed by the Doc 01 event stream for historical reports, and a Redis realtime layer for the supervisor live dashboard), the</w:t>
      </w:r>
      <w:r>
        <w:t xml:space="preserve"> </w:t>
      </w:r>
      <w:r>
        <w:rPr>
          <w:bCs/>
          <w:b/>
        </w:rPr>
        <w:t xml:space="preserve">prebuilt report catalog</w:t>
      </w:r>
      <w:r>
        <w:t xml:space="preserve"> </w:t>
      </w:r>
      <w:r>
        <w:t xml:space="preserve">across eight families (Agent, Team/Queue, Customer, AI, Telegram, Live Chat, SMS, SLA), the</w:t>
      </w:r>
      <w:r>
        <w:t xml:space="preserve"> </w:t>
      </w:r>
      <w:r>
        <w:rPr>
          <w:bCs/>
          <w:b/>
        </w:rPr>
        <w:t xml:space="preserve">supervisor live dashboard</w:t>
      </w:r>
      <w:r>
        <w:t xml:space="preserve"> </w:t>
      </w:r>
      <w:r>
        <w:t xml:space="preserve">(agents, queues, SLA risk, alerts, and the manual-intervention surface contracted from Doc 11), the</w:t>
      </w:r>
      <w:r>
        <w:t xml:space="preserve"> </w:t>
      </w:r>
      <w:r>
        <w:rPr>
          <w:bCs/>
          <w:b/>
        </w:rPr>
        <w:t xml:space="preserve">dashboard builder</w:t>
      </w:r>
      <w:r>
        <w:t xml:space="preserve"> </w:t>
      </w:r>
      <w:r>
        <w:t xml:space="preserve">(drag-and-drop widgets — KPI cards, line/bar/pie charts, tables, hour×day heatmaps, leaderboards, activity feeds — with sharing and full-screen rotating TV mode),</w:t>
      </w:r>
      <w:r>
        <w:t xml:space="preserve"> </w:t>
      </w:r>
      <w:r>
        <w:rPr>
          <w:bCs/>
          <w:b/>
        </w:rPr>
        <w:t xml:space="preserve">exports</w:t>
      </w:r>
      <w:r>
        <w:t xml:space="preserve"> </w:t>
      </w:r>
      <w:r>
        <w:t xml:space="preserve">(PDF snapshots, Excel, CSV; one-off and scheduled with delivery via Doc 16), scope-correct data visibility including the</w:t>
      </w:r>
      <w:r>
        <w:t xml:space="preserve"> </w:t>
      </w:r>
      <w:r>
        <w:rPr>
          <w:rStyle w:val="VerbatimChar"/>
        </w:rPr>
        <w:t xml:space="preserve">reports.agents.individual</w:t>
      </w:r>
      <w:r>
        <w:t xml:space="preserve"> </w:t>
      </w:r>
      <w:r>
        <w:t xml:space="preserve">gate on per-person metrics, drill-down paths from every number to its underlying tickets, and the reconciliation discipline (golden fixtures shared with Docs 06/12, drift checkers, and the rule that a metric that cannot be explained by drill-down does not ship). The design goal is a single sentence:</w:t>
      </w:r>
      <w:r>
        <w:t xml:space="preserve"> </w:t>
      </w:r>
      <w:r>
        <w:rPr>
          <w:bCs/>
          <w:b/>
        </w:rPr>
        <w:t xml:space="preserve">no two screens ever show two different numbers for the same question.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Centralize metric truth: every consumer (prebuilt reports, custom dashboards, exports, digests, the API) reads the same dictionary-resolved values.</w:t>
      </w:r>
    </w:p>
    <w:p>
      <w:pPr>
        <w:numPr>
          <w:ilvl w:val="0"/>
          <w:numId w:val="1001"/>
        </w:numPr>
        <w:pStyle w:val="Compact"/>
      </w:pPr>
      <w:r>
        <w:t xml:space="preserve">Give supervisors a live floor view and managers an honest historical view, each on the storage tier built for it.</w:t>
      </w:r>
    </w:p>
    <w:p>
      <w:pPr>
        <w:numPr>
          <w:ilvl w:val="0"/>
          <w:numId w:val="1001"/>
        </w:numPr>
        <w:pStyle w:val="Compact"/>
      </w:pPr>
      <w:r>
        <w:t xml:space="preserve">Make every number defensible: formula on hover, drill-down to source tickets, fixtures shared with the producing modules.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the metric dictionary (registry, formulas, dimensions, exclusions, versioning); ingestion (events → hourly aggregates; realtime counters); the report catalog per family with each report’s content; supervisor live dashboard (data + interactions); dashboard builder (widgets, layout, sharing, TV mode); date/filter semantics; drill-downs; exports &amp; scheduling; report API; scope &amp; privacy rules; reconciliation &amp; drift tooling; performance tiers.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event production (owning docs); the SLA clock math (Doc 12’s library — this doc consumes instances); AI anomaly generation (Doc 09 — rendered here); notification transport for schedules (Doc 16); data-warehouse-external BI connectors (future §19); billing/invoicing (not in product).</w:t>
      </w:r>
    </w:p>
    <w:bookmarkEnd w:id="22"/>
    <w:bookmarkStart w:id="29" w:name="functional-requirements"/>
    <w:p>
      <w:pPr>
        <w:pStyle w:val="Heading2"/>
      </w:pPr>
      <w:r>
        <w:t xml:space="preserve">4. Functional Requirements</w:t>
      </w:r>
    </w:p>
    <w:bookmarkStart w:id="23" w:name="metric-dictionary"/>
    <w:p>
      <w:pPr>
        <w:pStyle w:val="Heading3"/>
      </w:pPr>
      <w:r>
        <w:t xml:space="preserve">4.1 Metric dictionary</w:t>
      </w:r>
    </w:p>
    <w:p>
      <w:pPr>
        <w:pStyle w:val="FirstParagraph"/>
      </w:pPr>
      <w:r>
        <w:t xml:space="preserve">FR-01 Registry entry = {key (stable, e.g. </w:t>
      </w:r>
      <w:r>
        <w:rPr>
          <w:rStyle w:val="VerbatimChar"/>
        </w:rPr>
        <w:t xml:space="preserve">tickets.frt.median</w:t>
      </w:r>
      <w:r>
        <w:t xml:space="preserve">), family, i18n label + description, formula (normative text + implementation ref), source events/tables, unit, aggregations allowed (sum/avg/median/p90/count/rate), dimensions allowed (time grain, department, queue, team, agent, channel, language, tag, priority, template, gateway…), business-hours variant (yes/no — where yes, both calendar and business-hours values exist as distinct keys), exclusions (spam per Doc 06 FR-09/AC-06, sandbox/test per Docs 05/13/14 test-mode rules — both mandatory platform-wide), scope behavior (how Doc 03 scopes filter it), privacy class (</w:t>
      </w:r>
      <w:r>
        <w:rPr>
          <w:rStyle w:val="VerbatimChar"/>
        </w:rPr>
        <w:t xml:space="preserve">aggregate | per_agent</w:t>
      </w:r>
      <w:r>
        <w:t xml:space="preserve"> </w:t>
      </w:r>
      <w:r>
        <w:t xml:space="preserve">— the latter gated by</w:t>
      </w:r>
      <w:r>
        <w:t xml:space="preserve"> </w:t>
      </w:r>
      <w:r>
        <w:rPr>
          <w:rStyle w:val="VerbatimChar"/>
        </w:rPr>
        <w:t xml:space="preserve">reports.agents.individual</w:t>
      </w:r>
      <w:r>
        <w:t xml:space="preserve">), version}.</w:t>
      </w:r>
      <w:r>
        <w:t xml:space="preserve"> </w:t>
      </w:r>
      <w:r>
        <w:t xml:space="preserve">FR-02 v1 metric set (keys per family; formulas in the registry, headline definitions normative here):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Agent:</w:t>
      </w:r>
      <w:r>
        <w:t xml:space="preserve"> </w:t>
      </w:r>
      <w:r>
        <w:t xml:space="preserve">handled, resolved, reopened-rate, escalated, FRT (first</w:t>
      </w:r>
      <w:r>
        <w:t xml:space="preserve"> </w:t>
      </w:r>
      <w:r>
        <w:rPr>
          <w:rStyle w:val="VerbatimChar"/>
        </w:rPr>
        <w:t xml:space="preserve">agent_first_response_at − opened</w:t>
      </w:r>
      <w:r>
        <w:t xml:space="preserve">, Doc 06 FR-24), avg response time, resolution time, CSAT avg/count, AI-assist usage (Copilot inserts per Doc 09 FR-16), active time (activity-event derived per Doc 07 BR-06 — never status-clock), tickets-per-active-hour.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Team/Queue:</w:t>
      </w:r>
      <w:r>
        <w:t xml:space="preserve"> </w:t>
      </w:r>
      <w:r>
        <w:t xml:space="preserve">volume in/out, backlog + age profile (open-family buckets), SLA attainment per stage, utilization, workload balance (max/min assigned ratio), throughput, wait p50/p90 (queued→assigned).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Customer:</w:t>
      </w:r>
      <w:r>
        <w:t xml:space="preserve"> </w:t>
      </w:r>
      <w:r>
        <w:t xml:space="preserve">created/closed, repeat-contact rate (contacts per resolution), top intents (Doc 09 classifications), satisfaction distribution, deflection (Doc 10 FR-12 attribution: KB view/citation → no ticket in-conversation within 24 h).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AI:</w:t>
      </w:r>
      <w:r>
        <w:t xml:space="preserve"> </w:t>
      </w:r>
      <w:r>
        <w:t xml:space="preserve">resolution rate (AI-resolved / AI-touched), handoff rate + reasons distribution, reopen-after-AI, CSAT(AI) vs CSAT(human) — always rendered together with resolution rate (the honest triad, Doc 09 R-06), confidence calibration buckets, top unanswerable intents, token cost per resolution.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Telegram:</w:t>
      </w:r>
      <w:r>
        <w:t xml:space="preserve"> </w:t>
      </w:r>
      <w:r>
        <w:t xml:space="preserve">messages in/out, delivery success/failure by class, media volume, active conversations, per-connection health history, window expiries + re-engagement conversion (SMS sent → customer returned, the Doc 05/14 loop measured), calibration telemetry (Doc 05 FR-21).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Chat:</w:t>
      </w:r>
      <w:r>
        <w:t xml:space="preserve"> </w:t>
      </w:r>
      <w:r>
        <w:t xml:space="preserve">loads, opens, chats started, AI-resolved, handoffs, queue-wait actual vs banded estimate honesty check, widget error rate (Doc 13 beacons), proactive conversion.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SMS:</w:t>
      </w:r>
      <w:r>
        <w:t xml:space="preserve"> </w:t>
      </w:r>
      <w:r>
        <w:t xml:space="preserve">sent/delivered/undelivered/expired by gateway+country, cost by template/gateway, opt-out rate, guard-skip distribution, DLR latency, missing-DLR rate (the Doc 14 FS-03 health signal).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SLA:</w:t>
      </w:r>
      <w:r>
        <w:t xml:space="preserve"> </w:t>
      </w:r>
      <w:r>
        <w:t xml:space="preserve">attainment per policy/stage/priority, breach count + time-to-breach distribution, pause-time composition (which pause reasons consume clock), warning→save rate (warned then met).</w:t>
      </w:r>
      <w:r>
        <w:t xml:space="preserve"> </w:t>
      </w:r>
      <w:r>
        <w:t xml:space="preserve">FR-03 Governance: new metrics enter via registry change control (owner sign-off, fixture required — the Doc 01 R-03 pattern); keys never renamed (deprecate + replace); every metric’s hover shows label, formula sentence, exclusions, and business-hours mode (</w:t>
      </w:r>
      <w:r>
        <w:t xml:space="preserve">“</w:t>
      </w:r>
      <w:r>
        <w:t xml:space="preserve">First response time = …, business hours per the Payments calendar, spam and test traffic excluded</w:t>
      </w:r>
      <w:r>
        <w:t xml:space="preserve">”</w:t>
      </w:r>
      <w:r>
        <w:t xml:space="preserve">).</w:t>
      </w:r>
    </w:p>
    <w:bookmarkEnd w:id="23"/>
    <w:bookmarkStart w:id="24" w:name="data-architecture"/>
    <w:p>
      <w:pPr>
        <w:pStyle w:val="Heading3"/>
      </w:pPr>
      <w:r>
        <w:t xml:space="preserve">4.2 Data architecture</w:t>
      </w:r>
    </w:p>
    <w:p>
      <w:pPr>
        <w:pStyle w:val="FirstParagraph"/>
      </w:pPr>
      <w:r>
        <w:t xml:space="preserve">FR-04</w:t>
      </w:r>
      <w:r>
        <w:t xml:space="preserve"> </w:t>
      </w:r>
      <w:r>
        <w:rPr>
          <w:bCs/>
          <w:b/>
        </w:rPr>
        <w:t xml:space="preserve">Historical tier:</w:t>
      </w:r>
      <w:r>
        <w:t xml:space="preserve"> </w:t>
      </w:r>
      <w:r>
        <w:t xml:space="preserve">consumers of the Doc 01 event stream project into</w:t>
      </w:r>
      <w:r>
        <w:t xml:space="preserve"> </w:t>
      </w:r>
      <w:r>
        <w:rPr>
          <w:rStyle w:val="VerbatimChar"/>
        </w:rPr>
        <w:t xml:space="preserve">reports_aggregates</w:t>
      </w:r>
      <w:r>
        <w:t xml:space="preserve"> </w:t>
      </w:r>
      <w:r>
        <w:t xml:space="preserve">(metric, dimension tuple, hour bucket, value) with idempotent upserts keyed by event ids; late events (backlog drains, Doc 06 FS-02) correct affected buckets (re-aggregation of touched hours); raw events retained per Doc 01 NFR-07 enabling full rebuilds.</w:t>
      </w:r>
      <w:r>
        <w:t xml:space="preserve"> </w:t>
      </w:r>
      <w:r>
        <w:t xml:space="preserve">FR-05</w:t>
      </w:r>
      <w:r>
        <w:t xml:space="preserve"> </w:t>
      </w:r>
      <w:r>
        <w:rPr>
          <w:bCs/>
          <w:b/>
        </w:rPr>
        <w:t xml:space="preserve">Realtime tier:</w:t>
      </w:r>
      <w:r>
        <w:t xml:space="preserve"> </w:t>
      </w:r>
      <w:r>
        <w:t xml:space="preserve">Redis counters/sets maintained by the same consumers for the live dashboard’s window (now-state + trailing 60 min): agents by status, active chats, queue depths + oldest waits (Doc 11’s ZSETs read directly), SLA at-risk/breach counts, alert feed; realtime values are</w:t>
      </w:r>
      <w:r>
        <w:t xml:space="preserve"> </w:t>
      </w:r>
      <w:r>
        <w:rPr>
          <w:iCs/>
          <w:i/>
        </w:rPr>
        <w:t xml:space="preserve">approximate by contract</w:t>
      </w:r>
      <w:r>
        <w:t xml:space="preserve"> </w:t>
      </w:r>
      <w:r>
        <w:t xml:space="preserve">(labeled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) and never the source for historical reports (the two tiers answer different questions and are never mixed in one widget).</w:t>
      </w:r>
      <w:r>
        <w:t xml:space="preserve"> </w:t>
      </w:r>
      <w:r>
        <w:t xml:space="preserve">FR-06 Reconciliation: nightly checker recomputes a sample of aggregate buckets from raw events (drift alert per Doc 07 NFR-07 pattern); the Doc 06 AC-09 / Doc 12 AC-03 golden fixtures run against the dictionary in CI (the shared-fixture contract realized); full-rebuild runbook (Doc 18) with per-metric rebuild support.</w:t>
      </w:r>
    </w:p>
    <w:bookmarkEnd w:id="24"/>
    <w:bookmarkStart w:id="25" w:name="reports-filters-drill-down"/>
    <w:p>
      <w:pPr>
        <w:pStyle w:val="Heading3"/>
      </w:pPr>
      <w:r>
        <w:t xml:space="preserve">4.3 Reports, filters, drill-down</w:t>
      </w:r>
    </w:p>
    <w:p>
      <w:pPr>
        <w:pStyle w:val="FirstParagraph"/>
      </w:pPr>
      <w:r>
        <w:t xml:space="preserve">FR-07 Prebuilt report pages per family (FR-02’s content as designed pages): each = header KPI row + primary chart + breakdown table, with the global filter bar (date range with comparison period, department, queue, team, agent [gated], channel, language, tag, priority; family-specific: policy, template, gateway, bot/connection, widget); date semantics: tenant timezone, inclusive ranges, grain auto (hour ≤ 3 d, day ≤ 90 d, week/month beyond), comparison renders as delta chips.</w:t>
      </w:r>
      <w:r>
        <w:t xml:space="preserve"> </w:t>
      </w:r>
      <w:r>
        <w:t xml:space="preserve">FR-08 Drill-down: every aggregate number links to its constituent list (tickets/messages/sends) rendered through Doc 07’s list components with the metric’s filter context applied — capped at 10k with export-instead guidance; drill-down respects the viewer’s scope even where the aggregate was computed tenant-wide for privileged viewers (documented duality: an All-scope manager drilling into a number sees everything; a Department-scope lead viewing a shared dashboard sees the number recomputed to their scope — see FR-15).</w:t>
      </w:r>
      <w:r>
        <w:t xml:space="preserve"> </w:t>
      </w:r>
      <w:r>
        <w:t xml:space="preserve">FR-09 The AI daily digest (Doc 09 FR-17) and anomaly alerts render in a Reports-home feed panel with links into the relevant report at the relevant range.</w:t>
      </w:r>
    </w:p>
    <w:bookmarkEnd w:id="25"/>
    <w:bookmarkStart w:id="26" w:name="supervisor-live-dashboard"/>
    <w:p>
      <w:pPr>
        <w:pStyle w:val="Heading3"/>
      </w:pPr>
      <w:r>
        <w:t xml:space="preserve">4.4 Supervisor live dashboard</w:t>
      </w:r>
    </w:p>
    <w:p>
      <w:pPr>
        <w:pStyle w:val="FirstParagraph"/>
      </w:pPr>
      <w:r>
        <w:t xml:space="preserve">FR-10 Layout (the Doc 11/Doc 07 contracts rendered): KPI strip (waiting, oldest wait, active chats, agents online, SLA at-risk, breaches today) → queue table (per Doc 11 §8: depth, oldest, eligible/online, throughput sparkline, drag-reassign) → agent grid (status + attribution per Doc 07 FR-28, active load, time-in-status, today’s handled/resolved/CSAT [per-agent gate applies], monitor/whisper entry points per Doc 03</w:t>
      </w:r>
      <w:r>
        <w:t xml:space="preserve"> </w:t>
      </w:r>
      <w:r>
        <w:rPr>
          <w:rStyle w:val="VerbatimChar"/>
        </w:rPr>
        <w:t xml:space="preserve">supervision.*</w:t>
      </w:r>
      <w:r>
        <w:t xml:space="preserve">) → live alert feed (SLA warnings/breaches, window expiries, routing no-skill-match, channel health changes, AI anomalies, gateway circuits — each actionable with its deep link).</w:t>
      </w:r>
      <w:r>
        <w:t xml:space="preserve"> </w:t>
      </w:r>
      <w:r>
        <w:t xml:space="preserve">FR-11 Interactions: everything Doc 11 FR-15 (reassign, pull-in, force status, broadcast note) executes from here with the owning module’s semantics; monitor/whisper opens the conversation in the Doc 07 thread with a supervision banner (whisper messages are internal-note-typed — Doc 04 BR-01 keeps them structurally undeliverable).</w:t>
      </w:r>
      <w:r>
        <w:t xml:space="preserve"> </w:t>
      </w:r>
      <w:r>
        <w:t xml:space="preserve">FR-12 TV mode: any dashboard (incl. this one) full-screens with auto-refresh, rotating pages (config), large-type tokens, and no interactive affordances (display-only; a TV session holds no privileged interaction surface — SEC-04).</w:t>
      </w:r>
    </w:p>
    <w:bookmarkEnd w:id="26"/>
    <w:bookmarkStart w:id="27" w:name="dashboard-builder"/>
    <w:p>
      <w:pPr>
        <w:pStyle w:val="Heading3"/>
      </w:pPr>
      <w:r>
        <w:t xml:space="preserve">4.5 Dashboard builder</w:t>
      </w:r>
    </w:p>
    <w:p>
      <w:pPr>
        <w:pStyle w:val="FirstParagraph"/>
      </w:pPr>
      <w:r>
        <w:t xml:space="preserve">FR-13 Dashboard = {name, layout (12-col grid, drag/resize), widgets[], sharing (private | team | tenant; share requires</w:t>
      </w:r>
      <w:r>
        <w:t xml:space="preserve"> </w:t>
      </w:r>
      <w:r>
        <w:rPr>
          <w:rStyle w:val="VerbatimChar"/>
        </w:rPr>
        <w:t xml:space="preserve">reports.dashboards.share</w:t>
      </w:r>
      <w:r>
        <w:t xml:space="preserve">), tv_config (rotation, refresh)}. Widget = {type: kpi_card | line | bar | pie | table | heatmap(hour×day) | leaderboard | activity_feed, metric key(s) from the dictionary, dimensions/filters, comparison period, realtime|historical tier flag (type-constrained: activity_feed and now-state KPIs = realtime; charts = historical), display options (targets/thresholds with color bands, units)}. Widgets validate against the registry (a metric’s allowed aggregations/dimensions constrain the editor — invalid combinations are unbuildable, not error-prone).</w:t>
      </w:r>
      <w:r>
        <w:t xml:space="preserve"> </w:t>
      </w:r>
      <w:r>
        <w:t xml:space="preserve">FR-14 Leaderboards render per-agent metrics only for viewers holding</w:t>
      </w:r>
      <w:r>
        <w:t xml:space="preserve"> </w:t>
      </w:r>
      <w:r>
        <w:rPr>
          <w:rStyle w:val="VerbatimChar"/>
        </w:rPr>
        <w:t xml:space="preserve">reports.agents.individual</w:t>
      </w:r>
      <w:r>
        <w:t xml:space="preserve">; shared dashboards containing gated widgets show a</w:t>
      </w:r>
      <w:r>
        <w:t xml:space="preserve"> </w:t>
      </w:r>
      <w:r>
        <w:t xml:space="preserve">“</w:t>
      </w:r>
      <w:r>
        <w:t xml:space="preserve">restricted widget</w:t>
      </w:r>
      <w:r>
        <w:t xml:space="preserve">”</w:t>
      </w:r>
      <w:r>
        <w:t xml:space="preserve"> </w:t>
      </w:r>
      <w:r>
        <w:t xml:space="preserve">placeholder to unentitled viewers (never partial data).</w:t>
      </w:r>
      <w:r>
        <w:t xml:space="preserve"> </w:t>
      </w:r>
      <w:r>
        <w:t xml:space="preserve">FR-15 Shared-dashboard scope semantics: widgets recompute per viewer’s scope (the FR-08 duality) — a tenant-shared</w:t>
      </w:r>
      <w:r>
        <w:t xml:space="preserve"> </w:t>
      </w:r>
      <w:r>
        <w:t xml:space="preserve">“</w:t>
      </w:r>
      <w:r>
        <w:t xml:space="preserve">Department performance</w:t>
      </w:r>
      <w:r>
        <w:t xml:space="preserve">”</w:t>
      </w:r>
      <w:r>
        <w:t xml:space="preserve"> </w:t>
      </w:r>
      <w:r>
        <w:t xml:space="preserve">dashboard is safe by construction; the editor previews</w:t>
      </w:r>
      <w:r>
        <w:t xml:space="preserve"> </w:t>
      </w:r>
      <w:r>
        <w:t xml:space="preserve">“</w:t>
      </w:r>
      <w:r>
        <w:t xml:space="preserve">as: me | as: role X</w:t>
      </w:r>
      <w:r>
        <w:t xml:space="preserve">”</w:t>
      </w:r>
      <w:r>
        <w:t xml:space="preserve"> </w:t>
      </w:r>
      <w:r>
        <w:t xml:space="preserve">for share-sanity checks.</w:t>
      </w:r>
    </w:p>
    <w:bookmarkEnd w:id="27"/>
    <w:bookmarkStart w:id="28" w:name="exports-schedules-api"/>
    <w:p>
      <w:pPr>
        <w:pStyle w:val="Heading3"/>
      </w:pPr>
      <w:r>
        <w:t xml:space="preserve">4.6 Exports, schedules, API</w:t>
      </w:r>
    </w:p>
    <w:p>
      <w:pPr>
        <w:pStyle w:val="FirstParagraph"/>
      </w:pPr>
      <w:r>
        <w:t xml:space="preserve">FR-16 Exports: any report/dashboard → PDF (rendered snapshot with filters + generation stamp + requesting-user watermark), Excel/CSV (tabular per widget/table with the dictionary keys as headers alongside localized labels);</w:t>
      </w:r>
      <w:r>
        <w:t xml:space="preserve"> </w:t>
      </w:r>
      <w:r>
        <w:rPr>
          <w:rStyle w:val="VerbatimChar"/>
        </w:rPr>
        <w:t xml:space="preserve">reports.export</w:t>
      </w:r>
      <w:r>
        <w:t xml:space="preserve"> </w:t>
      </w:r>
      <w:r>
        <w:t xml:space="preserve">(high) gates all; every export audited (Doc 17) with parameters.</w:t>
      </w:r>
      <w:r>
        <w:t xml:space="preserve"> </w:t>
      </w:r>
      <w:r>
        <w:t xml:space="preserve">FR-17 Schedules: {report/dashboard, filters, cadence (daily/weekly/monthly at tenant-timezone time), format, recipients (staff users/roles — delivery via Doc 16 notification/email)};</w:t>
      </w:r>
      <w:r>
        <w:t xml:space="preserve"> </w:t>
      </w:r>
      <w:r>
        <w:rPr>
          <w:rStyle w:val="VerbatimChar"/>
        </w:rPr>
        <w:t xml:space="preserve">reports.schedule</w:t>
      </w:r>
      <w:r>
        <w:t xml:space="preserve"> </w:t>
      </w:r>
      <w:r>
        <w:t xml:space="preserve">gates; scheduled outputs render under the</w:t>
      </w:r>
      <w:r>
        <w:t xml:space="preserve"> </w:t>
      </w:r>
      <w:r>
        <w:rPr>
          <w:iCs/>
          <w:i/>
        </w:rPr>
        <w:t xml:space="preserve">schedule owner’s</w:t>
      </w:r>
      <w:r>
        <w:t xml:space="preserve"> </w:t>
      </w:r>
      <w:r>
        <w:t xml:space="preserve">scope frozen at save (owner deactivation pauses the schedule with an alert — no orphaned-privilege exports); each delivery audited.</w:t>
      </w:r>
      <w:r>
        <w:t xml:space="preserve"> </w:t>
      </w:r>
      <w:r>
        <w:t xml:space="preserve">FR-18 Report API (</w:t>
      </w:r>
      <w:r>
        <w:rPr>
          <w:rStyle w:val="VerbatimChar"/>
        </w:rPr>
        <w:t xml:space="preserve">GET /v1/reports/{key}</w:t>
      </w:r>
      <w:r>
        <w:t xml:space="preserve"> </w:t>
      </w:r>
      <w:r>
        <w:t xml:space="preserve">per Doc series API catalog): dictionary-resolved, same scope rules, same exclusions — the API is a consumer, never a bypass.</w:t>
      </w:r>
    </w:p>
    <w:bookmarkEnd w:id="28"/>
    <w:bookmarkEnd w:id="29"/>
    <w:bookmarkStart w:id="30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Historical report page ≤ 1.5 s p75 warm (aggregate reads only — never raw-event scans in the request path); 13-month range renders within budget via monthly rollups layered over hourly.</w:t>
      </w:r>
      <w:r>
        <w:t xml:space="preserve"> </w:t>
      </w:r>
      <w:r>
        <w:t xml:space="preserve">NFR-02 Realtime tiles update ≤ 2 s from source event (Reverb push); the live dashboard sustains 50 concurrent supervisor sessions per tenant.</w:t>
      </w:r>
      <w:r>
        <w:t xml:space="preserve"> </w:t>
      </w:r>
      <w:r>
        <w:t xml:space="preserve">NFR-03 Aggregation lag ≤ 60 s p95 from event to queryable bucket (Doc 01 outbox lag budgets inherited + projector budget).</w:t>
      </w:r>
      <w:r>
        <w:t xml:space="preserve"> </w:t>
      </w:r>
      <w:r>
        <w:t xml:space="preserve">NFR-04 Drill-down list first page ≤ 800 ms p95.</w:t>
      </w:r>
      <w:r>
        <w:t xml:space="preserve"> </w:t>
      </w:r>
      <w:r>
        <w:t xml:space="preserve">NFR-05 Export generation: PDF ≤ 30 s, Excel 100k rows ≤ 60 s, async with progress + notification.</w:t>
      </w:r>
      <w:r>
        <w:t xml:space="preserve"> </w:t>
      </w:r>
      <w:r>
        <w:t xml:space="preserve">NFR-06 Reconciliation: nightly sample drift = 0 tolerance (any drift alerts and blocks the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badge shown on report pages — an honest freshness/integrity indicator).</w:t>
      </w:r>
      <w:r>
        <w:t xml:space="preserve"> </w:t>
      </w:r>
      <w:r>
        <w:t xml:space="preserve">NFR-07 The exclusion rules (spam, test) are enforced in the projection layer once — no per-report reimplementation (single-point correctness).</w:t>
      </w:r>
    </w:p>
    <w:bookmarkEnd w:id="30"/>
    <w:bookmarkStart w:id="31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operations manager, FRT on my Monday report equals FRT in my custom dashboard equals FRT in the export — always, provably.</w:t>
      </w:r>
      <w:r>
        <w:t xml:space="preserve"> </w:t>
      </w:r>
      <w:r>
        <w:t xml:space="preserve">US-02 As a supervisor, the live board shows the floor as it is right now, and every alarming number is one click from the tickets behind it.</w:t>
      </w:r>
      <w:r>
        <w:t xml:space="preserve"> </w:t>
      </w:r>
      <w:r>
        <w:t xml:space="preserve">US-03 As a team lead with department scope, the tenant-shared dashboard shows</w:t>
      </w:r>
      <w:r>
        <w:t xml:space="preserve"> </w:t>
      </w:r>
      <w:r>
        <w:rPr>
          <w:iCs/>
          <w:i/>
        </w:rPr>
        <w:t xml:space="preserve">my department’s</w:t>
      </w:r>
      <w:r>
        <w:t xml:space="preserve"> </w:t>
      </w:r>
      <w:r>
        <w:t xml:space="preserve">truth, not a forbidden peek at others.</w:t>
      </w:r>
      <w:r>
        <w:t xml:space="preserve"> </w:t>
      </w:r>
      <w:r>
        <w:t xml:space="preserve">US-04 As an operator admin, I hover any metric and read exactly what it means, what’s excluded, and which calendar it uses.</w:t>
      </w:r>
      <w:r>
        <w:t xml:space="preserve"> </w:t>
      </w:r>
      <w:r>
        <w:t xml:space="preserve">US-05 As a QA-conscious manager, agent leaderboards exist for those entitled — and agents aren’t ranked on a wall-TV that anyone walks past (restricted widgets stay restricted in TV mode).</w:t>
      </w:r>
      <w:r>
        <w:t xml:space="preserve"> </w:t>
      </w:r>
      <w:r>
        <w:t xml:space="preserve">US-06 As a finance reviewer, the AI cost-per-resolution and SMS cost-per-template reports let me steer spend monthly.</w:t>
      </w:r>
      <w:r>
        <w:t xml:space="preserve"> </w:t>
      </w:r>
      <w:r>
        <w:t xml:space="preserve">US-07 As the platform team, when a manager disputes a number, the golden fixtures and drill-down settle it in minutes, not meetings.</w:t>
      </w:r>
    </w:p>
    <w:bookmarkEnd w:id="31"/>
    <w:bookmarkStart w:id="32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One dictionary, no exceptions: any surface displaying a metric resolves it through the registry — hardcoded formulas in UI or exports are a build-gate violation (CI grep + the fixture suite).</w:t>
      </w:r>
      <w:r>
        <w:t xml:space="preserve"> </w:t>
      </w:r>
      <w:r>
        <w:t xml:space="preserve">BR-02 Spam and sandbox never count (FR-01 exclusions) — platform-wide, non-configurable (Doc 06 AC-06’s contract lands here).</w:t>
      </w:r>
      <w:r>
        <w:t xml:space="preserve"> </w:t>
      </w:r>
      <w:r>
        <w:t xml:space="preserve">BR-03 Live and historical never blend: a widget is one tier;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numbers are labeled live and excluded from exports’ historical claims.</w:t>
      </w:r>
      <w:r>
        <w:t xml:space="preserve"> </w:t>
      </w:r>
      <w:r>
        <w:t xml:space="preserve">BR-04 Per-person metrics are a privilege (</w:t>
      </w:r>
      <w:r>
        <w:rPr>
          <w:rStyle w:val="VerbatimChar"/>
        </w:rPr>
        <w:t xml:space="preserve">reports.agents.individual</w:t>
      </w:r>
      <w:r>
        <w:t xml:space="preserve">), not a default — team aggregates are the universal currency; the gate applies uniformly (reports, dashboards, leaderboards, drill-downs, exports, API, TV).</w:t>
      </w:r>
      <w:r>
        <w:t xml:space="preserve"> </w:t>
      </w:r>
      <w:r>
        <w:t xml:space="preserve">BR-05 The honest triad ships together (Doc 09 R-06): AI resolution rate is never displayable without CSAT(AI) and reopen-after-AI adjacent (registry-enforced companion metrics on the widget type).</w:t>
      </w:r>
      <w:r>
        <w:t xml:space="preserve"> </w:t>
      </w:r>
      <w:r>
        <w:t xml:space="preserve">BR-06 Numbers must be explainable: no metric ships without drill-down or (for rates) numerator/denominator drill-downs;</w:t>
      </w:r>
      <w:r>
        <w:t xml:space="preserve"> </w:t>
      </w:r>
      <w:r>
        <w:t xml:space="preserve">“</w:t>
      </w:r>
      <w:r>
        <w:t xml:space="preserve">trust us</w:t>
      </w:r>
      <w:r>
        <w:t xml:space="preserve">”</w:t>
      </w:r>
      <w:r>
        <w:t xml:space="preserve"> </w:t>
      </w:r>
      <w:r>
        <w:t xml:space="preserve">aggregates are prohibited.</w:t>
      </w:r>
      <w:r>
        <w:t xml:space="preserve"> </w:t>
      </w:r>
      <w:r>
        <w:t xml:space="preserve">BR-07 Active time derives from activity events, never status clocks (Doc 07 BR-06’s anti-surveillance stance carried into measurement).</w:t>
      </w:r>
    </w:p>
    <w:bookmarkEnd w:id="32"/>
    <w:bookmarkStart w:id="33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Reports home:</w:t>
      </w:r>
      <w:r>
        <w:t xml:space="preserve"> </w:t>
      </w:r>
      <w:r>
        <w:t xml:space="preserve">family cards with headline sparks, the digest/anomaly feed (FR-09), recent + pinned reports, the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integrity badge with last-reconciled time (NFR-06).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 pages:</w:t>
      </w:r>
      <w:r>
        <w:t xml:space="preserve"> </w:t>
      </w:r>
      <w:r>
        <w:t xml:space="preserve">per FR-07 anatomy; formula hovers per FR-03; comparison delta chips (▲▼ with color + sign); empty ranges render honest empty charts (</w:t>
      </w:r>
      <w:r>
        <w:t xml:space="preserve">“</w:t>
      </w:r>
      <w:r>
        <w:t xml:space="preserve">no data in range</w:t>
      </w:r>
      <w:r>
        <w:t xml:space="preserve">”</w:t>
      </w:r>
      <w:r>
        <w:t xml:space="preserve">), never zero-lines pretending; the filter bar persists per user per report.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Drill-down:</w:t>
      </w:r>
      <w:r>
        <w:t xml:space="preserve"> </w:t>
      </w:r>
      <w:r>
        <w:t xml:space="preserve">slide-over list (Doc 07 components) with the applied context summarized as removable chips; export-this-list shortcut (gated).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Live dashboard:</w:t>
      </w:r>
      <w:r>
        <w:t xml:space="preserve"> </w:t>
      </w:r>
      <w:r>
        <w:t xml:space="preserve">per FR-10; alert feed rows age-fade; degraded-realtime banner on socket loss with poll fallback (Doc 07 patterns); all Doc 11 interactions confirm per their owning specs.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Builder:</w:t>
      </w:r>
      <w:r>
        <w:t xml:space="preserve"> </w:t>
      </w:r>
      <w:r>
        <w:t xml:space="preserve">widget palette → drop on grid → inspector (metric picker with searchable dictionary incl. descriptions, dimension/filter controls constrained per registry, tier flag auto-set, target bands editor); as-viewer preview (FR-15); unsaved-changes guard; TV config panel with a live preview.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Exports/schedules:</w:t>
      </w:r>
      <w:r>
        <w:t xml:space="preserve"> </w:t>
      </w:r>
      <w:r>
        <w:t xml:space="preserve">progress drawer (async), schedule manager list with next-run, paused-owner warnings (FR-17), delivery history per schedule.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Loading:</w:t>
      </w:r>
      <w:r>
        <w:t xml:space="preserve"> </w:t>
      </w:r>
      <w:r>
        <w:t xml:space="preserve">KPI skeletons, chart shimmer→draw, table skeletons; realtime tiles show a live pulse dot; stale realtime (&gt;10 s) dims with a staleness chip.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Error:</w:t>
      </w:r>
      <w:r>
        <w:t xml:space="preserve"> </w:t>
      </w:r>
      <w:r>
        <w:t xml:space="preserve">aggregate-store degradation → reports serve with a</w:t>
      </w:r>
      <w:r>
        <w:t xml:space="preserve"> </w:t>
      </w:r>
      <w:r>
        <w:t xml:space="preserve">“</w:t>
      </w:r>
      <w:r>
        <w:t xml:space="preserve">data may lag</w:t>
      </w:r>
      <w:r>
        <w:t xml:space="preserve">”</w:t>
      </w:r>
      <w:r>
        <w:t xml:space="preserve"> </w:t>
      </w:r>
      <w:r>
        <w:t xml:space="preserve">banner (never silently stale); export failures with retry + support reference.</w:t>
      </w:r>
    </w:p>
    <w:bookmarkEnd w:id="33"/>
    <w:bookmarkStart w:id="34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Chart grammar: consistent palette per dimension across every chart (a queue keeps its color everywhere in a session); axes labeled with units from the registry; time axes in tenant timezone labeled; heatmap hour×day with weekday localization.</w:t>
      </w:r>
    </w:p>
    <w:p>
      <w:pPr>
        <w:numPr>
          <w:ilvl w:val="0"/>
          <w:numId w:val="1003"/>
        </w:numPr>
        <w:pStyle w:val="Compact"/>
      </w:pPr>
      <w:r>
        <w:t xml:space="preserve">Number formatting: locale-aware, tabular numerals (design-system rule), rates to one decimal, durations humanized with exact-on-hover.</w:t>
      </w:r>
    </w:p>
    <w:p>
      <w:pPr>
        <w:numPr>
          <w:ilvl w:val="0"/>
          <w:numId w:val="1003"/>
        </w:numPr>
        <w:pStyle w:val="Compact"/>
      </w:pPr>
      <w:r>
        <w:t xml:space="preserve">Delta chips: sign+arrow+color, color-blind safe.</w:t>
      </w:r>
    </w:p>
    <w:p>
      <w:pPr>
        <w:numPr>
          <w:ilvl w:val="0"/>
          <w:numId w:val="1003"/>
        </w:numPr>
        <w:pStyle w:val="Compact"/>
      </w:pPr>
      <w:r>
        <w:t xml:space="preserve">Live tiles: distinct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micro-label; TV mode large-type scale tokens, high-contrast variant, no cursor.</w:t>
      </w:r>
    </w:p>
    <w:p>
      <w:pPr>
        <w:numPr>
          <w:ilvl w:val="0"/>
          <w:numId w:val="1003"/>
        </w:numPr>
        <w:pStyle w:val="Compact"/>
      </w:pPr>
      <w:r>
        <w:t xml:space="preserve">Restricted-widget placeholder: lock glyph +</w:t>
      </w:r>
      <w:r>
        <w:t xml:space="preserve"> </w:t>
      </w:r>
      <w:r>
        <w:t xml:space="preserve">“</w:t>
      </w:r>
      <w:r>
        <w:t xml:space="preserve">requires individual-metrics permission</w:t>
      </w:r>
      <w:r>
        <w:t xml:space="preserve">”</w:t>
      </w:r>
      <w:r>
        <w:t xml:space="preserve"> </w:t>
      </w:r>
      <w:r>
        <w:t xml:space="preserve">(never a broken chart).</w:t>
      </w:r>
    </w:p>
    <w:p>
      <w:pPr>
        <w:numPr>
          <w:ilvl w:val="0"/>
          <w:numId w:val="1003"/>
        </w:numPr>
        <w:pStyle w:val="Compact"/>
      </w:pPr>
      <w:r>
        <w:t xml:space="preserve">Responsive: reports phone-readable (KPIs stack, charts simplify to sparklines + table), builder ≥ 1024 px (fat-finger policy), live dashboard tablet+ with the Doc 11 touch fallbacks.</w:t>
      </w:r>
    </w:p>
    <w:p>
      <w:pPr>
        <w:numPr>
          <w:ilvl w:val="0"/>
          <w:numId w:val="1003"/>
        </w:numPr>
        <w:pStyle w:val="Compact"/>
      </w:pPr>
      <w:r>
        <w:t xml:space="preserve">Dark/light; reduced-motion (no live pulses, static deltas); print styles for report pages.</w:t>
      </w:r>
    </w:p>
    <w:bookmarkEnd w:id="34"/>
    <w:bookmarkStart w:id="35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Registry: code-defined metric classes (key, metadata, an aggregate-query builder, a drill-down query builder, fixture refs) — the single implementation each consumer calls; CI asserts every registered key has fixtures and every rendered metric traces to a registry call (BR-01 gates).</w:t>
      </w:r>
      <w:r>
        <w:t xml:space="preserve"> </w:t>
      </w:r>
      <w:r>
        <w:t xml:space="preserve">T-02 Projection: Horizon consumers per family on the Doc 01 stream → idempotent hourly upserts (</w:t>
      </w:r>
      <w:r>
        <w:rPr>
          <w:rStyle w:val="VerbatimChar"/>
        </w:rPr>
        <w:t xml:space="preserve">ON CONFLICT</w:t>
      </w:r>
      <w:r>
        <w:t xml:space="preserve"> </w:t>
      </w:r>
      <w:r>
        <w:t xml:space="preserve">accumulate with event-id dedupe sets per bucket in Redis, spilled to a processed-ids table for replay safety); monthly rollup job layers long-range performance; late-event correction re-runs touched buckets (FR-04).</w:t>
      </w:r>
      <w:r>
        <w:t xml:space="preserve"> </w:t>
      </w:r>
      <w:r>
        <w:t xml:space="preserve">T-03 Realtime: the same consumers increment Redis structures (counters, ZSETs) with TTL’d correction from periodic truth-syncs (Doc 11’s queue state read directly rather than duplicated); Reverb channel</w:t>
      </w:r>
      <w:r>
        <w:t xml:space="preserve"> </w:t>
      </w:r>
      <w:r>
        <w:rPr>
          <w:rStyle w:val="VerbatimChar"/>
        </w:rPr>
        <w:t xml:space="preserve">tenant.{id}.supervisor</w:t>
      </w:r>
      <w:r>
        <w:t xml:space="preserve"> </w:t>
      </w:r>
      <w:r>
        <w:t xml:space="preserve">per Doc 07’s protocol.</w:t>
      </w:r>
      <w:r>
        <w:t xml:space="preserve"> </w:t>
      </w:r>
      <w:r>
        <w:t xml:space="preserve">T-04 Query layer: report/page/dashboard/API/export all call</w:t>
      </w:r>
      <w:r>
        <w:t xml:space="preserve"> </w:t>
      </w:r>
      <w:r>
        <w:rPr>
          <w:rStyle w:val="VerbatimChar"/>
        </w:rPr>
        <w:t xml:space="preserve">MetricQuery(key, range, grain, dims, filters, viewer)</w:t>
      </w:r>
      <w:r>
        <w:t xml:space="preserve"> </w:t>
      </w:r>
      <w:r>
        <w:t xml:space="preserve">— viewer carries Doc 03 scope + the per-agent gate; scope application happens in the builder (indexed dimension predicates), never post-filtering in PHP.</w:t>
      </w:r>
      <w:r>
        <w:t xml:space="preserve"> </w:t>
      </w:r>
      <w:r>
        <w:t xml:space="preserve">T-05 Exports: Browsershot renders report routes in an export mode (server-side session with the requester’s frozen scope token); Excel via Laravel Excel streaming writers; schedule runner on the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queue with the FR-17 owner-scope freeze implemented as a stored scope snapshot validated at run (owner still active + still holds the permissions → else pause).</w:t>
      </w:r>
      <w:r>
        <w:t xml:space="preserve"> </w:t>
      </w:r>
      <w:r>
        <w:t xml:space="preserve">T-06 Drift tooling: the nightly sampler (FR-06), the golden-fixture CI suite (Docs 06/12 shared corpora executed through T-01 builders), and a</w:t>
      </w:r>
      <w:r>
        <w:t xml:space="preserve"> </w:t>
      </w:r>
      <w:r>
        <w:rPr>
          <w:rStyle w:val="VerbatimChar"/>
        </w:rPr>
        <w:t xml:space="preserve">rebuild {metric} {range}</w:t>
      </w:r>
      <w:r>
        <w:t xml:space="preserve"> </w:t>
      </w:r>
      <w:r>
        <w:t xml:space="preserve">operator command (Doc 18 runbook).</w:t>
      </w:r>
      <w:r>
        <w:t xml:space="preserve"> </w:t>
      </w:r>
      <w:r>
        <w:t xml:space="preserve">T-07 Dashboard storage: layout + widget configs jsonb validated against the registry at save and at render (a metric deprecated later renders the widget in a</w:t>
      </w:r>
      <w:r>
        <w:t xml:space="preserve"> </w:t>
      </w:r>
      <w:r>
        <w:t xml:space="preserve">“</w:t>
      </w:r>
      <w:r>
        <w:t xml:space="preserve">needs update</w:t>
      </w:r>
      <w:r>
        <w:t xml:space="preserve">”</w:t>
      </w:r>
      <w:r>
        <w:t xml:space="preserve"> </w:t>
      </w:r>
      <w:r>
        <w:t xml:space="preserve">state with the replacement suggested).</w:t>
      </w:r>
      <w:r>
        <w:t xml:space="preserve"> </w:t>
      </w:r>
      <w:r>
        <w:t xml:space="preserve">T-08 Contract tests: dictionary formula fixtures per metric (golden inputs → exact values), exclusion enforcement (spam/test corpora produce zero deltas), scope duality (FR-08/15 matrices), the honest-triad companion rule, per-agent gate uniformity across all seven surfaces (BR-04 list), live-vs-historical tier separation, late-event correction, TV-mode privilege absence.</w:t>
      </w:r>
    </w:p>
    <w:p>
      <w:pPr>
        <w:pStyle w:val="BodyText"/>
      </w:pPr>
      <w:r>
        <w:rPr>
          <w:bCs/>
          <w:b/>
        </w:rPr>
        <w:t xml:space="preserve">Data flow (text diagram):</w:t>
      </w:r>
    </w:p>
    <w:p>
      <w:pPr>
        <w:pStyle w:val="SourceCode"/>
      </w:pPr>
      <w:r>
        <w:rPr>
          <w:rStyle w:val="VerbatimChar"/>
        </w:rPr>
        <w:t xml:space="preserve">Doc 01 event stream ──► family projectors</w:t>
      </w:r>
      <w:r>
        <w:br/>
      </w:r>
      <w:r>
        <w:rPr>
          <w:rStyle w:val="VerbatimChar"/>
        </w:rPr>
        <w:t xml:space="preserve">   ├─ hourly aggregates (idempotent upserts; late-event corrections; monthly rollups)</w:t>
      </w:r>
      <w:r>
        <w:br/>
      </w:r>
      <w:r>
        <w:rPr>
          <w:rStyle w:val="VerbatimChar"/>
        </w:rPr>
        <w:t xml:space="preserve">   └─ realtime Redis (counters/ZSET reads) ──► Reverb ──► live dashboard</w:t>
      </w:r>
      <w:r>
        <w:br/>
      </w:r>
      <w:r>
        <w:rPr>
          <w:rStyle w:val="VerbatimChar"/>
        </w:rPr>
        <w:t xml:space="preserve">consumers (pages · dashboards · exports · schedules · API · digests)</w:t>
      </w:r>
      <w:r>
        <w:br/>
      </w:r>
      <w:r>
        <w:rPr>
          <w:rStyle w:val="VerbatimChar"/>
        </w:rPr>
        <w:t xml:space="preserve">   └──► MetricQuery(registry key, …, viewer{scope, gates}) ──► one truth</w:t>
      </w:r>
      <w:r>
        <w:br/>
      </w:r>
      <w:r>
        <w:rPr>
          <w:rStyle w:val="VerbatimChar"/>
        </w:rPr>
        <w:t xml:space="preserve">nightly sampler + golden fixtures + rebuild command = integrity net</w:t>
      </w:r>
    </w:p>
    <w:bookmarkEnd w:id="35"/>
    <w:bookmarkStart w:id="36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Scope enforcement in the query builder (T-04) with the Doc 03 fixtures reused; the API (FR-18) and exports (T-05) share it — no consumer-side filtering.</w:t>
      </w:r>
      <w:r>
        <w:t xml:space="preserve"> </w:t>
      </w:r>
      <w:r>
        <w:t xml:space="preserve">SEC-02 The per-agent gate (BR-04) is asserted across all seven surfaces by the T-08 uniformity test; drill-downs from team aggregates elide agent columns for unentitled viewers.</w:t>
      </w:r>
      <w:r>
        <w:t xml:space="preserve"> </w:t>
      </w:r>
      <w:r>
        <w:t xml:space="preserve">SEC-03 Exports watermarked + audited with full parameters (Doc 17); scheduled exports carry the owner-scope freeze (FR-17) preventing privilege time-travel.</w:t>
      </w:r>
      <w:r>
        <w:t xml:space="preserve"> </w:t>
      </w:r>
      <w:r>
        <w:t xml:space="preserve">SEC-04 TV mode sessions are display-only tokens (no mutation endpoints authorized) — a lobby screen is not an attack surface; restricted widgets stay placeholders in TV.</w:t>
      </w:r>
      <w:r>
        <w:t xml:space="preserve"> </w:t>
      </w:r>
      <w:r>
        <w:t xml:space="preserve">SEC-05 Realtime channels re-authorize on subscribe per Doc 07 SEC-01; supervisor-feed alerts elide out-of-scope object details (names →</w:t>
      </w:r>
      <w:r>
        <w:t xml:space="preserve"> </w:t>
      </w:r>
      <w:r>
        <w:t xml:space="preserve">“</w:t>
      </w:r>
      <w:r>
        <w:t xml:space="preserve">a ticket in Payments</w:t>
      </w:r>
      <w:r>
        <w:t xml:space="preserve">”</w:t>
      </w:r>
      <w:r>
        <w:t xml:space="preserve"> </w:t>
      </w:r>
      <w:r>
        <w:t xml:space="preserve">pattern where scope lacks).</w:t>
      </w:r>
      <w:r>
        <w:t xml:space="preserve"> </w:t>
      </w:r>
      <w:r>
        <w:t xml:space="preserve">SEC-06 Cost/spend metrics (</w:t>
      </w:r>
      <w:r>
        <w:rPr>
          <w:rStyle w:val="VerbatimChar"/>
        </w:rPr>
        <w:t xml:space="preserve">ai cost</w:t>
      </w:r>
      <w:r>
        <w:t xml:space="preserve">, SMS cost) are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-gated per Doc 14 SEC-06 alignment; rate-card details remain in their owning admin screens.</w:t>
      </w:r>
    </w:p>
    <w:bookmarkEnd w:id="36"/>
    <w:bookmarkStart w:id="37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NFR-01–05 under L2 plus a TV rotation and 20 dashboards auto-refreshing; aggregate queries hit composite indexes ((tenant, metric, bucket) + dimension partials for the hot dimensions).</w:t>
      </w:r>
    </w:p>
    <w:p>
      <w:pPr>
        <w:numPr>
          <w:ilvl w:val="0"/>
          <w:numId w:val="1004"/>
        </w:numPr>
        <w:pStyle w:val="Compact"/>
      </w:pPr>
      <w:r>
        <w:t xml:space="preserve">Projector throughput ≥ 500 events/s platform with lag alerting per NFR-03.</w:t>
      </w:r>
    </w:p>
    <w:p>
      <w:pPr>
        <w:numPr>
          <w:ilvl w:val="0"/>
          <w:numId w:val="1004"/>
        </w:numPr>
        <w:pStyle w:val="Compact"/>
      </w:pPr>
      <w:r>
        <w:t xml:space="preserve">Builder metric search ≤ 50 ms over the full registry.</w:t>
      </w:r>
    </w:p>
    <w:p>
      <w:pPr>
        <w:numPr>
          <w:ilvl w:val="0"/>
          <w:numId w:val="1004"/>
        </w:numPr>
        <w:pStyle w:val="Compact"/>
      </w:pPr>
      <w:r>
        <w:t xml:space="preserve">Reconciliation sampler ≤ 10 min nightly window; full single-metric month rebuild ≤ 15 min.</w:t>
      </w:r>
    </w:p>
    <w:p>
      <w:pPr>
        <w:numPr>
          <w:ilvl w:val="0"/>
          <w:numId w:val="1004"/>
        </w:numPr>
        <w:pStyle w:val="Compact"/>
      </w:pPr>
      <w:r>
        <w:t xml:space="preserve">Realtime memory budget: ≤ 20 MB Redis per active tenant for the live window.</w:t>
      </w:r>
    </w:p>
    <w:bookmarkEnd w:id="37"/>
    <w:bookmarkStart w:id="38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Charts ship with data-table alternatives (toggle per widget, exports always tabular); trends described in accessible summaries (</w:t>
      </w:r>
      <w:r>
        <w:t xml:space="preserve">“</w:t>
      </w:r>
      <w:r>
        <w:t xml:space="preserve">FRT down 12% vs last week</w:t>
      </w:r>
      <w:r>
        <w:t xml:space="preserve">”</w:t>
      </w:r>
      <w:r>
        <w:t xml:space="preserve">); delta chips text+symbol; live regions announce alert-feed additions politely with batching; TV mode’s large-type meets contrast at distance-viewing sizes; the builder’s drag/resize has keyboard equivalents (grid position controls); formula hovers are focusable disclosures; heatmaps expose row/column headers programmatically; all filter controls labeled; drill-down slide-overs follow Doc 07’s focus rules.</w:t>
      </w:r>
    </w:p>
    <w:bookmarkEnd w:id="38"/>
    <w:bookmarkStart w:id="39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Metric labels/descriptions i18n (en + am) with the stable keys alongside in exports (FR-16); dates/numbers/durations per locale in tenant timezone with explicit labels; weekday/heatmap localization; digest and anomaly text localized per recipient (Doc 09 §14 alignment); report page titles and family names localized; schedule times displayed in tenant timezone with the recipient’s local-time hint; currency display per Doc 14 §14 rules for cost metrics.</w:t>
      </w:r>
    </w:p>
    <w:bookmarkEnd w:id="39"/>
    <w:bookmarkStart w:id="40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Timezone-DST tenants: hourly buckets are UTC; presentation maps to tenant timezone (a</w:t>
      </w:r>
      <w:r>
        <w:t xml:space="preserve"> </w:t>
      </w:r>
      <w:r>
        <w:t xml:space="preserve">“</w:t>
      </w:r>
      <w:r>
        <w:t xml:space="preserve">25-hour day</w:t>
      </w:r>
      <w:r>
        <w:t xml:space="preserve">”</w:t>
      </w:r>
      <w:r>
        <w:t xml:space="preserve"> </w:t>
      </w:r>
      <w:r>
        <w:t xml:space="preserve">renders honestly on transition dates; fixtures include them — Doc 06 R-03 family).</w:t>
      </w:r>
      <w:r>
        <w:t xml:space="preserve"> </w:t>
      </w:r>
      <w:r>
        <w:t xml:space="preserve">EC-02 A ticket merged (Doc 06 FR-20): source’s metrics contribution follows the merge contract (one body of work — merged tickets excluded from resolved-counts as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, contacts still counted; the registry documents it and the Doc 06 SS-02 scenario reconciles).</w:t>
      </w:r>
      <w:r>
        <w:t xml:space="preserve"> </w:t>
      </w:r>
      <w:r>
        <w:t xml:space="preserve">EC-03 Spam unmarked on day 6 (Doc 06 FR-09) → the restoration event triggers bucket corrections (FR-04’s late-event path) — the AC-06 contract from Doc 06 lands here mechanically.</w:t>
      </w:r>
      <w:r>
        <w:t xml:space="preserve"> </w:t>
      </w:r>
      <w:r>
        <w:t xml:space="preserve">EC-04 An agent moves teams mid-month → dimensional attribution follows the event-time team (historical truth), not current membership; the team report’s hover states this.</w:t>
      </w:r>
      <w:r>
        <w:t xml:space="preserve"> </w:t>
      </w:r>
      <w:r>
        <w:t xml:space="preserve">EC-05 A dashboard shared to a role later losing report permissions → viewers get the restricted placeholder page (never stale cached data); the owner sees a share-health warning.</w:t>
      </w:r>
      <w:r>
        <w:t xml:space="preserve"> </w:t>
      </w:r>
      <w:r>
        <w:t xml:space="preserve">EC-06 Deprecated metric in an old scheduled export → schedule pauses with the needs-update state (T-07) and an owner notification — silent formula swaps are prohibited (keys never repurposed, FR-03).</w:t>
      </w:r>
      <w:r>
        <w:t xml:space="preserve"> </w:t>
      </w:r>
      <w:r>
        <w:t xml:space="preserve">EC-07 A 10k+ drill-down (FR-08 cap) → capped list +</w:t>
      </w:r>
      <w:r>
        <w:t xml:space="preserve"> </w:t>
      </w:r>
      <w:r>
        <w:t xml:space="preserve">“</w:t>
      </w:r>
      <w:r>
        <w:t xml:space="preserve">export the full set</w:t>
      </w:r>
      <w:r>
        <w:t xml:space="preserve">”</w:t>
      </w:r>
      <w:r>
        <w:t xml:space="preserve"> </w:t>
      </w:r>
      <w:r>
        <w:t xml:space="preserve">path with the async pipeline; the cap is stated, not silent truncation.</w:t>
      </w:r>
      <w:r>
        <w:t xml:space="preserve"> </w:t>
      </w:r>
      <w:r>
        <w:t xml:space="preserve">EC-08 Realtime counter drift (missed decrement) → the periodic truth-sync (T-03) corrects within its interval; the live label’s approximate-by-contract framing (FR-05) makes this honest by design.</w:t>
      </w:r>
      <w:r>
        <w:t xml:space="preserve"> </w:t>
      </w:r>
      <w:r>
        <w:t xml:space="preserve">EC-09 Two comparison periods spanning a calendar change (Doc 12 EC-05 family) → business-hours variants compute each period against its own effective calendar snapshot lineage; the hover names both calendars when they differ.</w:t>
      </w:r>
      <w:r>
        <w:t xml:space="preserve"> </w:t>
      </w:r>
      <w:r>
        <w:t xml:space="preserve">EC-10 An export requested seconds before the requester’s permission removal → T-05’s at-run validation (schedules) and the synchronous check (one-off) both re-verify; the race window is one job-pickup, documented.</w:t>
      </w:r>
      <w:r>
        <w:t xml:space="preserve"> </w:t>
      </w:r>
      <w:r>
        <w:t xml:space="preserve">EC-11 Widget filter references a deleted queue (Doc 11 FR-18) → renders with a</w:t>
      </w:r>
      <w:r>
        <w:t xml:space="preserve"> </w:t>
      </w:r>
      <w:r>
        <w:t xml:space="preserve">“</w:t>
      </w:r>
      <w:r>
        <w:t xml:space="preserve">filter references removed queue</w:t>
      </w:r>
      <w:r>
        <w:t xml:space="preserve">”</w:t>
      </w:r>
      <w:r>
        <w:t xml:space="preserve"> </w:t>
      </w:r>
      <w:r>
        <w:t xml:space="preserve">chip and the unfiltered-safe behavior (empty result, not silent broadening).</w:t>
      </w:r>
      <w:r>
        <w:t xml:space="preserve"> </w:t>
      </w:r>
      <w:r>
        <w:t xml:space="preserve">EC-12 Leaderboard ties → deterministic secondary sort (metric value, then alphabetical) — petty, but disputes about rank #3 are real; documented.</w:t>
      </w:r>
    </w:p>
    <w:bookmarkEnd w:id="40"/>
    <w:bookmarkStart w:id="41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Projector down → aggregates lag (banner per §8), realtime degrades to truth-sync cadence; catch-up from the event backlog with late-event corrections; the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badge withholds until the nightly sampler passes post-recovery.</w:t>
      </w:r>
      <w:r>
        <w:t xml:space="preserve"> </w:t>
      </w:r>
      <w:r>
        <w:t xml:space="preserve">FS-02 Aggregate store degraded → reports serve last-good with the lag banner; the live dashboard (independent tier) keeps the floor running — the two-speed design as resilience.</w:t>
      </w:r>
      <w:r>
        <w:t xml:space="preserve"> </w:t>
      </w:r>
      <w:r>
        <w:t xml:space="preserve">FS-03 Redis realtime loss → tiles rebuild from truth-syncs (≤ interval staleness); Doc 11’s own rebuild (its FS-01) restores queue depths; supervisors see the degraded banner throughout.</w:t>
      </w:r>
      <w:r>
        <w:t xml:space="preserve"> </w:t>
      </w:r>
      <w:r>
        <w:t xml:space="preserve">FS-04 Export renderer failure (Browsershot crash) → retry ×2 then failure notice with reference; scheduled failures alert the owner and don’t skip silently (delivery history shows the gap).</w:t>
      </w:r>
      <w:r>
        <w:t xml:space="preserve"> </w:t>
      </w:r>
      <w:r>
        <w:t xml:space="preserve">FS-05 A registry deploy error (metric class exception) → that metric’s surfaces render an error card (isolated), everything else unaffected (per-metric isolation in T-01’s design); alert with the key name.</w:t>
      </w:r>
    </w:p>
    <w:bookmarkEnd w:id="41"/>
    <w:bookmarkStart w:id="42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The Doc 06 SS-01 lifecycle reconciles end-to-end: the golden fixture’s ticket produces exactly the FRT/resolution/SLA/CSAT values in every surface — page, dashboard, export, API — in CI and in staging.</w:t>
      </w:r>
      <w:r>
        <w:t xml:space="preserve"> </w:t>
      </w:r>
      <w:r>
        <w:t xml:space="preserve">SS-02 Match-night on the live board: depth spikes, two pull-ins, one breach saved at the warning (the warned→save metric ticks), and the next morning’s historical report tells the same story the supervisors lived — no gaslighting gap between live and historical.</w:t>
      </w:r>
      <w:r>
        <w:t xml:space="preserve"> </w:t>
      </w:r>
      <w:r>
        <w:t xml:space="preserve">SS-03 A number dispute (</w:t>
      </w:r>
      <w:r>
        <w:t xml:space="preserve">“</w:t>
      </w:r>
      <w:r>
        <w:t xml:space="preserve">your FRT is wrong</w:t>
      </w:r>
      <w:r>
        <w:t xml:space="preserve">”</w:t>
      </w:r>
      <w:r>
        <w:t xml:space="preserve">) dies in five minutes: hover-formula → drill-down → three tickets with odd timestamps → one was a merged duplicate behaving per EC-02 — explained, documented, closed.</w:t>
      </w:r>
      <w:r>
        <w:t xml:space="preserve"> </w:t>
      </w:r>
      <w:r>
        <w:t xml:space="preserve">SS-04 The operator runs their monthly business review entirely off two shared dashboards and one scheduled PDF — no spreadsheet archaeology.</w:t>
      </w:r>
    </w:p>
    <w:bookmarkEnd w:id="42"/>
    <w:bookmarkStart w:id="43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Golden-fixture parity: the shared Doc 06/12 corpora produce exact dictionary values across page, dashboard widget, export, and API (four-surface parity test per metric family).</w:t>
      </w:r>
      <w:r>
        <w:t xml:space="preserve"> </w:t>
      </w:r>
      <w:r>
        <w:t xml:space="preserve">AC-02 Exclusions: spam mark/unmark (EC-03) and sandbox corpora produce the specified zero/corrected deltas platform-wide (NFR-07 single-point enforcement verified by attempting per-report bypass in test).</w:t>
      </w:r>
      <w:r>
        <w:t xml:space="preserve"> </w:t>
      </w:r>
      <w:r>
        <w:t xml:space="preserve">AC-03 Scope duality: FR-08/FR-15 matrices (All-scope vs Department-scope viewers on shared dashboards and drill-downs) exact-set verified with Doc 03 fixtures.</w:t>
      </w:r>
      <w:r>
        <w:t xml:space="preserve"> </w:t>
      </w:r>
      <w:r>
        <w:t xml:space="preserve">AC-04 Per-agent gate uniformity: the BR-04 seven-surface list swept with an unentitled principal — zero individual metrics anywhere (incl. TV, exports, API, drill-down columns).</w:t>
      </w:r>
      <w:r>
        <w:t xml:space="preserve"> </w:t>
      </w:r>
      <w:r>
        <w:t xml:space="preserve">AC-05 Tier separation: builder cannot produce a mixed-tier widget; live labels present; exports contain no live-tier values.</w:t>
      </w:r>
      <w:r>
        <w:t xml:space="preserve"> </w:t>
      </w:r>
      <w:r>
        <w:t xml:space="preserve">AC-06 Late events &amp; corrections: replay fixtures (delayed resolution events, spam restoration) converge buckets to truth ≤ one correction cycle.</w:t>
      </w:r>
      <w:r>
        <w:t xml:space="preserve"> </w:t>
      </w:r>
      <w:r>
        <w:t xml:space="preserve">AC-07 Live dashboard: event→tile ≤ 2 s p95 under L2 (shared measurement with Doc 07 AC-07 harness); all Doc 11 interactions round-trip with their owning-module assertions.</w:t>
      </w:r>
      <w:r>
        <w:t xml:space="preserve"> </w:t>
      </w:r>
      <w:r>
        <w:t xml:space="preserve">AC-08 Honest triad: an AI-resolution-rate widget without its companions is unbuildable (registry rule) and un-renderable (defense in depth).</w:t>
      </w:r>
      <w:r>
        <w:t xml:space="preserve"> </w:t>
      </w:r>
      <w:r>
        <w:t xml:space="preserve">AC-09 Exports &amp; schedules: watermark/audit/parameters complete; owner-scope freeze incl. the pause-on-deactivation and EC-10 races; 100k-row Excel within NFR-05.</w:t>
      </w:r>
      <w:r>
        <w:t xml:space="preserve"> </w:t>
      </w:r>
      <w:r>
        <w:t xml:space="preserve">AC-10 Integrity net: nightly sampler zero-drift over a 7-day staging soak; the rebuild command restores a deliberately corrupted metric-month to fixture truth.</w:t>
      </w:r>
    </w:p>
    <w:bookmarkEnd w:id="43"/>
    <w:bookmarkStart w:id="44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Volume forecasting (feeds Doc 11 §19 staffing suggestions) atop the aggregate history.</w:t>
      </w:r>
    </w:p>
    <w:p>
      <w:pPr>
        <w:numPr>
          <w:ilvl w:val="0"/>
          <w:numId w:val="1005"/>
        </w:numPr>
        <w:pStyle w:val="Compact"/>
      </w:pPr>
      <w:r>
        <w:t xml:space="preserve">Cohort analyses (customer lifetime contact patterns) under the same dictionary governance.</w:t>
      </w:r>
    </w:p>
    <w:p>
      <w:pPr>
        <w:numPr>
          <w:ilvl w:val="0"/>
          <w:numId w:val="1005"/>
        </w:numPr>
        <w:pStyle w:val="Compact"/>
      </w:pPr>
      <w:r>
        <w:t xml:space="preserve">External BI connector (read-only warehouse credentials / scheduled Parquet drops) — the registry’s stable keys are the export schema.</w:t>
      </w:r>
    </w:p>
    <w:p>
      <w:pPr>
        <w:numPr>
          <w:ilvl w:val="0"/>
          <w:numId w:val="1005"/>
        </w:numPr>
        <w:pStyle w:val="Compact"/>
      </w:pPr>
      <w:r>
        <w:t xml:space="preserve">QA-module scorecards (the deferred QA wave) as a ninth family with Doc 09’s pre-scores as one input.</w:t>
      </w:r>
    </w:p>
    <w:p>
      <w:pPr>
        <w:numPr>
          <w:ilvl w:val="0"/>
          <w:numId w:val="1005"/>
        </w:numPr>
        <w:pStyle w:val="Compact"/>
      </w:pPr>
      <w:r>
        <w:t xml:space="preserve">Custom calculated metrics (operator-defined formulas over registry keys) — sandboxed expression language, governance-gated.</w:t>
      </w:r>
    </w:p>
    <w:p>
      <w:pPr>
        <w:numPr>
          <w:ilvl w:val="0"/>
          <w:numId w:val="1005"/>
        </w:numPr>
        <w:pStyle w:val="Compact"/>
      </w:pPr>
      <w:r>
        <w:t xml:space="preserve">Alerting rules on historical metrics (</w:t>
      </w:r>
      <w:r>
        <w:t xml:space="preserve">“</w:t>
      </w:r>
      <w:r>
        <w:t xml:space="preserve">email me if weekly CSAT &lt; 4.0</w:t>
      </w:r>
      <w:r>
        <w:t xml:space="preserve">”</w:t>
      </w:r>
      <w:r>
        <w:t xml:space="preserve">) reusing the Doc 12 engine’s shape against aggregate events.</w:t>
      </w:r>
    </w:p>
    <w:bookmarkEnd w:id="44"/>
    <w:bookmarkStart w:id="45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Metric sprawl and dueling definitions (High likelihood — every org’s chronic disease) → the registry + change control + BR-01’s build gates are the entire defense; the hover-formula habit is the cultural half.</w:t>
      </w:r>
      <w:r>
        <w:t xml:space="preserve"> </w:t>
      </w:r>
      <w:r>
        <w:t xml:space="preserve">R-02 Projection bugs silently corrupting history (High impact) → idempotent upserts, the nightly sampler with zero tolerance (NFR-06), golden fixtures in CI, rebuildability from raw events — four independent nets.</w:t>
      </w:r>
      <w:r>
        <w:t xml:space="preserve"> </w:t>
      </w:r>
      <w:r>
        <w:t xml:space="preserve">R-03 Live-board load spirals (many tabs, TV walls) (Medium/Medium) → read-model reads + Reverb fanout (no per-viewer queries), session budgets (NFR-02), TV display-only tokens.</w:t>
      </w:r>
      <w:r>
        <w:t xml:space="preserve"> </w:t>
      </w:r>
      <w:r>
        <w:t xml:space="preserve">R-04 Surveillance-culture drift via per-agent metrics (Medium/High, human cost) → BR-04’s gate + BR-07’s activity-derivation + leaderboard restraint defaults; the platform ships team-first and documents why (operator onboarding).</w:t>
      </w:r>
      <w:r>
        <w:t xml:space="preserve"> </w:t>
      </w:r>
      <w:r>
        <w:t xml:space="preserve">R-05 Export sprawl as shadow-BI (Medium/Low) → stable keys in exports keep downstream spreadsheets reconcilable; the future BI connector (§19) is the sanctioned pressure valve.</w:t>
      </w:r>
    </w:p>
    <w:bookmarkEnd w:id="45"/>
    <w:bookmarkStart w:id="46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registry + three golden metrics (FRT, SLA attainment, AI resolution triad) through all four surfaces first — the four-surface parity test (AC-01) is the architecture’s proof, and everything else is repetition.</w:t>
      </w:r>
    </w:p>
    <w:p>
      <w:pPr>
        <w:numPr>
          <w:ilvl w:val="0"/>
          <w:numId w:val="1006"/>
        </w:numPr>
        <w:pStyle w:val="Compact"/>
      </w:pPr>
      <w:r>
        <w:t xml:space="preserve">Wire the Doc 06/12 golden fixtures into this module’s CI the same week those modules land; the shared-fixture contract only pays if it runs continuously.</w:t>
      </w:r>
    </w:p>
    <w:p>
      <w:pPr>
        <w:numPr>
          <w:ilvl w:val="0"/>
          <w:numId w:val="1006"/>
        </w:numPr>
        <w:pStyle w:val="Compact"/>
      </w:pPr>
      <w:r>
        <w:t xml:space="preserve">Stand up the nightly sampler and the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badge before operator onboarding — trust in the numbers is easiest to establish when it has never once been broken.</w:t>
      </w:r>
    </w:p>
    <w:p>
      <w:pPr>
        <w:numPr>
          <w:ilvl w:val="0"/>
          <w:numId w:val="1006"/>
        </w:numPr>
        <w:pStyle w:val="Compact"/>
      </w:pPr>
      <w:r>
        <w:t xml:space="preserve">Ship the live dashboard with the Doc 11 routing-record deep links prominent; SS-02’s</w:t>
      </w:r>
      <w:r>
        <w:t xml:space="preserve"> </w:t>
      </w:r>
      <w:r>
        <w:t xml:space="preserve">“</w:t>
      </w:r>
      <w:r>
        <w:t xml:space="preserve">no gap between lived and reported</w:t>
      </w:r>
      <w:r>
        <w:t xml:space="preserve">”</w:t>
      </w:r>
      <w:r>
        <w:t xml:space="preserve"> </w:t>
      </w:r>
      <w:r>
        <w:t xml:space="preserve">experience is what converts supervisors into the platform’s advocates.</w:t>
      </w:r>
    </w:p>
    <w:p>
      <w:pPr>
        <w:numPr>
          <w:ilvl w:val="0"/>
          <w:numId w:val="1006"/>
        </w:numPr>
        <w:pStyle w:val="Compact"/>
      </w:pPr>
      <w:r>
        <w:t xml:space="preserve">Hold BR-04 and BR-07 against pressure permanently — the day the platform becomes an agent-surveillance tool, operators will use it as one, and both agent trust and data honesty (gamed metrics) die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15. Next in series: Document 16 — White-Label, Settings &amp; Feature Flags.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2026-07-27T06:53:54Z</dcterms:created>
  <dcterms:modified xsi:type="dcterms:W3CDTF">2026-07-27T06:53:54Z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