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5" w:name="X12a47dd8790f5f085321805516501e2bac54225"/>
    <w:p>
      <w:pPr>
        <w:pStyle w:val="Heading1"/>
      </w:pPr>
      <w:r>
        <w:t xml:space="preserve">Document 16 — White-Label, Settings &amp; Feature Flags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16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Backend engineers, frontend engineers, designers, QA, product, operator admins, platform owner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01 (settings engine T-04, tenancy, i18n plumbing, feature-flag registry FR-11), Doc 02 (auth screens theming, email deliverability), Doc 03 (permissions</w:t>
      </w:r>
      <w:r>
        <w:t xml:space="preserve"> </w:t>
      </w:r>
      <w:r>
        <w:rPr>
          <w:rStyle w:val="VerbatimChar"/>
        </w:rPr>
        <w:t xml:space="preserve">settings.*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features.toggle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languages.manage</w:t>
      </w:r>
      <w:r>
        <w:t xml:space="preserve">), Doc 09 (persona identity slots), Doc 13 (widget theming reuse of the validator). Consumed by: every module (themes, strings, flags, notification delivery); Doc 17 (audit of every change here); Doc 18 (email/SMS sender infrastructure).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Laravel (Pennant tenant-scoped flags), Redis-cached theme/config JSON, CSS custom properties, DB-backed translation manager, S3 brand assets via Doc 04 media pipeline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three subsystems that make the platform an operator’s own product rather than a vendor’s tool: (1) the</w:t>
      </w:r>
      <w:r>
        <w:t xml:space="preserve"> </w:t>
      </w:r>
      <w:r>
        <w:rPr>
          <w:bCs/>
          <w:b/>
        </w:rPr>
        <w:t xml:space="preserve">White-Label system</w:t>
      </w:r>
      <w:r>
        <w:t xml:space="preserve"> </w:t>
      </w:r>
      <w:r>
        <w:t xml:space="preserve">— a versioned theme layer (names, logos, favicon, colors with enforced contrast validation, fonts, login page, email and notification templates, chat-widget branding hand-off, AI-assistant identity hand-off, copyright/footer/legal links, sender identities) with draft → preview → publish → instant rollback, applied at runtime so one deployment serves every brand with</w:t>
      </w:r>
      <w:r>
        <w:t xml:space="preserve"> </w:t>
      </w:r>
      <w:r>
        <w:rPr>
          <w:bCs/>
          <w:b/>
        </w:rPr>
        <w:t xml:space="preserve">nothing hardcoded</w:t>
      </w:r>
      <w:r>
        <w:t xml:space="preserve"> </w:t>
      </w:r>
      <w:r>
        <w:t xml:space="preserve">— a claim enforced by a CI string-lint build gate; (2) the</w:t>
      </w:r>
      <w:r>
        <w:t xml:space="preserve"> </w:t>
      </w:r>
      <w:r>
        <w:rPr>
          <w:bCs/>
          <w:b/>
        </w:rPr>
        <w:t xml:space="preserve">Settings system</w:t>
      </w:r>
      <w:r>
        <w:t xml:space="preserve"> </w:t>
      </w:r>
      <w:r>
        <w:t xml:space="preserve">— the operator-facing surface of Doc 01’s settings engine, organized into a coherent Backoffice (business hours source links, languages, timezones, file limits, session/password policy, notification preferences with per-user and role-default layers, SLA/auto-close cross-links, and the full registry of every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key the other 18 documents declared), each setting typed, validated, provenance-stamped, and audited; and (3)</w:t>
      </w:r>
      <w:r>
        <w:t xml:space="preserve"> </w:t>
      </w:r>
      <w:r>
        <w:rPr>
          <w:bCs/>
          <w:b/>
        </w:rPr>
        <w:t xml:space="preserve">Feature Flags</w:t>
      </w:r>
      <w:r>
        <w:t xml:space="preserve"> </w:t>
      </w:r>
      <w:r>
        <w:t xml:space="preserve">— the Pennant-backed per-tenant module switches (Telegram, Live Chat, SMS, AI Chatbot, AI Copilot, KB, Reports, Surveys, File Uploads, Voice, Translation, SLA, Automation, and every flag other documents registered) with dependency awareness, blast-radius confirmation, and no-deploy toggling. It also specifies the</w:t>
      </w:r>
      <w:r>
        <w:t xml:space="preserve"> </w:t>
      </w:r>
      <w:r>
        <w:rPr>
          <w:bCs/>
          <w:b/>
        </w:rPr>
        <w:t xml:space="preserve">translation manager</w:t>
      </w:r>
      <w:r>
        <w:t xml:space="preserve"> </w:t>
      </w:r>
      <w:r>
        <w:t xml:space="preserve">for operator-editable UI strings and customer-facing template text, and the</w:t>
      </w:r>
      <w:r>
        <w:t xml:space="preserve"> </w:t>
      </w:r>
      <w:r>
        <w:rPr>
          <w:bCs/>
          <w:b/>
        </w:rPr>
        <w:t xml:space="preserve">notification preference model</w:t>
      </w:r>
      <w:r>
        <w:t xml:space="preserve"> </w:t>
      </w:r>
      <w:r>
        <w:t xml:space="preserve">that Docs 06/07/12/15 route deliveries through. Everything here is configuration-as-data with the platform’s standard honesty: previewed before published, versioned after, audited forever.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Deliver the master requirement</w:t>
      </w:r>
      <w:r>
        <w:t xml:space="preserve"> </w:t>
      </w:r>
      <w:r>
        <w:t xml:space="preserve">“</w:t>
      </w:r>
      <w:r>
        <w:t xml:space="preserve">no code changes for branding, permissions, channels, AI behavior, workflows, forms, notifications, or settings</w:t>
      </w:r>
      <w:r>
        <w:t xml:space="preserve">”</w:t>
      </w:r>
      <w:r>
        <w:t xml:space="preserve"> </w:t>
      </w:r>
      <w:r>
        <w:t xml:space="preserve">as concrete, testable mechanics.</w:t>
      </w:r>
    </w:p>
    <w:p>
      <w:pPr>
        <w:numPr>
          <w:ilvl w:val="0"/>
          <w:numId w:val="1001"/>
        </w:numPr>
        <w:pStyle w:val="Compact"/>
      </w:pPr>
      <w:r>
        <w:t xml:space="preserve">Consolidate every settings key the series declared into one navigable, safe Backoffice rather than nineteen scattered screens.</w:t>
      </w:r>
    </w:p>
    <w:p>
      <w:pPr>
        <w:numPr>
          <w:ilvl w:val="0"/>
          <w:numId w:val="1001"/>
        </w:numPr>
        <w:pStyle w:val="Compact"/>
      </w:pPr>
      <w:r>
        <w:t xml:space="preserve">Make flags honest: a module off is</w:t>
      </w:r>
      <w:r>
        <w:t xml:space="preserve"> </w:t>
      </w:r>
      <w:r>
        <w:rPr>
          <w:iCs/>
          <w:i/>
        </w:rPr>
        <w:t xml:space="preserve">off</w:t>
      </w:r>
      <w:r>
        <w:t xml:space="preserve"> </w:t>
      </w:r>
      <w:r>
        <w:t xml:space="preserve">(navigation, permissions surfaces, API, jobs) with dependencies handled, not a hidden menu item.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theme model, brandable-surface inventory, theme editor with preview/publish/rollback, the contrast/asset validators, sender identities (email from-names/domains hand-off to Doc 18 infrastructure), email/notification template editor, the translation manager (UI-string overrides + customer-facing template text), the Settings information architecture and screen contracts, notification preferences (categories, channels, per-user + role defaults, quiet rules), the feature-flag surface (registry rendering, dependencies, toggling semantics, per-module off-behavior contracts), config export/import (staging rehearsal support per Doc 11 R-05), events &amp; audit hooks.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the settings engine internals (Doc 01 T-04 — this doc is its UI and governance); widget appearance controls (Doc 13 FR-19 — this doc supplies the shared validator and brand tokens it consumes); AI persona content (Doc 09 FR-18 — identity slots referenced here); SMS template bodies (Doc 14); infrastructure DNS/SPF/DKIM execution (Doc 18 — surfaced here as status).</w:t>
      </w:r>
    </w:p>
    <w:bookmarkEnd w:id="22"/>
    <w:bookmarkStart w:id="27" w:name="functional-requirements"/>
    <w:p>
      <w:pPr>
        <w:pStyle w:val="Heading2"/>
      </w:pPr>
      <w:r>
        <w:t xml:space="preserve">4. Functional Requirements</w:t>
      </w:r>
    </w:p>
    <w:bookmarkStart w:id="23" w:name="theme-model-brandable-inventory"/>
    <w:p>
      <w:pPr>
        <w:pStyle w:val="Heading3"/>
      </w:pPr>
      <w:r>
        <w:t xml:space="preserve">4.1 Theme model &amp; brandable inventory</w:t>
      </w:r>
    </w:p>
    <w:p>
      <w:pPr>
        <w:pStyle w:val="FirstParagraph"/>
      </w:pPr>
      <w:r>
        <w:t xml:space="preserve">FR-01 Theme = versioned JSON {company_name, product_name, logos (light/dark, constraints validated: SVG/PNG, ≤ 512 KB, aspect guidance), favicon set (generated from one upload), color tokens (primary, accent, surface adjustments — validated per FR-04), font selection (curated set incl. Inter, Noto Sans Ethiopic; custom font upload deferred §19), login page (background image/color, welcome copy per language), email header/footer (logo, address block, legal footer per language), copyright line, footer links (label+URL pairs, per language), sender identities (email from-name + from-address per purpose: auth, notifications, reports — domain status read from Doc 18), AI assistant identity slots (name/avatar — content edited in Doc 09’s persona screen, referenced here for inventory completeness), widget brand token hand-off (Doc 13 reads the same token set)}.</w:t>
      </w:r>
      <w:r>
        <w:t xml:space="preserve"> </w:t>
      </w:r>
      <w:r>
        <w:t xml:space="preserve">FR-02 Brandable-surface inventory (normative checklist, each themed surface listed with its consuming doc): staff app chrome + login (Doc 02), emails (Doc 02 auth, Doc 12/15 schedules, Doc 16 notifications), chat widget (Doc 13), Telegram persona surfaces (Doc 05/09), SMS sender IDs (Doc 14 — referenced, managed there), exports/watermarks (Docs 04/15), error pages, PDF transcripts (Doc 04). The inventory page renders live thumbnails per surface from the draft theme — the preview IS the checklist.</w:t>
      </w:r>
      <w:r>
        <w:t xml:space="preserve"> </w:t>
      </w:r>
      <w:r>
        <w:t xml:space="preserve">FR-03 Lifecycle: exactly one published theme per tenant + at most one draft; edit → live preview (per-surface thumbnails + full-app preview mode banner</w:t>
      </w:r>
      <w:r>
        <w:t xml:space="preserve"> </w:t>
      </w:r>
      <w:r>
        <w:t xml:space="preserve">“</w:t>
      </w:r>
      <w:r>
        <w:t xml:space="preserve">PREVIEWING DRAFT — visible only to you</w:t>
      </w:r>
      <w:r>
        <w:t xml:space="preserve">”</w:t>
      </w:r>
      <w:r>
        <w:t xml:space="preserve">) → publish (validation gate) → instant propagation (CSS-variable + config-cache swap ≤ 60 s cluster-wide) → version history with one-click rollback (rollback is a publish of a prior version — same pipeline, same audit).</w:t>
      </w:r>
      <w:r>
        <w:t xml:space="preserve"> </w:t>
      </w:r>
      <w:r>
        <w:t xml:space="preserve">FR-04 Validators (publish gates): color contrast (WCAG AA pairs computed across the token matrix; failing combinations block publish with auto-suggested nearest-passing values — the Doc 13 validator is this one, shared); asset constraints (type/size/dimensions); footer-link URLs (https, no javascript:); email templates render-tested (variable resolution + client-safe HTML subset); missing-language completeness warnings (non-blocking for optional surfaces, blocking where a language is customer-enabled — Doc 12/13/14 completeness-gate family).</w:t>
      </w:r>
      <w:r>
        <w:t xml:space="preserve"> </w:t>
      </w:r>
      <w:r>
        <w:t xml:space="preserve">FR-05</w:t>
      </w:r>
      <w:r>
        <w:t xml:space="preserve"> </w:t>
      </w:r>
      <w:r>
        <w:rPr>
          <w:bCs/>
          <w:b/>
        </w:rPr>
        <w:t xml:space="preserve">Nothing-hardcoded enforcement:</w:t>
      </w:r>
      <w:r>
        <w:t xml:space="preserve"> </w:t>
      </w:r>
      <w:r>
        <w:t xml:space="preserve">the CI string-lint (Doc 01 FR-09) fails builds on user-visible literals outside the i18n/theme layer; a release-gate visual sweep renders the surface inventory under a hostile test theme (garish colors, long names, RTL strings) asserting zero unthemed remnants — the</w:t>
      </w:r>
      <w:r>
        <w:t xml:space="preserve"> </w:t>
      </w:r>
      <w:r>
        <w:t xml:space="preserve">“</w:t>
      </w:r>
      <w:r>
        <w:t xml:space="preserve">find the hardcoded blue</w:t>
      </w:r>
      <w:r>
        <w:t xml:space="preserve">”</w:t>
      </w:r>
      <w:r>
        <w:t xml:space="preserve"> </w:t>
      </w:r>
      <w:r>
        <w:t xml:space="preserve">test, automated.</w:t>
      </w:r>
    </w:p>
    <w:bookmarkEnd w:id="23"/>
    <w:bookmarkStart w:id="24" w:name="translation-manager"/>
    <w:p>
      <w:pPr>
        <w:pStyle w:val="Heading3"/>
      </w:pPr>
      <w:r>
        <w:t xml:space="preserve">4.2 Translation manager</w:t>
      </w:r>
    </w:p>
    <w:p>
      <w:pPr>
        <w:pStyle w:val="FirstParagraph"/>
      </w:pPr>
      <w:r>
        <w:t xml:space="preserve">FR-06 Two string classes, one manager: (a)</w:t>
      </w:r>
      <w:r>
        <w:t xml:space="preserve"> </w:t>
      </w:r>
      <w:r>
        <w:rPr>
          <w:bCs/>
          <w:b/>
        </w:rPr>
        <w:t xml:space="preserve">platform UI strings</w:t>
      </w:r>
      <w:r>
        <w:t xml:space="preserve"> </w:t>
      </w:r>
      <w:r>
        <w:t xml:space="preserve">— code-registered keys (the</w:t>
      </w:r>
      <w:r>
        <w:t xml:space="preserve"> </w:t>
      </w:r>
      <w:r>
        <w:rPr>
          <w:rStyle w:val="VerbatimChar"/>
        </w:rPr>
        <w:t xml:space="preserve">auth.*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inbox.*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tickets.*</w:t>
      </w:r>
      <w:r>
        <w:t xml:space="preserve">… namespaces from every doc) shipped in en + am, operator-overridable per key per language (override renders instead of the shipped value; a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badge + reset-to-shipped per key); (b)</w:t>
      </w:r>
      <w:r>
        <w:t xml:space="preserve"> </w:t>
      </w:r>
      <w:r>
        <w:rPr>
          <w:bCs/>
          <w:b/>
        </w:rPr>
        <w:t xml:space="preserve">operator content strings</w:t>
      </w:r>
      <w:r>
        <w:t xml:space="preserve"> </w:t>
      </w:r>
      <w:r>
        <w:t xml:space="preserve">— customer-facing template text the modules registered (bot greetings/templates Doc 05 FR-28, widget welcome Doc 13, CSAT labels Doc 12, RG template Doc 09 [edit gated by</w:t>
      </w:r>
      <w:r>
        <w:t xml:space="preserve"> </w:t>
      </w:r>
      <w:r>
        <w:rPr>
          <w:rStyle w:val="VerbatimChar"/>
        </w:rPr>
        <w:t xml:space="preserve">ai.guardrails.edit</w:t>
      </w:r>
      <w:r>
        <w:t xml:space="preserve">, cross-linked], SMS templates linked out to Doc 14’s own editor). Search across keys/values; filters (namespace, language, modified, missing); missing-translation telemetry (Doc 01 §14) surfaces the actually-hit gaps first.</w:t>
      </w:r>
      <w:r>
        <w:t xml:space="preserve"> </w:t>
      </w:r>
      <w:r>
        <w:t xml:space="preserve">FR-07 Language administration (</w:t>
      </w:r>
      <w:r>
        <w:rPr>
          <w:rStyle w:val="VerbatimChar"/>
        </w:rPr>
        <w:t xml:space="preserve">languages.manage</w:t>
      </w:r>
      <w:r>
        <w:t xml:space="preserve">): enable/disable languages from the Doc 01 reference list; enabling shows the readiness panel (platform strings coverage %, operator-content completeness per module with links); customer-facing enablement is gated per the owning modules’ completeness rules; the default language and fallback chain (Doc 01) are edited here with a plain-language explanation of resolution order.</w:t>
      </w:r>
    </w:p>
    <w:bookmarkEnd w:id="24"/>
    <w:bookmarkStart w:id="25" w:name="settings-backoffice"/>
    <w:p>
      <w:pPr>
        <w:pStyle w:val="Heading3"/>
      </w:pPr>
      <w:r>
        <w:t xml:space="preserve">4.3 Settings Backoffice</w:t>
      </w:r>
    </w:p>
    <w:p>
      <w:pPr>
        <w:pStyle w:val="FirstParagraph"/>
      </w:pPr>
      <w:r>
        <w:t xml:space="preserve">FR-08 Information architecture (the Doc 07-era Backoffice grouping realized; each screen renders registered keys with Doc 01 T-04’s control contract — label, description, typed control, validation, provenance</w:t>
      </w:r>
      <w:r>
        <w:t xml:space="preserve"> </w:t>
      </w:r>
      <w:r>
        <w:t xml:space="preserve">“</w:t>
      </w:r>
      <w:r>
        <w:t xml:space="preserve">changed by X at Y</w:t>
      </w:r>
      <w:r>
        <w:t xml:space="preserve">”</w:t>
      </w:r>
      <w:r>
        <w:t xml:space="preserve">, reset-to-default):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(company/timezone/default language — timezone changes show the Doc 12 EC-10 recompute warning),</w:t>
      </w:r>
      <w:r>
        <w:t xml:space="preserve"> </w:t>
      </w:r>
      <w:r>
        <w:rPr>
          <w:bCs/>
          <w:b/>
        </w:rPr>
        <w:t xml:space="preserve">Business Hours &amp; Holidays</w:t>
      </w:r>
      <w:r>
        <w:t xml:space="preserve"> </w:t>
      </w:r>
      <w:r>
        <w:t xml:space="preserve">(Doc 12’s editor embedded),</w:t>
      </w:r>
      <w:r>
        <w:t xml:space="preserve"> </w:t>
      </w:r>
      <w:r>
        <w:rPr>
          <w:bCs/>
          <w:b/>
        </w:rPr>
        <w:t xml:space="preserve">Languages</w:t>
      </w:r>
      <w:r>
        <w:t xml:space="preserve"> </w:t>
      </w:r>
      <w:r>
        <w:t xml:space="preserve">(FR-07),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(Doc 02’s</w:t>
      </w:r>
      <w:r>
        <w:t xml:space="preserve"> </w:t>
      </w:r>
      <w:r>
        <w:rPr>
          <w:rStyle w:val="VerbatimChar"/>
        </w:rPr>
        <w:t xml:space="preserve">auth.*</w:t>
      </w:r>
      <w:r>
        <w:t xml:space="preserve"> </w:t>
      </w:r>
      <w:r>
        <w:t xml:space="preserve">keys: password policy, 2FA enforcement, session timeouts, IP allowlists, lockout tuning — platform minimums shown as locked floors),</w:t>
      </w:r>
      <w:r>
        <w:t xml:space="preserve"> </w:t>
      </w:r>
      <w:r>
        <w:rPr>
          <w:bCs/>
          <w:b/>
        </w:rPr>
        <w:t xml:space="preserve">Files &amp; Media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media.max_mb</w:t>
      </w:r>
      <w:r>
        <w:t xml:space="preserve">, retention keys with the Doc 04/01 legal-hold notes),</w:t>
      </w:r>
      <w:r>
        <w:t xml:space="preserve"> </w:t>
      </w:r>
      <w:r>
        <w:rPr>
          <w:bCs/>
          <w:b/>
        </w:rPr>
        <w:t xml:space="preserve">Tickets &amp; SLA</w:t>
      </w:r>
      <w:r>
        <w:t xml:space="preserve"> </w:t>
      </w:r>
      <w:r>
        <w:t xml:space="preserve">(auto-close, reopen windows, implicit-claim — cross-links into Doc 12’s SLA policies),</w:t>
      </w:r>
      <w:r>
        <w:t xml:space="preserve"> </w:t>
      </w:r>
      <w:r>
        <w:rPr>
          <w:bCs/>
          <w:b/>
        </w:rPr>
        <w:t xml:space="preserve">Routing</w:t>
      </w:r>
      <w:r>
        <w:t xml:space="preserve"> </w:t>
      </w:r>
      <w:r>
        <w:t xml:space="preserve">(Doc 11’s</w:t>
      </w:r>
      <w:r>
        <w:t xml:space="preserve"> </w:t>
      </w:r>
      <w:r>
        <w:rPr>
          <w:rStyle w:val="VerbatimChar"/>
        </w:rPr>
        <w:t xml:space="preserve">routing.*</w:t>
      </w:r>
      <w:r>
        <w:t xml:space="preserve"> </w:t>
      </w:r>
      <w:r>
        <w:t xml:space="preserve">keys: capacities, starvation cap [shown with its always-on explanation], rescue timing),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(links into Doc 09’s config screens; the quota keys render here),</w:t>
      </w:r>
      <w:r>
        <w:t xml:space="preserve"> </w:t>
      </w:r>
      <w:r>
        <w:rPr>
          <w:bCs/>
          <w:b/>
        </w:rPr>
        <w:t xml:space="preserve">SMS</w:t>
      </w:r>
      <w:r>
        <w:t xml:space="preserve"> </w:t>
      </w:r>
      <w:r>
        <w:t xml:space="preserve">(quiet hours, quotas — templates/gateways link to Doc 14),</w:t>
      </w:r>
      <w: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(FR-09),</w:t>
      </w:r>
      <w:r>
        <w:t xml:space="preserve"> </w:t>
      </w:r>
      <w:r>
        <w:rPr>
          <w:bCs/>
          <w:b/>
        </w:rPr>
        <w:t xml:space="preserve">Quotas &amp; Usage</w:t>
      </w:r>
      <w:r>
        <w:t xml:space="preserve"> </w:t>
      </w:r>
      <w:r>
        <w:t xml:space="preserve">(Doc 01 NFR-06 quotas with usage bars and the 80% alert thresholds),</w:t>
      </w:r>
      <w:r>
        <w:t xml:space="preserve"> </w:t>
      </w:r>
      <w:r>
        <w:rPr>
          <w:bCs/>
          <w:b/>
        </w:rPr>
        <w:t xml:space="preserve">Feature Flags</w:t>
      </w:r>
      <w:r>
        <w:t xml:space="preserve"> </w:t>
      </w:r>
      <w:r>
        <w:t xml:space="preserve">(FR-11),</w:t>
      </w:r>
      <w:r>
        <w:t xml:space="preserve"> </w:t>
      </w:r>
      <w:r>
        <w:rPr>
          <w:bCs/>
          <w:b/>
        </w:rPr>
        <w:t xml:space="preserve">Branding</w:t>
      </w:r>
      <w:r>
        <w:t xml:space="preserve"> </w:t>
      </w:r>
      <w:r>
        <w:t xml:space="preserve">(the theme editor),</w:t>
      </w:r>
      <w:r>
        <w:t xml:space="preserve"> </w:t>
      </w:r>
      <w:r>
        <w:rPr>
          <w:bCs/>
          <w:b/>
        </w:rPr>
        <w:t xml:space="preserve">Config Export/Import</w:t>
      </w:r>
      <w:r>
        <w:t xml:space="preserve"> </w:t>
      </w:r>
      <w:r>
        <w:t xml:space="preserve">(FR-13).</w:t>
      </w:r>
      <w:r>
        <w:t xml:space="preserve"> </w:t>
      </w:r>
      <w:r>
        <w:t xml:space="preserve">FR-09 Notification preferences: category matrix — categories registered by modules (assignment, mention, follower events, escalation-to-me, SLA warnings, window-closing, bulk-completed [Doc 06/07], broadcast notes [Doc 11], schedule deliveries [Doc 15], channel-health + gateway alerts + AI anomalies [admin categories]) × channels (in-app, email, SMS-to-staff where the staff user has a phone + opted in) — with three layers: platform defaults → role defaults (admin-managed) → per-user preferences (profile screen); per-user quick-mute (Doc 07 FR-26’s bell control writes here); admin categories can be role-mandated (a supervisor cannot mute SLA breaches — mandated rows render locked with the reason).</w:t>
      </w:r>
      <w:r>
        <w:t xml:space="preserve"> </w:t>
      </w:r>
      <w:r>
        <w:t xml:space="preserve">FR-10 Every settings write flows Doc 01 T-04 (cache invalidation ≤ 2 s, audit with old/new); high-risk keys (Doc 03’s high-risk class: security policy, branding publish, flags, quotas) get the confirm-with-consequences dialog pattern; settings search (⌘K within Backoffice) finds any key by label/description/key-name.</w:t>
      </w:r>
    </w:p>
    <w:bookmarkEnd w:id="25"/>
    <w:bookmarkStart w:id="26" w:name="feature-flags"/>
    <w:p>
      <w:pPr>
        <w:pStyle w:val="Heading3"/>
      </w:pPr>
      <w:r>
        <w:t xml:space="preserve">4.4 Feature flags</w:t>
      </w:r>
    </w:p>
    <w:p>
      <w:pPr>
        <w:pStyle w:val="FirstParagraph"/>
      </w:pPr>
      <w:r>
        <w:t xml:space="preserve">FR-11 The flag screen renders Doc 01 FR-11’s registry: module cards (Telegram, Live Chat, SMS, AI Chatbot, AI Copilot, Knowledge Base, Reports, Surveys, File Uploads, Voice Messages, Translation, SLA, Automation, + every registered sub-flag) with state, dependency graph edges (</w:t>
      </w:r>
      <w:r>
        <w:t xml:space="preserve">“</w:t>
      </w:r>
      <w:r>
        <w:t xml:space="preserve">AI Copilot requires AI Chatbot infrastructure</w:t>
      </w:r>
      <w:r>
        <w:t xml:space="preserve">”</w:t>
      </w:r>
      <w:r>
        <w:t xml:space="preserve">), and per-flag blast-radius data (live usage counts from Doc 15’s realtime tier:</w:t>
      </w:r>
      <w:r>
        <w:t xml:space="preserve"> </w:t>
      </w:r>
      <w:r>
        <w:t xml:space="preserve">“</w:t>
      </w:r>
      <w:r>
        <w:t xml:space="preserve">Telegram: 3 bots, ~1,200 conversations/day</w:t>
      </w:r>
      <w:r>
        <w:t xml:space="preserve">”</w:t>
      </w:r>
      <w:r>
        <w:t xml:space="preserve">).</w:t>
      </w:r>
      <w:r>
        <w:t xml:space="preserve"> </w:t>
      </w:r>
      <w:r>
        <w:t xml:space="preserve">FR-12 Toggle semantics (normative per-module off-behavior, each owning doc’s contract referenced): OFF removes navigation + UI surfaces, returns</w:t>
      </w:r>
      <w:r>
        <w:t xml:space="preserve"> </w:t>
      </w:r>
      <w:r>
        <w:rPr>
          <w:rStyle w:val="VerbatimChar"/>
        </w:rPr>
        <w:t xml:space="preserve">feature_disabled</w:t>
      </w:r>
      <w:r>
        <w:t xml:space="preserve"> </w:t>
      </w:r>
      <w:r>
        <w:t xml:space="preserve">(Doc 01 error format) on APIs, pauses the module’s queue consumers gracefully (in-flight jobs complete; new work parks per the owning doc’s degradation contract — e.g., Telegram OFF = webhooks ACK-and-park per Doc 05 suspension semantics, SMS OFF = guards skip with</w:t>
      </w:r>
      <w:r>
        <w:t xml:space="preserve"> </w:t>
      </w:r>
      <w:r>
        <w:rPr>
          <w:rStyle w:val="VerbatimChar"/>
        </w:rPr>
        <w:t xml:space="preserve">feature_disabled</w:t>
      </w:r>
      <w:r>
        <w:t xml:space="preserve"> </w:t>
      </w:r>
      <w:r>
        <w:t xml:space="preserve">reason per Doc 14); dependencies enforce order (disabling a dependency prompts the dependents list; enabling a dependent auto-prompts the dependency); toggles are instant, evented (</w:t>
      </w:r>
      <w:r>
        <w:rPr>
          <w:rStyle w:val="VerbatimChar"/>
        </w:rPr>
        <w:t xml:space="preserve">features.toggled</w:t>
      </w:r>
      <w:r>
        <w:t xml:space="preserve"> </w:t>
      </w:r>
      <w:r>
        <w:t xml:space="preserve">high-visibility audit), and reversible with state preserved (nothing is deleted by a flag — BR-04).</w:t>
      </w:r>
      <w:r>
        <w:t xml:space="preserve"> </w:t>
      </w:r>
      <w:r>
        <w:t xml:space="preserve">FR-13 Config export/import: export = a signed JSON bundle of {settings values, theme version, flags, translations overrides, business calendars} (excludes: secrets, credentials, per-user preferences); import to another tenant/environment renders a full diff-preview (adds/changes per key with validation results) → selective apply → audited as individual changes; the staging-rehearsal path (Doc 11 R-05, Doc 12 SS-01 family) and the platform’s tenant-templating tool for onboarding.</w:t>
      </w:r>
    </w:p>
    <w:bookmarkEnd w:id="26"/>
    <w:bookmarkEnd w:id="27"/>
    <w:bookmarkStart w:id="28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Theme publish propagation ≤ 60 s cluster-wide (FR-03); preview rendering ≤ 2 s per surface thumbnail.</w:t>
      </w:r>
      <w:r>
        <w:t xml:space="preserve"> </w:t>
      </w:r>
      <w:r>
        <w:t xml:space="preserve">NFR-02 Settings screens load ≤ 500 ms p95 (registry-driven rendering from cache); writes apply per Doc 01 NFR-03.</w:t>
      </w:r>
      <w:r>
        <w:t xml:space="preserve"> </w:t>
      </w:r>
      <w:r>
        <w:t xml:space="preserve">NFR-03 Flag toggle end-to-end (click → UI/API/consumers reflect) ≤ 10 s (Doc 01/03 propagation budgets).</w:t>
      </w:r>
      <w:r>
        <w:t xml:space="preserve"> </w:t>
      </w:r>
      <w:r>
        <w:t xml:space="preserve">NFR-04 Translation manager searches 10k keys ≤ 100 ms; override application is next-render (no deploy, no cache-flush wait beyond Doc 01’s 2 s).</w:t>
      </w:r>
      <w:r>
        <w:t xml:space="preserve"> </w:t>
      </w:r>
      <w:r>
        <w:t xml:space="preserve">NFR-05 The FR-05 hostile-theme sweep runs in CI ≤ 10 min across the surface inventory (visual regression harness shared with the docs’ §8 state suites).</w:t>
      </w:r>
      <w:r>
        <w:t xml:space="preserve"> </w:t>
      </w:r>
      <w:r>
        <w:t xml:space="preserve">NFR-06 Config export ≤ 10 s; import diff-preview ≤ 5 s for full bundles.</w:t>
      </w:r>
    </w:p>
    <w:bookmarkEnd w:id="28"/>
    <w:bookmarkStart w:id="29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operator admin, I rebrand for a sponsorship deal — logo, colors, emails, widget, login — preview every surface, publish at midnight, and roll back in one click when marketing changes its mind at 00:15.</w:t>
      </w:r>
      <w:r>
        <w:t xml:space="preserve"> </w:t>
      </w:r>
      <w:r>
        <w:t xml:space="preserve">US-02 As an operator admin, I reword the bot’s Amharic greeting and the ticket-resolved email without asking anyone technical, and both show a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badge with reset available.</w:t>
      </w:r>
      <w:r>
        <w:t xml:space="preserve"> </w:t>
      </w:r>
      <w:r>
        <w:t xml:space="preserve">US-03 As a platform owner onboarding tenant #12, I import the standard config bundle, review the diff, apply, and hand over a branded, configured instance the same afternoon.</w:t>
      </w:r>
      <w:r>
        <w:t xml:space="preserve"> </w:t>
      </w:r>
      <w:r>
        <w:t xml:space="preserve">US-04 As a supervisor, my notification preferences let me mute bulk-completed pings but the platform honestly tells me SLA breaches are mandated for my role.</w:t>
      </w:r>
      <w:r>
        <w:t xml:space="preserve"> </w:t>
      </w:r>
      <w:r>
        <w:t xml:space="preserve">US-05 As an operator admin during an incident, I flip Voice Messages off, see exactly what that touches first, and nothing breaks — it’s just gone until I bring it back.</w:t>
      </w:r>
      <w:r>
        <w:t xml:space="preserve"> </w:t>
      </w:r>
      <w:r>
        <w:t xml:space="preserve">US-06 As a compliance reviewer, every branding publish, flag flip, and security-setting change has an actor, a timestamp, and old/new values in one audit trail.</w:t>
      </w:r>
      <w:r>
        <w:t xml:space="preserve"> </w:t>
      </w:r>
      <w:r>
        <w:t xml:space="preserve">US-07 As a translator, the missing-strings view shows me the 14 Amharic gaps players actually hit last week, not an alphabetical wall of 10,000 keys.</w:t>
      </w:r>
    </w:p>
    <w:bookmarkEnd w:id="29"/>
    <w:bookmarkStart w:id="30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Nothing hardcoded is a build gate, not a guideline (FR-05): the lint + hostile-theme sweep make regressions unshippable — the master requirement’s strongest claim gets the strongest enforcement.</w:t>
      </w:r>
      <w:r>
        <w:t xml:space="preserve"> </w:t>
      </w:r>
      <w:r>
        <w:t xml:space="preserve">BR-02 Accessibility outranks brand preference: the contrast validator blocks publish; the platform offers nearest-passing suggestions but never a</w:t>
      </w:r>
      <w:r>
        <w:t xml:space="preserve"> </w:t>
      </w:r>
      <w:r>
        <w:t xml:space="preserve">“</w:t>
      </w:r>
      <w:r>
        <w:t xml:space="preserve">publish anyway</w:t>
      </w:r>
      <w:r>
        <w:t xml:space="preserve">”</w:t>
      </w:r>
      <w:r>
        <w:t xml:space="preserve"> </w:t>
      </w:r>
      <w:r>
        <w:t xml:space="preserve">override (the one validator without an escape hatch — a deliberate stance, documented to operators).</w:t>
      </w:r>
      <w:r>
        <w:t xml:space="preserve"> </w:t>
      </w:r>
      <w:r>
        <w:t xml:space="preserve">BR-03 Preview before publish, always: no theme, template, or customer-facing string change reaches customers without a rendered preview having been available (the pipeline enforces the draft stage; publishes record that preview existed).</w:t>
      </w:r>
      <w:r>
        <w:t xml:space="preserve"> </w:t>
      </w:r>
      <w:r>
        <w:t xml:space="preserve">BR-04 Flags hide, never destroy: toggling off preserves all data and configuration; re-enabling restores the module as it was (parked work drains per each module’s contract).</w:t>
      </w:r>
      <w:r>
        <w:t xml:space="preserve"> </w:t>
      </w:r>
      <w:r>
        <w:t xml:space="preserve">BR-05 Platform minimums are floors (Doc 02 BR-05 family): security settings render their locked floors visibly; white-label extends to identity, never to weakening the platform’s safety or the AI disclosure (Doc 09 BR-05 cross-referenced on the branding screen where the assistant identity is edited).</w:t>
      </w:r>
      <w:r>
        <w:t xml:space="preserve"> </w:t>
      </w:r>
      <w:r>
        <w:t xml:space="preserve">BR-06 Mandated notifications are honest (FR-09): a locked row says who mandated it and why — silent force-delivery and silent suppression are both prohibited.</w:t>
      </w:r>
      <w:r>
        <w:t xml:space="preserve"> </w:t>
      </w:r>
      <w:r>
        <w:t xml:space="preserve">BR-07 Config import never merges silently: every applied key is an individual, previewed, audited change (FR-13) — bulk convenience without bulk opacity.</w:t>
      </w:r>
    </w:p>
    <w:bookmarkEnd w:id="30"/>
    <w:bookmarkStart w:id="31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Branding editor:</w:t>
      </w:r>
      <w:r>
        <w:t xml:space="preserve"> </w:t>
      </w:r>
      <w:r>
        <w:t xml:space="preserve">left nav by surface group (Identity, Colors &amp; Fonts, Login, Emails, Links &amp; Legal, Senders, Inventory); center = per-group forms; right = live preview pane switching per group (login mock, email mock, app-chrome mock); the Inventory page = FR-02’s thumbnail wall with per-surface open-preview; publish dialog = validator results (contrast matrix with pass/fail pairs and suggestions, asset checks, completeness warnings) + blast summary (</w:t>
      </w:r>
      <w:r>
        <w:t xml:space="preserve">“</w:t>
      </w:r>
      <w:r>
        <w:t xml:space="preserve">applies to staff app, 4 email templates, 2 widgets</w:t>
      </w:r>
      <w:r>
        <w:t xml:space="preserve">”</w:t>
      </w:r>
      <w:r>
        <w:t xml:space="preserve">) + typed confirm; version history with visual diffs (before/after thumbnails).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Preview mode:</w:t>
      </w:r>
      <w:r>
        <w:t xml:space="preserve"> </w:t>
      </w:r>
      <w:r>
        <w:t xml:space="preserve">a full-app draft preview toggle (banner per FR-03) for the editing admin only; email previews send-to-self.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Translation manager:</w:t>
      </w:r>
      <w:r>
        <w:t xml:space="preserve"> </w:t>
      </w:r>
      <w:r>
        <w:t xml:space="preserve">table (key, namespace chip, shipped value, override editor inline, modified badge, last-hit column from telemetry), filters per FR-06, bulk export/import CSV for external translators (round-trip safe, audited); the missing-first smart view (US-07).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Settings screens:</w:t>
      </w:r>
      <w:r>
        <w:t xml:space="preserve"> </w:t>
      </w:r>
      <w:r>
        <w:t xml:space="preserve">per FR-08 IA with a persistent left nav + settings search; each key row per the Doc 01 §8 contract; locked floors render with a lock +</w:t>
      </w:r>
      <w:r>
        <w:t xml:space="preserve"> </w:t>
      </w:r>
      <w:r>
        <w:t xml:space="preserve">“</w:t>
      </w:r>
      <w:r>
        <w:t xml:space="preserve">platform minimum</w:t>
      </w:r>
      <w:r>
        <w:t xml:space="preserve">”</w:t>
      </w:r>
      <w:r>
        <w:t xml:space="preserve"> </w:t>
      </w:r>
      <w:r>
        <w:t xml:space="preserve">caption; cross-links (</w:t>
      </w:r>
      <w:r>
        <w:t xml:space="preserve">“</w:t>
      </w:r>
      <w:r>
        <w:t xml:space="preserve">Edit SLA policies →</w:t>
      </w:r>
      <w:r>
        <w:t xml:space="preserve">”</w:t>
      </w:r>
      <w:r>
        <w:t xml:space="preserve">) styled distinctly from settings rows; the timezone-change and similar consequence warnings inline before save.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Notification matrix:</w:t>
      </w:r>
      <w:r>
        <w:t xml:space="preserve"> </w:t>
      </w:r>
      <w:r>
        <w:t xml:space="preserve">categories × channels grid with three-layer indicators (platform default ○, role default ◉, your override ●, mandated 🔒 with tooltip); per-user screen shows effective results with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hovers; the role-defaults admin view edits the middle layer with affected-user counts.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Flags screen:</w:t>
      </w:r>
      <w:r>
        <w:t xml:space="preserve"> </w:t>
      </w:r>
      <w:r>
        <w:t xml:space="preserve">module cards per FR-11 with state switches, dependency edges drawn as connecting lines on hover, blast-radius stats, last-toggled provenance; the confirm dialog per FR-12 with the dependents/dependency prompts; an</w:t>
      </w:r>
      <w:r>
        <w:t xml:space="preserve"> </w:t>
      </w:r>
      <w:r>
        <w:t xml:space="preserve">“</w:t>
      </w:r>
      <w:r>
        <w:t xml:space="preserve">all stop buttons</w:t>
      </w:r>
      <w:r>
        <w:t xml:space="preserve">”</w:t>
      </w:r>
      <w:r>
        <w:t xml:space="preserve"> </w:t>
      </w:r>
      <w:r>
        <w:t xml:space="preserve">link to the incident page (Doc 12 R-04’s one-page rule — AI kill switches + rules-pause + flags in one place).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Export/import:</w:t>
      </w:r>
      <w:r>
        <w:t xml:space="preserve"> </w:t>
      </w:r>
      <w:r>
        <w:t xml:space="preserve">export button with content summary; import = upload → diff table (grouped by area, per-row apply checkboxes, validation badges) → apply progress → results with per-row audit links.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Empty/loading/error:</w:t>
      </w:r>
      <w:r>
        <w:t xml:space="preserve"> </w:t>
      </w:r>
      <w:r>
        <w:t xml:space="preserve">fresh tenant shows the provisioning-seeded theme with a</w:t>
      </w:r>
      <w:r>
        <w:t xml:space="preserve"> </w:t>
      </w:r>
      <w:r>
        <w:t xml:space="preserve">“</w:t>
      </w:r>
      <w:r>
        <w:t xml:space="preserve">make it yours</w:t>
      </w:r>
      <w:r>
        <w:t xml:space="preserve">”</w:t>
      </w:r>
      <w:r>
        <w:t xml:space="preserve"> </w:t>
      </w:r>
      <w:r>
        <w:t xml:space="preserve">checklist; validator failures list every failing pair with jump-to-fix; import validation failures annotate rows, partial apply allowed for the valid subset (explicit, per BR-07).</w:t>
      </w:r>
    </w:p>
    <w:bookmarkEnd w:id="31"/>
    <w:bookmarkStart w:id="32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The theme editor edits tokens but renders in the</w:t>
      </w:r>
      <w:r>
        <w:t xml:space="preserve"> </w:t>
      </w:r>
      <w:r>
        <w:rPr>
          <w:iCs/>
          <w:i/>
        </w:rPr>
        <w:t xml:space="preserve">platform</w:t>
      </w:r>
      <w:r>
        <w:t xml:space="preserve"> </w:t>
      </w:r>
      <w:r>
        <w:t xml:space="preserve">design system (the editor itself is not themed by the draft — separation prevents</w:t>
      </w:r>
      <w:r>
        <w:t xml:space="preserve"> </w:t>
      </w:r>
      <w:r>
        <w:t xml:space="preserve">“</w:t>
      </w:r>
      <w:r>
        <w:t xml:space="preserve">broke the editor with the theme</w:t>
      </w:r>
      <w:r>
        <w:t xml:space="preserve">”</w:t>
      </w:r>
      <w:r>
        <w:t xml:space="preserve"> </w:t>
      </w:r>
      <w:r>
        <w:t xml:space="preserve">states; only previews render the draft).</w:t>
      </w:r>
    </w:p>
    <w:p>
      <w:pPr>
        <w:numPr>
          <w:ilvl w:val="0"/>
          <w:numId w:val="1003"/>
        </w:numPr>
        <w:pStyle w:val="Compact"/>
      </w:pPr>
      <w:r>
        <w:t xml:space="preserve">Contrast matrix: pair grid with computed ratios, pass/fail glyphs + values, suggestion chips applying on click.</w:t>
      </w:r>
    </w:p>
    <w:p>
      <w:pPr>
        <w:numPr>
          <w:ilvl w:val="0"/>
          <w:numId w:val="1003"/>
        </w:numPr>
        <w:pStyle w:val="Compact"/>
      </w:pPr>
      <w:r>
        <w:t xml:space="preserve">Modified/override badges consistent across translation + settings (one visual language for</w:t>
      </w:r>
      <w:r>
        <w:t xml:space="preserve"> </w:t>
      </w:r>
      <w:r>
        <w:t xml:space="preserve">“</w:t>
      </w:r>
      <w:r>
        <w:t xml:space="preserve">differs from shipped/default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Dependency edges on the flags screen: drawn lines with direction arrows, color-coded (requires vs required-by), text list equivalent below (accessibility).</w:t>
      </w:r>
    </w:p>
    <w:p>
      <w:pPr>
        <w:numPr>
          <w:ilvl w:val="0"/>
          <w:numId w:val="1003"/>
        </w:numPr>
        <w:pStyle w:val="Compact"/>
      </w:pPr>
      <w:r>
        <w:t xml:space="preserve">Locked floors and mandated rows share the lock treatment (one meaning:</w:t>
      </w:r>
      <w:r>
        <w:t xml:space="preserve"> </w:t>
      </w:r>
      <w:r>
        <w:t xml:space="preserve">“</w:t>
      </w:r>
      <w:r>
        <w:t xml:space="preserve">the platform or your admin holds this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Responsive: settings/translations phone-readable, edit tablet+; branding editor desktop (previews need room; fat-finger policy family); flags screen tablet+ with the confirm dialogs full-screen mobile-capable for incident use (deliberate exception — you flip kill switches from a phone at 2 AM).</w:t>
      </w:r>
    </w:p>
    <w:p>
      <w:pPr>
        <w:numPr>
          <w:ilvl w:val="0"/>
          <w:numId w:val="1003"/>
        </w:numPr>
        <w:pStyle w:val="Compact"/>
      </w:pPr>
      <w:r>
        <w:t xml:space="preserve">Dark/light; reduced-motion; the preview banner is high-contrast in both themes.</w:t>
      </w:r>
    </w:p>
    <w:bookmarkEnd w:id="32"/>
    <w:bookmarkStart w:id="33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 Theme storage: versioned rows (tenant, version, payload jsonb, published_at, published_by) + assets via Doc 04 pipeline (brand assets bucket, long-cache immutable URLs per version); runtime resolution = Redis-cached published payload → CSS custom properties injected at app shell + config endpoints for widget (Doc 13 T-01’s shim reads it) and email renderer.</w:t>
      </w:r>
      <w:r>
        <w:t xml:space="preserve"> </w:t>
      </w:r>
      <w:r>
        <w:t xml:space="preserve">T-02 Email templates: MJML-based platform templates with theme-token + content-slot injection; per-language content slots from the translation manager; the render-test validator (FR-04) compiles + screenshots in CI and at publish.</w:t>
      </w:r>
      <w:r>
        <w:t xml:space="preserve"> </w:t>
      </w:r>
      <w:r>
        <w:t xml:space="preserve">T-03 Translation storage: shipped catalogs in code (per Doc 01 FR-09); overrides table (tenant, key, language, value, updated_by) merged at the i18n layer’s resolution with the telemetry counter on misses/hits (sampled); CSV round-trip with key-stability validation (unknown keys rejected with row annotations).</w:t>
      </w:r>
      <w:r>
        <w:t xml:space="preserve"> </w:t>
      </w:r>
      <w:r>
        <w:t xml:space="preserve">T-04 Settings screens are registry-rendered (Doc 01 T-04’s</w:t>
      </w:r>
      <w:r>
        <w:t xml:space="preserve"> </w:t>
      </w:r>
      <w:r>
        <w:rPr>
          <w:rStyle w:val="VerbatimChar"/>
        </w:rPr>
        <w:t xml:space="preserve">settings_registry</w:t>
      </w:r>
      <w:r>
        <w:t xml:space="preserve"> </w:t>
      </w:r>
      <w:r>
        <w:t xml:space="preserve">drives grouping/controls via per-key UI metadata added to the registry schema: group, order, control hints, consequence-warning refs) — new keys from any module appear without Backoffice code changes (the IA is data).</w:t>
      </w:r>
      <w:r>
        <w:t xml:space="preserve"> </w:t>
      </w:r>
      <w:r>
        <w:t xml:space="preserve">T-05 Notification preferences:</w:t>
      </w:r>
      <w:r>
        <w:t xml:space="preserve"> </w:t>
      </w:r>
      <w:r>
        <w:rPr>
          <w:rStyle w:val="VerbatimChar"/>
        </w:rPr>
        <w:t xml:space="preserve">notification_categories</w:t>
      </w:r>
      <w:r>
        <w:t xml:space="preserve"> </w:t>
      </w:r>
      <w:r>
        <w:t xml:space="preserve">registry (module-registered like flags/settings),</w:t>
      </w:r>
      <w:r>
        <w:t xml:space="preserve"> </w:t>
      </w:r>
      <w:r>
        <w:rPr>
          <w:rStyle w:val="VerbatimChar"/>
        </w:rPr>
        <w:t xml:space="preserve">role_notification_defaults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user_notification_prefs</w:t>
      </w:r>
      <w:r>
        <w:t xml:space="preserve">; the resolution function (platform → role → user, mandate override) is the single delivery gate Docs 06/07/11/12/15 call before any notification dispatch; channels: in-app (Reverb + bell store), email (T-02 templates), staff-SMS (Doc 14’s</w:t>
      </w:r>
      <w:r>
        <w:t xml:space="preserve"> </w:t>
      </w:r>
      <w:r>
        <w:rPr>
          <w:rStyle w:val="VerbatimChar"/>
        </w:rPr>
        <w:t xml:space="preserve">security_notification</w:t>
      </w:r>
      <w:r>
        <w:t xml:space="preserve">-class plumbing, opt-in).</w:t>
      </w:r>
      <w:r>
        <w:t xml:space="preserve"> </w:t>
      </w:r>
      <w:r>
        <w:t xml:space="preserve">T-06 Flags: Pennant tenant scope with the registry’s dependency metadata; toggle handler orchestrates the FR-12 semantics (nav/API middleware checks read Pennant; consumer pause/resume via Horizon supervisor signals per module’s registered hooks); the blast-radius stats query Doc 15’s realtime tier.</w:t>
      </w:r>
      <w:r>
        <w:t xml:space="preserve"> </w:t>
      </w:r>
      <w:r>
        <w:t xml:space="preserve">T-07 Export/import: signed bundles (platform key), schema-versioned; import executes as individual Doc 01 T-04 writes + theme/translation/flag ops in a saga with per-row results (BR-07); secrets structurally absent from the export schema (not filtered — never serializable).</w:t>
      </w:r>
      <w:r>
        <w:t xml:space="preserve"> </w:t>
      </w:r>
      <w:r>
        <w:t xml:space="preserve">T-08 The hostile-theme CI sweep (FR-05): a fixture theme + pseudo-locale (accented-long-strings + RTL sample) rendered across the surface-inventory routes with visual assertions (no clipped/unthemed/overflowing elements) — shared harness with the modules’ state suites.</w:t>
      </w:r>
      <w:r>
        <w:t xml:space="preserve"> </w:t>
      </w:r>
      <w:r>
        <w:t xml:space="preserve">T-09 Contract tests: validator matrices (contrast incl. suggestion correctness, assets, URLs, email renders); propagation timing (NFR-01/03); flag off-behavior per module (each owning doc’s degradation contract exercised with the flag as the trigger); notification resolution truth table (three layers × mandates × quick-mute); import diff/apply/partial fixtures; export secret-absence proof.</w:t>
      </w:r>
    </w:p>
    <w:p>
      <w:pPr>
        <w:pStyle w:val="BodyText"/>
      </w:pPr>
      <w:r>
        <w:rPr>
          <w:bCs/>
          <w:b/>
        </w:rPr>
        <w:t xml:space="preserve">Theme &amp; config resolution (text diagram):</w:t>
      </w:r>
    </w:p>
    <w:p>
      <w:pPr>
        <w:pStyle w:val="SourceCode"/>
      </w:pPr>
      <w:r>
        <w:rPr>
          <w:rStyle w:val="VerbatimChar"/>
        </w:rPr>
        <w:t xml:space="preserve">edit draft → per-surface previews (draft-scoped) → validators (contrast·assets·render)</w:t>
      </w:r>
      <w:r>
        <w:br/>
      </w:r>
      <w:r>
        <w:rPr>
          <w:rStyle w:val="VerbatimChar"/>
        </w:rPr>
        <w:t xml:space="preserve">  → publish vN → Redis cache swap → CSS vars (staff app) · config endpoints (widget/bot/email)</w:t>
      </w:r>
      <w:r>
        <w:br/>
      </w:r>
      <w:r>
        <w:rPr>
          <w:rStyle w:val="VerbatimChar"/>
        </w:rPr>
        <w:t xml:space="preserve">settings/flags/translations: registry-rendered UIs → Doc 01 engine writes → cache invalidation</w:t>
      </w:r>
      <w:r>
        <w:br/>
      </w:r>
      <w:r>
        <w:rPr>
          <w:rStyle w:val="VerbatimChar"/>
        </w:rPr>
        <w:t xml:space="preserve">  → consumers read resolved values · notification gate resolves platform→role→user(+mandates)</w:t>
      </w:r>
      <w:r>
        <w:br/>
      </w:r>
      <w:r>
        <w:rPr>
          <w:rStyle w:val="VerbatimChar"/>
        </w:rPr>
        <w:t xml:space="preserve">export bundle ⇄ import diff-preview → selective per-row applies (each audited)</w:t>
      </w:r>
    </w:p>
    <w:bookmarkEnd w:id="33"/>
    <w:bookmarkStart w:id="34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Branding publish, flag toggles, security-setting changes, mandate changes, and imports are high-visibility audit events (Doc 03/17 classes); the four-eyes option (Doc 03 T-06) applies where enabled.</w:t>
      </w:r>
      <w:r>
        <w:t xml:space="preserve"> </w:t>
      </w:r>
      <w:r>
        <w:t xml:space="preserve">SEC-02 Footer/legal link URLs validated (https, domain-visible in the editor); email templates restricted to the safe HTML subset (no scripts/forms; link targets rendered visibly in preview) — brand surfaces cannot become phishing surfaces.</w:t>
      </w:r>
      <w:r>
        <w:t xml:space="preserve"> </w:t>
      </w:r>
      <w:r>
        <w:t xml:space="preserve">SEC-03 Sender-identity changes surface Doc 18’s domain-verification status inline; an unverified sender cannot be published for customer-facing purposes (deliverability + spoofing posture).</w:t>
      </w:r>
      <w:r>
        <w:t xml:space="preserve"> </w:t>
      </w:r>
      <w:r>
        <w:t xml:space="preserve">SEC-04 Export bundles contain no secrets by schema (T-07) and are signed; import verifies signature + platform version compatibility; cross-tenant import is a platform-owner operation (Doc 01 console) — tenant admins import only into their own tenant.</w:t>
      </w:r>
      <w:r>
        <w:t xml:space="preserve"> </w:t>
      </w:r>
      <w:r>
        <w:t xml:space="preserve">SEC-05 Translation overrides render through the same inert-output escaping as shipped strings (an override cannot inject markup beyond the safe subset where a key is HTML-slotted — per-key content-type enforced).</w:t>
      </w:r>
      <w:r>
        <w:t xml:space="preserve"> </w:t>
      </w:r>
      <w:r>
        <w:t xml:space="preserve">SEC-06 The theme editor’s asset uploads ride Doc 04’s scanning; SVG logos sanitized (script/foreignObject stripped) at ingest.</w:t>
      </w:r>
    </w:p>
    <w:bookmarkEnd w:id="34"/>
    <w:bookmarkStart w:id="35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NFR-01–06 under L2; theme CSS-var payload ≤ 4 KB; the published-theme cache read is on the app-shell hot path (≤ 0.5 ms, Doc 01 settings budget family).</w:t>
      </w:r>
    </w:p>
    <w:p>
      <w:pPr>
        <w:numPr>
          <w:ilvl w:val="0"/>
          <w:numId w:val="1004"/>
        </w:numPr>
        <w:pStyle w:val="Compact"/>
      </w:pPr>
      <w:r>
        <w:t xml:space="preserve">Notification resolution ≤ 1 ms per dispatch (cached three-layer merge per user, invalidated on pref/role changes).</w:t>
      </w:r>
    </w:p>
    <w:p>
      <w:pPr>
        <w:numPr>
          <w:ilvl w:val="0"/>
          <w:numId w:val="1004"/>
        </w:numPr>
        <w:pStyle w:val="Compact"/>
      </w:pPr>
      <w:r>
        <w:t xml:space="preserve">Flags middleware check ≤ 0.2 ms (Pennant + local cache).</w:t>
      </w:r>
    </w:p>
    <w:p>
      <w:pPr>
        <w:numPr>
          <w:ilvl w:val="0"/>
          <w:numId w:val="1004"/>
        </w:numPr>
        <w:pStyle w:val="Compact"/>
      </w:pPr>
      <w:r>
        <w:t xml:space="preserve">Translation resolution adds ≤ 0.1 ms per string over shipped-catalog lookup (merged map per tenant+language, cache-invalidated on override writes).</w:t>
      </w:r>
    </w:p>
    <w:p>
      <w:pPr>
        <w:numPr>
          <w:ilvl w:val="0"/>
          <w:numId w:val="1004"/>
        </w:numPr>
        <w:pStyle w:val="Compact"/>
      </w:pPr>
      <w:r>
        <w:t xml:space="preserve">The visual sweep (T-08) parallelized within the NFR-05 CI budget.</w:t>
      </w:r>
    </w:p>
    <w:bookmarkEnd w:id="35"/>
    <w:bookmarkStart w:id="36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The branding editor is itself WCAG 2.2 AA (platform chrome, per T-01’s separation); the contrast validator is the</w:t>
      </w:r>
      <w:r>
        <w:t xml:space="preserve"> </w:t>
      </w:r>
      <w:r>
        <w:rPr>
          <w:iCs/>
          <w:i/>
        </w:rPr>
        <w:t xml:space="preserve">product’s</w:t>
      </w:r>
      <w:r>
        <w:t xml:space="preserve"> </w:t>
      </w:r>
      <w:r>
        <w:t xml:space="preserve">accessibility enforcement for operator choices (BR-02) with its matrix fully screen-reader readable (ratios as text); dependency edges have the text-list equivalent (§9); the notification matrix grid exposes proper row/column headers with the three-layer state as text (</w:t>
      </w:r>
      <w:r>
        <w:t xml:space="preserve">“</w:t>
      </w:r>
      <w:r>
        <w:t xml:space="preserve">Role default: on; your setting: muted; effective: muted</w:t>
      </w:r>
      <w:r>
        <w:t xml:space="preserve">”</w:t>
      </w:r>
      <w:r>
        <w:t xml:space="preserve">); locked/mandated rows announce their reason; settings search results announced; import diff tables navigable with per-row apply controls labeled; preview-mode banner announced on entry/exit.</w:t>
      </w:r>
    </w:p>
    <w:bookmarkEnd w:id="36"/>
    <w:bookmarkStart w:id="37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This module hosts the localization tooling and is itself fully localized (</w:t>
      </w:r>
      <w:r>
        <w:rPr>
          <w:rStyle w:val="VerbatimChar"/>
        </w:rPr>
        <w:t xml:space="preserve">settings.*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branding.*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flags.*</w:t>
      </w:r>
      <w:r>
        <w:t xml:space="preserve"> </w:t>
      </w:r>
      <w:r>
        <w:t xml:space="preserve">namespaces, en + am); the translation manager’s own UI never mixes with the strings it edits (meta-level separation in the key namespace); per-language theme content (login copy, email slots, footer links) follows the completeness-gate family; the pseudo-locale (T-08) is a permanent test language invisible to tenants; RTL readiness asserted by the sweep; exported CSVs are UTF-8 with BOM handling for translator-tool compatibility (round-trip tested).</w:t>
      </w:r>
    </w:p>
    <w:bookmarkEnd w:id="37"/>
    <w:bookmarkStart w:id="38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Theme published while an agent mid-session → CSS vars swap live (no reload); in-flight modals keep functioning (tokens only change values); the visual sweep includes a mid-interaction snapshot.</w:t>
      </w:r>
      <w:r>
        <w:t xml:space="preserve"> </w:t>
      </w:r>
      <w:r>
        <w:t xml:space="preserve">EC-02 Rollback to a version referencing a since-deleted asset → publish gate re-validates assets; missing assets block with a re-upload prompt (versions pin asset URLs, but deletion via retention is possible — Doc 10 EC-05 family).</w:t>
      </w:r>
      <w:r>
        <w:t xml:space="preserve"> </w:t>
      </w:r>
      <w:r>
        <w:t xml:space="preserve">EC-03 A translation override for a key later removed by a platform release → orphaned overrides listed in a maintenance view (never rendered, never silently deleted; operator cleans with one click).</w:t>
      </w:r>
      <w:r>
        <w:t xml:space="preserve"> </w:t>
      </w:r>
      <w:r>
        <w:t xml:space="preserve">EC-04 Role default changed while a user holds an explicit override → user override wins (the three-layer contract); the role-admin view’s affected-count excludes overriders with a note.</w:t>
      </w:r>
      <w:r>
        <w:t xml:space="preserve"> </w:t>
      </w:r>
      <w:r>
        <w:t xml:space="preserve">EC-05 A mandated category the user’s channel can’t deliver (SMS-mandated, user has no phone) → delivery falls back in-channel-priority order (in-app always exists); the mandate means</w:t>
      </w:r>
      <w:r>
        <w:t xml:space="preserve"> </w:t>
      </w:r>
      <w:r>
        <w:t xml:space="preserve">“</w:t>
      </w:r>
      <w:r>
        <w:t xml:space="preserve">cannot mute,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must SMS</w:t>
      </w:r>
      <w:r>
        <w:t xml:space="preserve">”</w:t>
      </w:r>
      <w:r>
        <w:t xml:space="preserve"> </w:t>
      </w:r>
      <w:r>
        <w:t xml:space="preserve">— documented on the lock tooltip.</w:t>
      </w:r>
      <w:r>
        <w:t xml:space="preserve"> </w:t>
      </w:r>
      <w:r>
        <w:t xml:space="preserve">EC-06 Flag off while its module’s queue holds 10k jobs → consumers pause post-in-flight; parked work per module contract; the flag card shows the parked count live; re-enable drains (BR-04 proven at scale in the drill).</w:t>
      </w:r>
      <w:r>
        <w:t xml:space="preserve"> </w:t>
      </w:r>
      <w:r>
        <w:t xml:space="preserve">EC-07 Two admins editing the theme draft → single-draft model with the Doc 10 FR-05 lock pattern (soft lock + takeover, audited).</w:t>
      </w:r>
      <w:r>
        <w:t xml:space="preserve"> </w:t>
      </w:r>
      <w:r>
        <w:t xml:space="preserve">EC-08 Import bundle from a newer platform version → compatibility check rejects with the version delta named; partial-schema imports are never attempted.</w:t>
      </w:r>
      <w:r>
        <w:t xml:space="preserve"> </w:t>
      </w:r>
      <w:r>
        <w:t xml:space="preserve">EC-09 Contrast-passing colors that fail on a surface with an image background (login) → the login preview computes contrast against the uploaded background’s sampled regions; failures block with the overlay-scrim suggestion (the one surface needing image-aware validation).</w:t>
      </w:r>
      <w:r>
        <w:t xml:space="preserve"> </w:t>
      </w:r>
      <w:r>
        <w:t xml:space="preserve">EC-10 A tenant disables its last customer-facing channel flag (Telegram + Live Chat both off) → allowed (SMS-notification-only operation is conceivable) but the confirm states the consequence plainly (</w:t>
      </w:r>
      <w:r>
        <w:t xml:space="preserve">“</w:t>
      </w:r>
      <w:r>
        <w:t xml:space="preserve">customers will have no way to contact support through the platform</w:t>
      </w:r>
      <w:r>
        <w:t xml:space="preserve">”</w:t>
      </w:r>
      <w:r>
        <w:t xml:space="preserve">).</w:t>
      </w:r>
      <w:r>
        <w:t xml:space="preserve"> </w:t>
      </w:r>
      <w:r>
        <w:t xml:space="preserve">EC-11 Sender domain verification lapses (DNS change, Doc 18 detects) → affected sender identities flip to warning state; customer-facing sends fall back to the platform default sender with an alert (deliverability continuity over brand purity, stated in the warning).</w:t>
      </w:r>
      <w:r>
        <w:t xml:space="preserve"> </w:t>
      </w:r>
      <w:r>
        <w:t xml:space="preserve">EC-12 Quick-mute (Doc 07) set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spanning midnight in the user’s local vs tenant timezone → mute windows compute in the user’s profile timezone (personal preference = personal clock; documented).</w:t>
      </w:r>
    </w:p>
    <w:bookmarkEnd w:id="38"/>
    <w:bookmarkStart w:id="39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Theme cache loss → app shell falls back to the platform-default theme (branded-but-generic, never broken) while the cache rebuilds from DB; a banner notes degraded branding to admins only.</w:t>
      </w:r>
      <w:r>
        <w:t xml:space="preserve"> </w:t>
      </w:r>
      <w:r>
        <w:t xml:space="preserve">FS-02 Email template render failure post-publish (client-quirk discovered) → per-template rollback (versioned independently within the theme’s email group); the send pipeline falls back to the plain-text alternative part (always generated) — deliveries continue, notification to admins.</w:t>
      </w:r>
      <w:r>
        <w:t xml:space="preserve"> </w:t>
      </w:r>
      <w:r>
        <w:t xml:space="preserve">FS-03 Pennant/flag store unavailable → flags resolve from the last local cache (fail-static: no spontaneous module flips during the outage); toggling disabled with an honest error until recovery.</w:t>
      </w:r>
      <w:r>
        <w:t xml:space="preserve"> </w:t>
      </w:r>
      <w:r>
        <w:t xml:space="preserve">FS-04 Import saga failure mid-apply → per-row results show applied/failed/not-attempted; no rollback of applied rows (each was individually valid — BR-07’s model); the results screen is the recovery worklist.</w:t>
      </w:r>
      <w:r>
        <w:t xml:space="preserve"> </w:t>
      </w:r>
      <w:r>
        <w:t xml:space="preserve">FS-05 Notification gate failure → fail-open to in-app only (the always-available channel) with metric + alert; email/SMS deliveries pause rather than misroute (Doc 02 NFR-04’s fail-posture family, direction chosen per channel risk).</w:t>
      </w:r>
    </w:p>
    <w:bookmarkEnd w:id="39"/>
    <w:bookmarkStart w:id="40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The US-01 midnight rebrand: full preview wall reviewed, published in 60 s, rolled back in 60 s, both audited — marketing crisis contained to fifteen minutes and two audit rows.</w:t>
      </w:r>
      <w:r>
        <w:t xml:space="preserve"> </w:t>
      </w:r>
      <w:r>
        <w:t xml:space="preserve">SS-02 The FR-05 gate catches a real regression: a PR adds a hardcoded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— CI fails with the exact file/line; the string ships as a key instead; the guarantee stays true without anyone being the hero.</w:t>
      </w:r>
      <w:r>
        <w:t xml:space="preserve"> </w:t>
      </w:r>
      <w:r>
        <w:t xml:space="preserve">SS-03 Tenant #12 onboarding (US-03): import → diff → apply → branded instance in an afternoon, every applied key individually audited — the platform’s own operations run on the product’s guarantees.</w:t>
      </w:r>
      <w:r>
        <w:t xml:space="preserve"> </w:t>
      </w:r>
      <w:r>
        <w:t xml:space="preserve">SS-04 The incident page (one screen: AI kill switches, rules-pause, module flags) is used in anger during a bad deploy at a gateway partner; Voice + SMS flipped off, incident contained, both restored next day with parked work drained (EC-06 in production) — the</w:t>
      </w:r>
      <w:r>
        <w:t xml:space="preserve"> </w:t>
      </w:r>
      <w:r>
        <w:t xml:space="preserve">“</w:t>
      </w:r>
      <w:r>
        <w:t xml:space="preserve">all stop buttons</w:t>
      </w:r>
      <w:r>
        <w:t xml:space="preserve">”</w:t>
      </w:r>
      <w:r>
        <w:t xml:space="preserve"> </w:t>
      </w:r>
      <w:r>
        <w:t xml:space="preserve">design pays for itself.</w:t>
      </w:r>
    </w:p>
    <w:bookmarkEnd w:id="40"/>
    <w:bookmarkStart w:id="41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The nothing-hardcoded pair: string-lint catches seeded literals (SS-02 fixture) AND the hostile-theme/pseudo-locale sweep passes across the full surface inventory (FR-05/T-08).</w:t>
      </w:r>
      <w:r>
        <w:t xml:space="preserve"> </w:t>
      </w:r>
      <w:r>
        <w:t xml:space="preserve">AC-02 Theme lifecycle: draft/preview isolation (only the editor sees it), publish validation matrix (contrast incl. EC-09’s image-aware login case, assets, URLs, email renders), ≤ 60 s propagation, rollback-as-publish, version history with visual diffs.</w:t>
      </w:r>
      <w:r>
        <w:t xml:space="preserve"> </w:t>
      </w:r>
      <w:r>
        <w:t xml:space="preserve">AC-03 Contrast validator: known-failing palettes blocked with correct nearest-passing suggestions; no override path exists (BR-02 asserted).</w:t>
      </w:r>
      <w:r>
        <w:t xml:space="preserve"> </w:t>
      </w:r>
      <w:r>
        <w:t xml:space="preserve">AC-04 Translation manager: override/reset round-trip, modified badges, missing-first telemetry view, CSV round-trip incl. rejection annotations, orphaned-override maintenance (EC-03), escaping per SEC-05.</w:t>
      </w:r>
      <w:r>
        <w:t xml:space="preserve"> </w:t>
      </w:r>
      <w:r>
        <w:t xml:space="preserve">AC-05 Settings rendering: a test module registering new keys appears in the Backoffice without UI code changes (T-04 proven); locked floors, consequence warnings, provenance lines, and audit completeness per key class.</w:t>
      </w:r>
      <w:r>
        <w:t xml:space="preserve"> </w:t>
      </w:r>
      <w:r>
        <w:t xml:space="preserve">AC-06 Notification resolution truth table: three layers × mandates × quick-mute × channel-fallback (EC-05) exact; the single-gate rule (every module’s dispatch calls T-05) swept by integration fixtures.</w:t>
      </w:r>
      <w:r>
        <w:t xml:space="preserve"> </w:t>
      </w:r>
      <w:r>
        <w:t xml:space="preserve">AC-07 Flags: per-module off-behavior contracts exercised (each owning doc’s degradation fixtures triggered via the flag), dependency prompts, blast-radius accuracy vs Doc 15 realtime, parked-work drain drill (EC-06), fail-static outage behavior (FS-03).</w:t>
      </w:r>
      <w:r>
        <w:t xml:space="preserve"> </w:t>
      </w:r>
      <w:r>
        <w:t xml:space="preserve">AC-08 Export/import: secret-absence by schema (attempted injection fixture fails at serialization), signature + version checks (EC-08), diff accuracy, partial-apply results, per-row audits (BR-07).</w:t>
      </w:r>
      <w:r>
        <w:t xml:space="preserve"> </w:t>
      </w:r>
      <w:r>
        <w:t xml:space="preserve">AC-09 Sender identities: verification-status gating (SEC-03), lapse fallback (EC-11) with continuity + alert.</w:t>
      </w:r>
      <w:r>
        <w:t xml:space="preserve"> </w:t>
      </w:r>
      <w:r>
        <w:t xml:space="preserve">AC-10 The incident page: every stop control (AI switches, rules-pause, flags) present, functional, and reachable ≤ 2 clicks from anywhere in Backoffice (SS-04’s design requirement made testable).</w:t>
      </w:r>
    </w:p>
    <w:bookmarkEnd w:id="41"/>
    <w:bookmarkStart w:id="42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Custom font uploads (licensing-attested, subset-generated) — the curated set is v1’s deliberate constraint.</w:t>
      </w:r>
    </w:p>
    <w:p>
      <w:pPr>
        <w:numPr>
          <w:ilvl w:val="0"/>
          <w:numId w:val="1005"/>
        </w:numPr>
        <w:pStyle w:val="Compact"/>
      </w:pPr>
      <w:r>
        <w:t xml:space="preserve">Per-department sub-branding (department email signatures, widget variants) — the token architecture supports scoping; governance design needed first.</w:t>
      </w:r>
    </w:p>
    <w:p>
      <w:pPr>
        <w:numPr>
          <w:ilvl w:val="0"/>
          <w:numId w:val="1005"/>
        </w:numPr>
        <w:pStyle w:val="Compact"/>
      </w:pPr>
      <w:r>
        <w:t xml:space="preserve">Theme marketplace/presets for the platform’s onboarding (pairs with FR-13’s bundles).</w:t>
      </w:r>
    </w:p>
    <w:p>
      <w:pPr>
        <w:numPr>
          <w:ilvl w:val="0"/>
          <w:numId w:val="1005"/>
        </w:numPr>
        <w:pStyle w:val="Compact"/>
      </w:pPr>
      <w:r>
        <w:t xml:space="preserve">Scheduled theme publishes (campaign-timed rebrands) atop the timer infrastructure.</w:t>
      </w:r>
    </w:p>
    <w:p>
      <w:pPr>
        <w:numPr>
          <w:ilvl w:val="0"/>
          <w:numId w:val="1005"/>
        </w:numPr>
        <w:pStyle w:val="Compact"/>
      </w:pPr>
      <w:r>
        <w:t xml:space="preserve">Translation-memory suggestions (reuse across similar keys) and AI-assisted override drafts under Doc 10’s AI-drafts-human-publishes rule.</w:t>
      </w:r>
    </w:p>
    <w:p>
      <w:pPr>
        <w:numPr>
          <w:ilvl w:val="0"/>
          <w:numId w:val="1005"/>
        </w:numPr>
        <w:pStyle w:val="Compact"/>
      </w:pPr>
      <w:r>
        <w:t xml:space="preserve">Per-tenant custom domains for the staff app (CNAME + cert automation) — currently Doc 18 manual; productized later.</w:t>
      </w:r>
    </w:p>
    <w:bookmarkEnd w:id="42"/>
    <w:bookmarkStart w:id="43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Theme flexibility vs product coherence (Medium/Medium) → the token set bounds what varies (colors/assets/copy, never layout); the hostile sweep keeps every combination shippable; custom-CSS requests are the named scope wall (declined in v1, revisit only with the sweep extended).</w:t>
      </w:r>
      <w:r>
        <w:t xml:space="preserve"> </w:t>
      </w:r>
      <w:r>
        <w:t xml:space="preserve">R-02 Translation-override drift from shipped intent (Medium/Low) → modified badges, reset paths, orphan maintenance, and the shipped value always visible beside the override.</w:t>
      </w:r>
      <w:r>
        <w:t xml:space="preserve"> </w:t>
      </w:r>
      <w:r>
        <w:t xml:space="preserve">R-03 Flag misuse as a pseudo-permission system (Medium/Medium) → flags are tenant-wide by design; per-role visibility is Doc 03’s job — the flags screen says so where admins will look for it.</w:t>
      </w:r>
      <w:r>
        <w:t xml:space="preserve"> </w:t>
      </w:r>
      <w:r>
        <w:t xml:space="preserve">R-04 Settings sprawl overwhelming operators (High likelihood, Doc 01 R-03 inherited) → the registry-driven IA with search, grouped screens, and consequence warnings is the containment; the registry sign-off gate is the prevention.</w:t>
      </w:r>
      <w:r>
        <w:t xml:space="preserve"> </w:t>
      </w:r>
      <w:r>
        <w:t xml:space="preserve">R-05 Import-driven misconfiguration at scale (Low/High) → diff-preview + per-row validation + individual audits (BR-07) make imports the</w:t>
      </w:r>
      <w:r>
        <w:t xml:space="preserve"> </w:t>
      </w:r>
      <w:r>
        <w:rPr>
          <w:iCs/>
          <w:i/>
        </w:rPr>
        <w:t xml:space="preserve">safest</w:t>
      </w:r>
      <w:r>
        <w:t xml:space="preserve"> </w:t>
      </w:r>
      <w:r>
        <w:t xml:space="preserve">bulk path, not the riskiest — provided the preview habit holds (onboarding materials).</w:t>
      </w:r>
    </w:p>
    <w:bookmarkEnd w:id="43"/>
    <w:bookmarkStart w:id="44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the FR-05 enforcement pair (lint + hostile sweep) before the theme editor itself — the guarantee is worthless if even one release shipped without the gate, and retrofitting the sweep against accumulated violations is the expensive order.</w:t>
      </w:r>
    </w:p>
    <w:p>
      <w:pPr>
        <w:numPr>
          <w:ilvl w:val="0"/>
          <w:numId w:val="1006"/>
        </w:numPr>
        <w:pStyle w:val="Compact"/>
      </w:pPr>
      <w:r>
        <w:t xml:space="preserve">Ship the incident page (AC-10) in the same milestone as the first kill switch it hosts; scattered stop buttons are how 2 AM incidents get worse.</w:t>
      </w:r>
    </w:p>
    <w:p>
      <w:pPr>
        <w:numPr>
          <w:ilvl w:val="0"/>
          <w:numId w:val="1006"/>
        </w:numPr>
        <w:pStyle w:val="Compact"/>
      </w:pPr>
      <w:r>
        <w:t xml:space="preserve">Seed every new tenant from a maintained config bundle (FR-13) that the platform team dogfoods on its own staging tenant — onboarding quality then improves as a side effect of normal operations.</w:t>
      </w:r>
    </w:p>
    <w:p>
      <w:pPr>
        <w:numPr>
          <w:ilvl w:val="0"/>
          <w:numId w:val="1006"/>
        </w:numPr>
        <w:pStyle w:val="Compact"/>
      </w:pPr>
      <w:r>
        <w:t xml:space="preserve">Keep BR-02’s no-override contrast stance through the first operator complaint about their brand orange; the moment one inaccessible palette ships, the validator becomes advisory forever.</w:t>
      </w:r>
    </w:p>
    <w:p>
      <w:pPr>
        <w:numPr>
          <w:ilvl w:val="0"/>
          <w:numId w:val="1006"/>
        </w:numPr>
        <w:pStyle w:val="Compact"/>
      </w:pPr>
      <w:r>
        <w:t xml:space="preserve">Treat the notification-category registry with the same governance as metrics and permissions (the three registries are the platform’s constitution) — a module shipping notifications outside T-05’s gate reintroduces exactly the ungovernable noise this design eliminates.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16. Next in series: Document 17 — Audit Logging &amp; Compliance.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2026-07-27T06:58:07Z</dcterms:created>
  <dcterms:modified xsi:type="dcterms:W3CDTF">2026-07-27T06:58:07Z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