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7" w:name="document-17-audit-logging-compliance"/>
    <w:p>
      <w:pPr>
        <w:pStyle w:val="Heading1"/>
      </w:pPr>
      <w:r>
        <w:t xml:space="preserve">Document 17 — Audit Logging &amp; Compliance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17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frontend engineers, security engineers, compliance officers, QA, product, operator admins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(append-only audit table, outbox, tenancy, retention engine), Doc 02 (auth events, session identity), Doc 03 (</w:t>
      </w:r>
      <w:r>
        <w:rPr>
          <w:rStyle w:val="VerbatimChar"/>
        </w:rPr>
        <w:t xml:space="preserve">audit.view/export</w:t>
      </w:r>
      <w:r>
        <w:t xml:space="preserve"> </w:t>
      </w:r>
      <w:r>
        <w:t xml:space="preserve">high-risk permissions, high-visibility event classes, four-eyes machinery), Doc 08 (customer export/erasure initiation, RG history), every module (event emission per its SEC sections). Consumed by: security monitoring (Doc 18), regulators/auditors via exports, the QA test plans (Doc 19).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Laravel, PostgreSQL (append-only partitioned audit table with restricted DB grants), Redis (write batching), Horizon, Browsershot/CSV exports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platform’s accountability layer: the</w:t>
      </w:r>
      <w:r>
        <w:t xml:space="preserve"> </w:t>
      </w:r>
      <w:r>
        <w:rPr>
          <w:bCs/>
          <w:b/>
        </w:rPr>
        <w:t xml:space="preserve">audit log</w:t>
      </w:r>
      <w:r>
        <w:t xml:space="preserve"> </w:t>
      </w:r>
      <w:r>
        <w:t xml:space="preserve">— an append-only, immutable, tenant-scoped record of every consequential action (logins, ticket changes, user and permission changes, settings and branding changes, AI configuration changes, SMS and Telegram administrative activity, customer-data operations, exports themselves) with actor, action, object, old value, new value, IP, user agent, and timestamp — its</w:t>
      </w:r>
      <w:r>
        <w:t xml:space="preserve"> </w:t>
      </w:r>
      <w:r>
        <w:rPr>
          <w:bCs/>
          <w:b/>
        </w:rPr>
        <w:t xml:space="preserve">two visibility classes</w:t>
      </w:r>
      <w:r>
        <w:t xml:space="preserve"> </w:t>
      </w:r>
      <w:r>
        <w:t xml:space="preserve">(standard and high-visibility, the Doc 03 classification realized as one pipeline with different surfacing), the</w:t>
      </w:r>
      <w:r>
        <w:t xml:space="preserve"> </w:t>
      </w:r>
      <w:r>
        <w:rPr>
          <w:bCs/>
          <w:b/>
        </w:rPr>
        <w:t xml:space="preserve">audit viewer</w:t>
      </w:r>
      <w:r>
        <w:t xml:space="preserve"> </w:t>
      </w:r>
      <w:r>
        <w:t xml:space="preserve">(filterable, expandable old→new diffs, per-object timelines embedded across the product, saved investigations),</w:t>
      </w:r>
      <w:r>
        <w:t xml:space="preserve"> </w:t>
      </w:r>
      <w:r>
        <w:rPr>
          <w:bCs/>
          <w:b/>
        </w:rPr>
        <w:t xml:space="preserve">integrity guarantees</w:t>
      </w:r>
      <w:r>
        <w:t xml:space="preserve"> </w:t>
      </w:r>
      <w:r>
        <w:t xml:space="preserve">(database-grant immutability, hash chaining per tenant-day, external anchor option),</w:t>
      </w:r>
      <w:r>
        <w:t xml:space="preserve"> </w:t>
      </w:r>
      <w:r>
        <w:rPr>
          <w:bCs/>
          <w:b/>
        </w:rPr>
        <w:t xml:space="preserve">retention and legal hold</w:t>
      </w:r>
      <w:r>
        <w:t xml:space="preserve">, the</w:t>
      </w:r>
      <w:r>
        <w:t xml:space="preserve"> </w:t>
      </w:r>
      <w:r>
        <w:rPr>
          <w:bCs/>
          <w:b/>
        </w:rPr>
        <w:t xml:space="preserve">compliance workflows</w:t>
      </w:r>
      <w:r>
        <w:t xml:space="preserve"> </w:t>
      </w:r>
      <w:r>
        <w:t xml:space="preserve">built on top: customer</w:t>
      </w:r>
      <w:r>
        <w:t xml:space="preserve"> </w:t>
      </w:r>
      <w:r>
        <w:rPr>
          <w:bCs/>
          <w:b/>
        </w:rPr>
        <w:t xml:space="preserve">data export</w:t>
      </w:r>
      <w:r>
        <w:t xml:space="preserve"> </w:t>
      </w:r>
      <w:r>
        <w:t xml:space="preserve">(the subject-access package) and the</w:t>
      </w:r>
      <w:r>
        <w:t xml:space="preserve"> </w:t>
      </w:r>
      <w:r>
        <w:rPr>
          <w:bCs/>
          <w:b/>
        </w:rPr>
        <w:t xml:space="preserve">erasure workflow</w:t>
      </w:r>
      <w:r>
        <w:t xml:space="preserve"> </w:t>
      </w:r>
      <w:r>
        <w:t xml:space="preserve">(request → approval chain → staged execution across messages, media, profiles, and derived data → verification report — the wiring for Doc 06 BR-01’s reserved deletion and Doc 08 SEC-04’s initiation),</w:t>
      </w:r>
      <w:r>
        <w:t xml:space="preserve"> </w:t>
      </w:r>
      <w:r>
        <w:rPr>
          <w:bCs/>
          <w:b/>
        </w:rPr>
        <w:t xml:space="preserve">regulator-ready exports</w:t>
      </w:r>
      <w:r>
        <w:t xml:space="preserve"> </w:t>
      </w:r>
      <w:r>
        <w:t xml:space="preserve">(scoped, watermarked, tamper-evident), PII-masking rules for what the audit itself stores, and the module-by-module</w:t>
      </w:r>
      <w:r>
        <w:t xml:space="preserve"> </w:t>
      </w:r>
      <w:r>
        <w:rPr>
          <w:bCs/>
          <w:b/>
        </w:rPr>
        <w:t xml:space="preserve">coverage matrix</w:t>
      </w:r>
      <w:r>
        <w:t xml:space="preserve"> </w:t>
      </w:r>
      <w:r>
        <w:t xml:space="preserve">that CI enforces so no auditable action ships unaudited. The design stance: the audit log is the platform’s memory of record — it is written by everything, editable by nothing, and readable only with reason.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Provide one authoritative, immutable trail answering</w:t>
      </w:r>
      <w:r>
        <w:t xml:space="preserve"> </w:t>
      </w:r>
      <w:r>
        <w:t xml:space="preserve">“</w:t>
      </w:r>
      <w:r>
        <w:t xml:space="preserve">who did what, when, to what, and what changed</w:t>
      </w:r>
      <w:r>
        <w:t xml:space="preserve">”</w:t>
      </w:r>
      <w:r>
        <w:t xml:space="preserve"> </w:t>
      </w:r>
      <w:r>
        <w:t xml:space="preserve">for every consequential action across all 18 other documents.</w:t>
      </w:r>
    </w:p>
    <w:p>
      <w:pPr>
        <w:numPr>
          <w:ilvl w:val="0"/>
          <w:numId w:val="1001"/>
        </w:numPr>
        <w:pStyle w:val="Compact"/>
      </w:pPr>
      <w:r>
        <w:t xml:space="preserve">Make compliance operational: subject-access exports and approval-gated erasure as designed workflows, not ad-hoc engineering favors.</w:t>
      </w:r>
    </w:p>
    <w:p>
      <w:pPr>
        <w:numPr>
          <w:ilvl w:val="0"/>
          <w:numId w:val="1001"/>
        </w:numPr>
        <w:pStyle w:val="Compact"/>
      </w:pPr>
      <w:r>
        <w:t xml:space="preserve">Guarantee integrity in a form an external auditor or regulator can verify (immutability by construction + tamper-evidence).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the audit event model and write pipeline; the coverage matrix and its CI gate; visibility classes; PII rules for audit content; the audit viewer and embedded per-object timelines; search/filter/saved investigations; integrity (grants, hash chains, anchoring); retention &amp; legal holds for audit data; audit exports; the customer data-export package; the erasure workflow end-to-end; security-monitoring feed hand-off (Doc 18); events about the audit system itself (exports, hold changes, erasures).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application event production (each doc’s SEC sections own emission; this doc owns the sink, the matrix, and the gate); operational/security alerting rules (Doc 18 consumes the feed); message/media retention policies themselves (Docs 01/04 — erasure interacts with them here); the customer-facing privacy policy text (operator content, Doc 16 legal links).</w:t>
      </w:r>
    </w:p>
    <w:bookmarkEnd w:id="22"/>
    <w:bookmarkStart w:id="29" w:name="functional-requirements"/>
    <w:p>
      <w:pPr>
        <w:pStyle w:val="Heading2"/>
      </w:pPr>
      <w:r>
        <w:t xml:space="preserve">4. Functional Requirements</w:t>
      </w:r>
    </w:p>
    <w:bookmarkStart w:id="23" w:name="event-model-write-pipeline"/>
    <w:p>
      <w:pPr>
        <w:pStyle w:val="Heading3"/>
      </w:pPr>
      <w:r>
        <w:t xml:space="preserve">4.1 Event model &amp; write pipeline</w:t>
      </w:r>
    </w:p>
    <w:p>
      <w:pPr>
        <w:pStyle w:val="FirstParagraph"/>
      </w:pPr>
      <w:r>
        <w:t xml:space="preserve">FR-01 Audit entry = {id (uuidv7), tenant_id, actor {type: user|system|ai|api_key, id, display snapshot}, on_behalf_of (nullable — jobs-as-user per Doc 03 SEC-06), module, action (namespaced key from the coverage matrix, e.g. </w:t>
      </w:r>
      <w:r>
        <w:rPr>
          <w:rStyle w:val="VerbatimChar"/>
        </w:rPr>
        <w:t xml:space="preserve">tickets.merged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auth.2fa.reset_by_admin</w:t>
      </w:r>
      <w:r>
        <w:t xml:space="preserve">), object {type, id, label snapshot}, secondary_objects[] (merge targets, transfer destinations), old (jsonb), new (jsonb), reason (where the emitting module requires one), visibility (</w:t>
      </w:r>
      <w:r>
        <w:rPr>
          <w:rStyle w:val="VerbatimChar"/>
        </w:rPr>
        <w:t xml:space="preserve">standard | high</w:t>
      </w:r>
      <w:r>
        <w:t xml:space="preserve">), ip, user_agent, trace_id (Doc 01 T-07), occurred_at, chain fields (§4.4)}. Label snapshots make entries readable after renames/deletions (the Doc 08 tombstone philosophy applied to history).</w:t>
      </w:r>
      <w:r>
        <w:t xml:space="preserve"> </w:t>
      </w:r>
      <w:r>
        <w:t xml:space="preserve">FR-02 Write path: modules emit via the Doc 01 outbox (transactional with the action) → the audit consumer writes batched inserts to the append-only table; direct synchronous writes are used only for auth events with no surrounding transaction (Doc 02’s) — both paths land in one table with one schema; write failures never fail the business action (the consumer retries from the outbox; the outbox’s at-least-once + entry idempotency on event id guarantees no gaps and no dupes).</w:t>
      </w:r>
      <w:r>
        <w:t xml:space="preserve"> </w:t>
      </w:r>
      <w:r>
        <w:t xml:space="preserve">FR-03</w:t>
      </w:r>
      <w:r>
        <w:t xml:space="preserve"> </w:t>
      </w:r>
      <w:r>
        <w:rPr>
          <w:bCs/>
          <w:b/>
        </w:rPr>
        <w:t xml:space="preserve">Coverage matrix (normative + CI-enforced):</w:t>
      </w:r>
      <w:r>
        <w:t xml:space="preserve"> </w:t>
      </w:r>
      <w:r>
        <w:t xml:space="preserve">a code-registered map of every auditable action key → {emitting module, required fields (does it need reason? old/new? secondary objects?), visibility class}. The matrix aggregates every SEC-section commitment made in Docs 02–16 (auth events; RBAC changes incl. overrides and four-eyes; ticket operations; customer identity/merge/RG/block; Telegram bot/connection admin; widget config; SMS templates/gateways/opt-outs/broadcasts; KB publish/visibility; automation/SLA/forms/fields; routing structure; report exports/schedules; branding/settings/flags/imports). CI gate: (a) every matrix key has at least one emission-path test; (b) any route/job performing a matrix-mapped mutation without emitting fails the build (static analysis on the transition/write services + runtime assertion harness) — the</w:t>
      </w:r>
      <w:r>
        <w:t xml:space="preserve"> </w:t>
      </w:r>
      <w:r>
        <w:t xml:space="preserve">“</w:t>
      </w:r>
      <w:r>
        <w:t xml:space="preserve">no auditable action ships unaudited</w:t>
      </w:r>
      <w:r>
        <w:t xml:space="preserve">”</w:t>
      </w:r>
      <w:r>
        <w:t xml:space="preserve"> </w:t>
      </w:r>
      <w:r>
        <w:t xml:space="preserve">claim made mechanical.</w:t>
      </w:r>
      <w:r>
        <w:t xml:space="preserve"> </w:t>
      </w:r>
      <w:r>
        <w:t xml:space="preserve">FR-04 PII rules for audit content: old/new payloads store the changed fields only (never full-record dumps); message bodies never enter audit (references by id — the conversation is its own record per Doc 04); phones/emails masked per the shared scrubber (Doc 08 SEC-03) in payloads</w:t>
      </w:r>
      <w:r>
        <w:t xml:space="preserve"> </w:t>
      </w:r>
      <w:r>
        <w:rPr>
          <w:iCs/>
          <w:i/>
        </w:rPr>
        <w:t xml:space="preserve">except</w:t>
      </w:r>
      <w:r>
        <w:t xml:space="preserve"> </w:t>
      </w:r>
      <w:r>
        <w:t xml:space="preserve">where the change is the identity value itself (then stored full, since</w:t>
      </w:r>
      <w:r>
        <w:t xml:space="preserve"> </w:t>
      </w:r>
      <w:r>
        <w:t xml:space="preserve">“</w:t>
      </w:r>
      <w:r>
        <w:t xml:space="preserve">what changed</w:t>
      </w:r>
      <w:r>
        <w:t xml:space="preserve">”</w:t>
      </w:r>
      <w:r>
        <w:t xml:space="preserve"> </w:t>
      </w:r>
      <w:r>
        <w:t xml:space="preserve">is the point — visibility high, access gated); RG payloads store the flag state + reason, never conversation excerpts (the excerpt ref points into Doc 08’s restricted history).</w:t>
      </w:r>
    </w:p>
    <w:bookmarkEnd w:id="23"/>
    <w:bookmarkStart w:id="24" w:name="visibility-classes-access"/>
    <w:p>
      <w:pPr>
        <w:pStyle w:val="Heading3"/>
      </w:pPr>
      <w:r>
        <w:t xml:space="preserve">4.2 Visibility classes &amp; access</w:t>
      </w:r>
    </w:p>
    <w:p>
      <w:pPr>
        <w:pStyle w:val="FirstParagraph"/>
      </w:pPr>
      <w:r>
        <w:t xml:space="preserve">FR-05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: routine operational trail.</w:t>
      </w:r>
      <w:r>
        <w:t xml:space="preserve"> </w:t>
      </w:r>
      <w:r>
        <w:rPr>
          <w:rStyle w:val="VerbatimChar"/>
        </w:rPr>
        <w:t xml:space="preserve">high</w:t>
      </w:r>
      <w:r>
        <w:t xml:space="preserve">: the Doc 03 high-risk classes + this doc’s own sensitive actions (audit exports, hold changes, erasure steps, RG-related entries, identity-value changes, opt-in restorations, impersonation-adjacent anythings). Both classes live in one table;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additionally: fans out to the Doc 18 security feed in near-real-time, renders with the shield treatment, and its</w:t>
      </w:r>
      <w:r>
        <w:t xml:space="preserve"> </w:t>
      </w:r>
      <w:r>
        <w:rPr>
          <w:iCs/>
          <w:i/>
        </w:rPr>
        <w:t xml:space="preserve">read access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audit.view</w:t>
      </w:r>
      <w:r>
        <w:t xml:space="preserve"> </w:t>
      </w:r>
      <w:r>
        <w:t xml:space="preserve">(standard per-object timelines are visible to users who can see the object itself — see FR-07’s duality).</w:t>
      </w:r>
      <w:r>
        <w:t xml:space="preserve"> </w:t>
      </w:r>
      <w:r>
        <w:t xml:space="preserve">FR-06 Access: the full audit viewer requires</w:t>
      </w:r>
      <w:r>
        <w:t xml:space="preserve"> </w:t>
      </w:r>
      <w:r>
        <w:rPr>
          <w:rStyle w:val="VerbatimChar"/>
        </w:rPr>
        <w:t xml:space="preserve">audit.view</w:t>
      </w:r>
      <w:r>
        <w:t xml:space="preserve"> </w:t>
      </w:r>
      <w:r>
        <w:t xml:space="preserve">(high-risk permission);</w:t>
      </w:r>
      <w:r>
        <w:t xml:space="preserve"> </w:t>
      </w:r>
      <w:r>
        <w:rPr>
          <w:rStyle w:val="VerbatimChar"/>
        </w:rPr>
        <w:t xml:space="preserve">audit.export</w:t>
      </w:r>
      <w:r>
        <w:t xml:space="preserve"> </w:t>
      </w:r>
      <w:r>
        <w:t xml:space="preserve">separately gates exports; RG-related entries additionally require</w:t>
      </w:r>
      <w:r>
        <w:t xml:space="preserve"> </w:t>
      </w:r>
      <w:r>
        <w:rPr>
          <w:rStyle w:val="VerbatimChar"/>
        </w:rPr>
        <w:t xml:space="preserve">customers.rg_flag.view</w:t>
      </w:r>
      <w:r>
        <w:t xml:space="preserve"> </w:t>
      </w:r>
      <w:r>
        <w:t xml:space="preserve">(double-gate — holding audit.view alone renders them elided per Doc 08 BR-03’s absence rule); reads of high-visibility entries are themselves counted (not per-row logged — a daily access-summary entry per viewer prevents infinite-regress noise while preserving</w:t>
      </w:r>
      <w:r>
        <w:t xml:space="preserve"> </w:t>
      </w:r>
      <w:r>
        <w:t xml:space="preserve">“</w:t>
      </w:r>
      <w:r>
        <w:t xml:space="preserve">who was looking</w:t>
      </w:r>
      <w:r>
        <w:t xml:space="preserve">”</w:t>
      </w:r>
      <w:r>
        <w:t xml:space="preserve">).</w:t>
      </w:r>
      <w:r>
        <w:t xml:space="preserve"> </w:t>
      </w:r>
      <w:r>
        <w:t xml:space="preserve">FR-07 Per-object timelines (the embedded surfaces): tickets (Doc 06 events feed — already specified there, sourced here), customer profiles’ Audit tab (Doc 08 §8), roles/users (Doc 03), articles (Doc 10 versions + this trail), settings rows’ provenance lines (Doc 16) — each shows that object’s standard entries to viewers with object visibility, elides high entries for non-</w:t>
      </w:r>
      <w:r>
        <w:rPr>
          <w:rStyle w:val="VerbatimChar"/>
        </w:rPr>
        <w:t xml:space="preserve">audit.view</w:t>
      </w:r>
      <w:r>
        <w:t xml:space="preserve"> </w:t>
      </w:r>
      <w:r>
        <w:t xml:space="preserve">holders (a settings row shows</w:t>
      </w:r>
      <w:r>
        <w:t xml:space="preserve"> </w:t>
      </w:r>
      <w:r>
        <w:t xml:space="preserve">“</w:t>
      </w:r>
      <w:r>
        <w:t xml:space="preserve">changed by Hanna, Jul 12</w:t>
      </w:r>
      <w:r>
        <w:t xml:space="preserve">”</w:t>
      </w:r>
      <w:r>
        <w:t xml:space="preserve">; the security-policy change</w:t>
      </w:r>
      <w:r>
        <w:t xml:space="preserve"> </w:t>
      </w:r>
      <w:r>
        <w:rPr>
          <w:iCs/>
          <w:i/>
        </w:rPr>
        <w:t xml:space="preserve">details</w:t>
      </w:r>
      <w:r>
        <w:t xml:space="preserve"> </w:t>
      </w:r>
      <w:r>
        <w:t xml:space="preserve">need audit.view). One source, many windows.</w:t>
      </w:r>
    </w:p>
    <w:bookmarkEnd w:id="24"/>
    <w:bookmarkStart w:id="25" w:name="viewer-search-investigations"/>
    <w:p>
      <w:pPr>
        <w:pStyle w:val="Heading3"/>
      </w:pPr>
      <w:r>
        <w:t xml:space="preserve">4.3 Viewer, search, investigations</w:t>
      </w:r>
    </w:p>
    <w:p>
      <w:pPr>
        <w:pStyle w:val="FirstParagraph"/>
      </w:pPr>
      <w:r>
        <w:t xml:space="preserve">FR-08 Audit viewer (Backoffice → Platform → Audit Log): filter bar (date range, actor, module, action key [grouped picker], object type + id lookup, visibility class, IP, has-reason, trace_id); results as a virtualized table (time, actor, action label, object label, visibility shield); row expand = old→new diff (field-level, added/removed/changed styling per the platform diff grammar), full metadata, linked secondary objects, jump-to-object, jump-to-trace (all entries sharing the trace_id — the</w:t>
      </w:r>
      <w:r>
        <w:t xml:space="preserve"> </w:t>
      </w:r>
      <w:r>
        <w:t xml:space="preserve">“</w:t>
      </w:r>
      <w:r>
        <w:t xml:space="preserve">everything this request touched</w:t>
      </w:r>
      <w:r>
        <w:t xml:space="preserve">”</w:t>
      </w:r>
      <w:r>
        <w:t xml:space="preserve"> </w:t>
      </w:r>
      <w:r>
        <w:t xml:space="preserve">view).</w:t>
      </w:r>
      <w:r>
        <w:t xml:space="preserve"> </w:t>
      </w:r>
      <w:r>
        <w:t xml:space="preserve">FR-09 Saved investigations: named filter sets (personal), shareable to other</w:t>
      </w:r>
      <w:r>
        <w:t xml:space="preserve"> </w:t>
      </w:r>
      <w:r>
        <w:rPr>
          <w:rStyle w:val="VerbatimChar"/>
        </w:rPr>
        <w:t xml:space="preserve">audit.view</w:t>
      </w:r>
      <w:r>
        <w:t xml:space="preserve"> </w:t>
      </w:r>
      <w:r>
        <w:t xml:space="preserve">holders; an investigation can be exported as one package (FR-12).</w:t>
      </w:r>
      <w:r>
        <w:t xml:space="preserve"> </w:t>
      </w:r>
      <w:r>
        <w:t xml:space="preserve">FR-10 Retention &amp; holds for audit data: default retention</w:t>
      </w:r>
      <w:r>
        <w:t xml:space="preserve"> </w:t>
      </w:r>
      <w:r>
        <w:rPr>
          <w:rStyle w:val="VerbatimChar"/>
        </w:rPr>
        <w:t xml:space="preserve">audit.retention.months</w:t>
      </w:r>
      <w:r>
        <w:t xml:space="preserve"> </w:t>
      </w:r>
      <w:r>
        <w:t xml:space="preserve">(platform floor 24, tenant-raisable);</w:t>
      </w:r>
      <w:r>
        <w:t xml:space="preserve"> </w:t>
      </w:r>
      <w:r>
        <w:rPr>
          <w:bCs/>
          <w:b/>
        </w:rPr>
        <w:t xml:space="preserve">legal hold</w:t>
      </w:r>
      <w:r>
        <w:t xml:space="preserve">: scoped holds {tenant-wide | actor | object | date-range} freezing matching entries against retention (holds require</w:t>
      </w:r>
      <w:r>
        <w:t xml:space="preserve"> </w:t>
      </w:r>
      <w:r>
        <w:rPr>
          <w:rStyle w:val="VerbatimChar"/>
        </w:rPr>
        <w:t xml:space="preserve">audit.export</w:t>
      </w:r>
      <w:r>
        <w:t xml:space="preserve">-level permission + reason, are themselves high-visibility entries, and list actively on a Holds screen); retention jobs (Doc 01’s engine) skip held ranges with the pre-drop copy-out pattern (Doc 04 EC-09 family).</w:t>
      </w:r>
    </w:p>
    <w:bookmarkEnd w:id="25"/>
    <w:bookmarkStart w:id="26" w:name="integrity"/>
    <w:p>
      <w:pPr>
        <w:pStyle w:val="Heading3"/>
      </w:pPr>
      <w:r>
        <w:t xml:space="preserve">4.4 Integrity</w:t>
      </w:r>
    </w:p>
    <w:p>
      <w:pPr>
        <w:pStyle w:val="FirstParagraph"/>
      </w:pPr>
      <w:r>
        <w:t xml:space="preserve">FR-11 Immutability by construction: the application DB role holds INSERT+SELECT only on audit partitions (Doc 01’s grant posture); no UPDATE/DELETE grants exist for any application path; partition drops (retention) run under the platform maintenance role with the hold checks; migrations touching the audit table require a platform release note (change-control flag in CI).</w:t>
      </w:r>
      <w:r>
        <w:t xml:space="preserve"> </w:t>
      </w:r>
      <w:r>
        <w:t xml:space="preserve">FR-12 Tamper evidence: per tenant per UTC day, entries chain:</w:t>
      </w:r>
      <w:r>
        <w:t xml:space="preserve"> </w:t>
      </w:r>
      <w:r>
        <w:rPr>
          <w:rStyle w:val="VerbatimChar"/>
        </w:rPr>
        <w:t xml:space="preserve">entry.chain_hash = SHA-256(prev_chain_hash ‖ canonical(entry))</w:t>
      </w:r>
      <w:r>
        <w:t xml:space="preserve">; the day’s final hash is sealed into a</w:t>
      </w:r>
      <w:r>
        <w:t xml:space="preserve"> </w:t>
      </w:r>
      <w:r>
        <w:rPr>
          <w:rStyle w:val="VerbatimChar"/>
        </w:rPr>
        <w:t xml:space="preserve">audit_day_seals</w:t>
      </w:r>
      <w:r>
        <w:t xml:space="preserve"> </w:t>
      </w:r>
      <w:r>
        <w:t xml:space="preserve">row (tenant, date, final_hash, entry_count) at day close; a verify job re-walks random sampled days nightly (mismatch = Sev-1 with the exact break position); optional external anchoring (setting): daily seal hashes POSTed to an operator-designated external timestamping endpoint / write-once bucket — proving the platform itself couldn’t silently rewrite history.</w:t>
      </w:r>
      <w:r>
        <w:t xml:space="preserve"> </w:t>
      </w:r>
      <w:r>
        <w:t xml:space="preserve">FR-13 Verification tooling:</w:t>
      </w:r>
      <w:r>
        <w:t xml:space="preserve"> </w:t>
      </w:r>
      <w:r>
        <w:rPr>
          <w:rStyle w:val="VerbatimChar"/>
        </w:rPr>
        <w:t xml:space="preserve">audit:verify {tenant} {date-range}</w:t>
      </w:r>
      <w:r>
        <w:t xml:space="preserve"> </w:t>
      </w:r>
      <w:r>
        <w:t xml:space="preserve">command producing a signed verification report (used in FR-15 exports and by auditors on request); the viewer shows each day’s seal status (sealed ✓ / pending / mismatch ⚠).</w:t>
      </w:r>
    </w:p>
    <w:bookmarkEnd w:id="26"/>
    <w:bookmarkStart w:id="27" w:name="compliance-workflows"/>
    <w:p>
      <w:pPr>
        <w:pStyle w:val="Heading3"/>
      </w:pPr>
      <w:r>
        <w:t xml:space="preserve">4.5 Compliance workflows</w:t>
      </w:r>
    </w:p>
    <w:p>
      <w:pPr>
        <w:pStyle w:val="FirstParagraph"/>
      </w:pPr>
      <w:r>
        <w:t xml:space="preserve">FR-14</w:t>
      </w:r>
      <w:r>
        <w:t xml:space="preserve"> </w:t>
      </w:r>
      <w:r>
        <w:rPr>
          <w:bCs/>
          <w:b/>
        </w:rPr>
        <w:t xml:space="preserve">Customer data export</w:t>
      </w:r>
      <w:r>
        <w:t xml:space="preserve"> </w:t>
      </w:r>
      <w:r>
        <w:t xml:space="preserve">(subject access; initiated per Doc 08 SEC-04): async job assembling {profile + identities + custom fields, conversations + messages (their own — the customer’s side and staff public replies; internal notes excluded by definition), media manifest with retrieval links (time-limited), tickets summary, CSAT responses, SMS log (to them), consent-adjacent records (opt-outs), the customer’s audit-relevant entries (actions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their data, actor names elided to roles for staff privacy —</w:t>
      </w:r>
      <w:r>
        <w:t xml:space="preserve"> </w:t>
      </w:r>
      <w:r>
        <w:t xml:space="preserve">“</w:t>
      </w:r>
      <w:r>
        <w:t xml:space="preserve">an agent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 supervisor</w:t>
      </w:r>
      <w:r>
        <w:t xml:space="preserve">”</w:t>
      </w:r>
      <w:r>
        <w:t xml:space="preserve"> </w:t>
      </w:r>
      <w:r>
        <w:t xml:space="preserve">+ timestamps)} rendered as a structured JSON + human-readable PDF; permission</w:t>
      </w:r>
      <w:r>
        <w:t xml:space="preserve"> </w:t>
      </w:r>
      <w:r>
        <w:rPr>
          <w:rStyle w:val="VerbatimChar"/>
        </w:rPr>
        <w:t xml:space="preserve">customers.export</w:t>
      </w:r>
      <w:r>
        <w:t xml:space="preserve">; delivery to staff (who convey it) — the platform has no customer-direct delivery channel for it in v1 (documented; §19).</w:t>
      </w:r>
      <w:r>
        <w:t xml:space="preserve"> </w:t>
      </w:r>
      <w:r>
        <w:t xml:space="preserve">FR-15</w:t>
      </w:r>
      <w:r>
        <w:t xml:space="preserve"> </w:t>
      </w:r>
      <w:r>
        <w:rPr>
          <w:bCs/>
          <w:b/>
        </w:rPr>
        <w:t xml:space="preserve">Erasure workflow</w:t>
      </w:r>
      <w:r>
        <w:t xml:space="preserve"> </w:t>
      </w:r>
      <w:r>
        <w:t xml:space="preserve">(the Doc 06 BR-01 / Doc 08 reservation, now specified): request (staff-entered with source: customer request | regulator | operator policy; scope: full customer | specific conversations) →</w:t>
      </w:r>
      <w:r>
        <w:t xml:space="preserve"> </w:t>
      </w:r>
      <w:r>
        <w:rPr>
          <w:bCs/>
          <w:b/>
        </w:rPr>
        <w:t xml:space="preserve">approval chain</w:t>
      </w:r>
      <w:r>
        <w:t xml:space="preserve">: requires a distinct approver holding</w:t>
      </w:r>
      <w:r>
        <w:t xml:space="preserve"> </w:t>
      </w:r>
      <w:r>
        <w:rPr>
          <w:rStyle w:val="VerbatimChar"/>
        </w:rPr>
        <w:t xml:space="preserve">customers.delete</w:t>
      </w:r>
      <w:r>
        <w:t xml:space="preserve"> </w:t>
      </w:r>
      <w:r>
        <w:t xml:space="preserve">(four-eyes mandatory here regardless of the Doc 03 tenant setting — hard rule), with a review screen showing exactly what will be erased (counts per data class) and what will be</w:t>
      </w:r>
      <w:r>
        <w:t xml:space="preserve"> </w:t>
      </w:r>
      <w:r>
        <w:rPr>
          <w:bCs/>
          <w:b/>
        </w:rPr>
        <w:t xml:space="preserve">retained with justification</w:t>
      </w:r>
      <w:r>
        <w:t xml:space="preserve"> </w:t>
      </w:r>
      <w:r>
        <w:t xml:space="preserve">(financial-dispute records under legal retention, audit entries themselves [erasure is logged, not erased — the entry’s PII follows FR-04 masking], aggregate report contributions [already anonymous by construction]) → staged execution: messages/media purged (Doc 04 stores + derived transcripts/OCR), profile anonymized to a tombstone (</w:t>
      </w:r>
      <w:r>
        <w:rPr>
          <w:rStyle w:val="VerbatimChar"/>
        </w:rPr>
        <w:t xml:space="preserve">erased</w:t>
      </w:r>
      <w:r>
        <w:t xml:space="preserve"> </w:t>
      </w:r>
      <w:r>
        <w:t xml:space="preserve">state: display</w:t>
      </w:r>
      <w:r>
        <w:t xml:space="preserve"> </w:t>
      </w:r>
      <w:r>
        <w:t xml:space="preserve">“</w:t>
      </w:r>
      <w:r>
        <w:t xml:space="preserve">Erased customer</w:t>
      </w:r>
      <w:r>
        <w:t xml:space="preserve">”</w:t>
      </w:r>
      <w:r>
        <w:t xml:space="preserve">, identities removed, the Doc 08 merge-pointer integrity kept via the tombstone), search/retrieval indexes purged, caches invalidated, backups handled per Doc 18’s documented backup-erasure policy (staged expiry — stated honestly in the verification report rather than pretending instant backup erasure) →</w:t>
      </w:r>
      <w:r>
        <w:t xml:space="preserve"> </w:t>
      </w:r>
      <w:r>
        <w:rPr>
          <w:bCs/>
          <w:b/>
        </w:rPr>
        <w:t xml:space="preserve">verification report</w:t>
      </w:r>
      <w:r>
        <w:t xml:space="preserve">: per-class before/after counts, residuals with justifications, seal-referenced audit entries for every step; the report is the artifact handed to the requester/regulator.</w:t>
      </w:r>
      <w:r>
        <w:t xml:space="preserve"> </w:t>
      </w:r>
      <w:r>
        <w:t xml:space="preserve">FR-16 Erasure interactions (normative): open tickets block full erasure (resolve/close first — listed in the review screen); legal holds block conflicting erasures (the conflict surfaces at review with the hold’s reason; resolution is a human decision between the two legal obligations, recorded); RG history follows the same erasure scope (it is the customer’s data) with its restricted-access trail noting the erasure; Doc 15 aggregates are untouched (event-sourced values already contain no identity — asserted by the Doc 15 exclusion/PII posture); the Doc 08 30-day merge snapshots covering the customer are purged with the erasure.</w:t>
      </w:r>
      <w:r>
        <w:t xml:space="preserve"> </w:t>
      </w:r>
      <w:r>
        <w:t xml:space="preserve">FR-17 Audit exports: scoped {filters | investigation | object timeline | verification report} → CSV (stable action keys + localized labels, Doc 15 FR-16 pattern) and PDF (watermarked: exporting user, timestamp, filter parameters, seal-status summary); every export is itself a high-visibility entry with its parameters; regulator packages combine an export + the FR-13 verification report.</w:t>
      </w:r>
    </w:p>
    <w:bookmarkEnd w:id="27"/>
    <w:bookmarkStart w:id="28" w:name="events-about-the-audit-system"/>
    <w:p>
      <w:pPr>
        <w:pStyle w:val="Heading3"/>
      </w:pPr>
      <w:r>
        <w:t xml:space="preserve">4.6 Events about the audit system</w:t>
      </w:r>
    </w:p>
    <w:p>
      <w:pPr>
        <w:pStyle w:val="FirstParagraph"/>
      </w:pPr>
      <w:r>
        <w:t xml:space="preserve">FR-18</w:t>
      </w:r>
      <w:r>
        <w:t xml:space="preserve"> </w:t>
      </w:r>
      <w:r>
        <w:rPr>
          <w:rStyle w:val="VerbatimChar"/>
        </w:rPr>
        <w:t xml:space="preserve">audit.exported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audit.hold.created|released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audit.verify.mismatch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erasure.requested|approved|rejected|executed|verified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subject_export.generated</w:t>
      </w:r>
      <w:r>
        <w:t xml:space="preserve"> </w:t>
      </w:r>
      <w:r>
        <w:t xml:space="preserve">— all high-visibility (the watchers are watched).</w:t>
      </w:r>
    </w:p>
    <w:bookmarkEnd w:id="28"/>
    <w:bookmarkEnd w:id="29"/>
    <w:bookmarkStart w:id="30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Audit write adds ≤ 2 ms p99 to emitting transactions (outbox insert; the consumer’s batch insert amortized ≤ 0.5 ms/entry).</w:t>
      </w:r>
      <w:r>
        <w:t xml:space="preserve"> </w:t>
      </w:r>
      <w:r>
        <w:t xml:space="preserve">NFR-02 Ingest keeps up at 500 entries/s platform burst with lag alerting (Doc 01 budgets); viewer queries ≤ 800 ms p95 over 100 M entries (partition pruning + the filter indexes).</w:t>
      </w:r>
      <w:r>
        <w:t xml:space="preserve"> </w:t>
      </w:r>
      <w:r>
        <w:t xml:space="preserve">NFR-03 Day-seal computation ≤ 5 min after UTC day close per tenant; nightly sampled verification ≤ 30 min platform-wide.</w:t>
      </w:r>
      <w:r>
        <w:t xml:space="preserve"> </w:t>
      </w:r>
      <w:r>
        <w:t xml:space="preserve">NFR-04 Subject export assembly ≤ 10 min p95 for a 10k-message customer; erasure execution ≤ 60 min p95 same scale with per-stage progress.</w:t>
      </w:r>
      <w:r>
        <w:t xml:space="preserve"> </w:t>
      </w:r>
      <w:r>
        <w:t xml:space="preserve">NFR-05 Zero-gap guarantee: for any matrix-mapped action that committed, an audit entry exists (the outbox transactionality + FR-03’s gate; asserted by the chaos suite — kill the consumer mid-burst, drain, reconcile counts exactly).</w:t>
      </w:r>
      <w:r>
        <w:t xml:space="preserve"> </w:t>
      </w:r>
      <w:r>
        <w:t xml:space="preserve">NFR-06 The coverage matrix is complete by construction: a release cannot add a high-risk permission (Doc 03), a settings key (Doc 01), or a notification category (Doc 16) without a matrix mapping (the three-registries cross-check in CI — the platform’s constitution audits itself).</w:t>
      </w:r>
    </w:p>
    <w:bookmarkEnd w:id="30"/>
    <w:bookmarkStart w:id="31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 compliance officer, I answer a regulator’s</w:t>
      </w:r>
      <w:r>
        <w:t xml:space="preserve"> </w:t>
      </w:r>
      <w:r>
        <w:t xml:space="preserve">“</w:t>
      </w:r>
      <w:r>
        <w:t xml:space="preserve">show me every change to responsible-gaming handling this quarter</w:t>
      </w:r>
      <w:r>
        <w:t xml:space="preserve">”</w:t>
      </w:r>
      <w:r>
        <w:t xml:space="preserve"> </w:t>
      </w:r>
      <w:r>
        <w:t xml:space="preserve">with one saved investigation and a sealed, verifiable export.</w:t>
      </w:r>
      <w:r>
        <w:t xml:space="preserve"> </w:t>
      </w:r>
      <w:r>
        <w:t xml:space="preserve">US-02 As an operator admin, when a bonus was mis-credited, the ticket’s timeline plus jump-to-trace shows me the rule, the agent, and the settings change that aligned to cause it — in ten minutes.</w:t>
      </w:r>
      <w:r>
        <w:t xml:space="preserve"> </w:t>
      </w:r>
      <w:r>
        <w:t xml:space="preserve">US-03 As a security engineer, high-visibility events stream to monitoring in near-real-time, and I can prove to an auditor that nobody — including us — can rewrite yesterday.</w:t>
      </w:r>
      <w:r>
        <w:t xml:space="preserve"> </w:t>
      </w:r>
      <w:r>
        <w:t xml:space="preserve">US-04 As an operator, a customer invokes their erasure rights; two of my staff independently review what goes and what legally stays, it executes in stages, and I hand the customer a verification report instead of a promise.</w:t>
      </w:r>
      <w:r>
        <w:t xml:space="preserve"> </w:t>
      </w:r>
      <w:r>
        <w:t xml:space="preserve">US-05 As an agent, I see honest provenance everywhere (</w:t>
      </w:r>
      <w:r>
        <w:t xml:space="preserve">“</w:t>
      </w:r>
      <w:r>
        <w:t xml:space="preserve">changed by Sara, yesterday</w:t>
      </w:r>
      <w:r>
        <w:t xml:space="preserve">”</w:t>
      </w:r>
      <w:r>
        <w:t xml:space="preserve">) without needing — or having — access to the full audit trail.</w:t>
      </w:r>
      <w:r>
        <w:t xml:space="preserve"> </w:t>
      </w:r>
      <w:r>
        <w:t xml:space="preserve">US-06 As a platform engineer, I cannot ship a mutation the matrix doesn’t know about; the build tells me before review does.</w:t>
      </w:r>
      <w:r>
        <w:t xml:space="preserve"> </w:t>
      </w:r>
      <w:r>
        <w:t xml:space="preserve">US-07 As a QA lead, the audit trail is my oracle: every test scenario’s expected entries are assertable fixtures (Doc 19 consumes the matrix as its checklist).</w:t>
      </w:r>
    </w:p>
    <w:bookmarkEnd w:id="31"/>
    <w:bookmarkStart w:id="32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Append-only means append-only: no correction mechanism exists — errors are corrected by subsequent entries referencing the erroneous one (</w:t>
      </w:r>
      <w:r>
        <w:rPr>
          <w:rStyle w:val="VerbatimChar"/>
        </w:rPr>
        <w:t xml:space="preserve">corrects: entry_id</w:t>
      </w:r>
      <w:r>
        <w:t xml:space="preserve">), never by mutation; even platform staff operate under this rule (the grants make it physics, not policy).</w:t>
      </w:r>
      <w:r>
        <w:t xml:space="preserve"> </w:t>
      </w:r>
      <w:r>
        <w:t xml:space="preserve">BR-02 The audit log audits itself (FR-18): exports, holds, verifications, and erasures of audited data are first-class entries — there is no meta-level exempt from the trail.</w:t>
      </w:r>
      <w:r>
        <w:t xml:space="preserve"> </w:t>
      </w:r>
      <w:r>
        <w:t xml:space="preserve">BR-03 Erasure is honored and honest (FR-15): what’s erased is erased, what’s retained is justified in writing, and backup-lag reality is stated, not hidden — a verification report that admits staged backup expiry is trustworthy; one that claims instant total erasure is not.</w:t>
      </w:r>
      <w:r>
        <w:t xml:space="preserve"> </w:t>
      </w:r>
      <w:r>
        <w:t xml:space="preserve">BR-04 Reads are privileged, writes are universal: every module must write; almost nobody may read broadly (the FR-06/07 duality) — provenance for all, surveillance for none.</w:t>
      </w:r>
      <w:r>
        <w:t xml:space="preserve"> </w:t>
      </w:r>
      <w:r>
        <w:t xml:space="preserve">BR-05 Actor truth: system actions say system, AI actions say ai, jobs-as-user say both (actor + on_behalf_of), machine tokens say their service account (Doc 02 BR-03) — the trail never launders agency.</w:t>
      </w:r>
      <w:r>
        <w:t xml:space="preserve"> </w:t>
      </w:r>
      <w:r>
        <w:t xml:space="preserve">BR-06 High-visibility is a floor, not a ceiling: modules may classify up, never down; the matrix owns the classification and change control owns the matrix.</w:t>
      </w:r>
      <w:r>
        <w:t xml:space="preserve"> </w:t>
      </w:r>
      <w:r>
        <w:t xml:space="preserve">BR-07 The audit trail outlives its subjects: renames, deletions, merges, and erasures leave label snapshots and tombstone references so history stays readable (FR-01) — within FR-15’s erasure masking for the erased subject’s PII.</w:t>
      </w:r>
    </w:p>
    <w:bookmarkEnd w:id="32"/>
    <w:bookmarkStart w:id="33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Viewer:</w:t>
      </w:r>
      <w:r>
        <w:t xml:space="preserve"> </w:t>
      </w:r>
      <w:r>
        <w:t xml:space="preserve">per FR-08; the filter bar’s action picker groups by module with search; visibility shields on high rows; diff expansion uses the platform diff grammar (Doc 10/16 family); jump-to-trace renders as a mini-timeline overlay; seal-status column per day boundary rows (</w:t>
      </w:r>
      <w:r>
        <w:t xml:space="preserve">“</w:t>
      </w:r>
      <w:r>
        <w:t xml:space="preserve">Day sealed ✓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Saved investigations:</w:t>
      </w:r>
      <w:r>
        <w:t xml:space="preserve"> </w:t>
      </w:r>
      <w:r>
        <w:t xml:space="preserve">list with owner/shared badges; open = filters applied + a result-count delta since last viewed (</w:t>
      </w:r>
      <w:r>
        <w:t xml:space="preserve">“</w:t>
      </w:r>
      <w:r>
        <w:t xml:space="preserve">+14 new entries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Holds screen:</w:t>
      </w:r>
      <w:r>
        <w:t xml:space="preserve"> </w:t>
      </w:r>
      <w:r>
        <w:t xml:space="preserve">active holds table (scope, reason, created-by, entry-count estimate, release action with reason); creating a hold shows the scope-preview count.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Erasure workflow UI:</w:t>
      </w:r>
      <w:r>
        <w:t xml:space="preserve"> </w:t>
      </w:r>
      <w:r>
        <w:t xml:space="preserve">request form (source, scope with object pickers, requester notes) → review screen (the FR-15 counts-per-class table, retained-with-justification list with editable justification text, blocking conflicts [open tickets, holds] as resolve-first items) → approval (distinct-approver enforcement visible:</w:t>
      </w:r>
      <w:r>
        <w:t xml:space="preserve"> </w:t>
      </w:r>
      <w:r>
        <w:t xml:space="preserve">“</w:t>
      </w:r>
      <w:r>
        <w:t xml:space="preserve">awaiting a second approver — you cannot approve your own request</w:t>
      </w:r>
      <w:r>
        <w:t xml:space="preserve">”</w:t>
      </w:r>
      <w:r>
        <w:t xml:space="preserve">) → execution progress (per-stage checklist with counts live) → the verification report (rendered + PDF download).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Subject-export UI:</w:t>
      </w:r>
      <w:r>
        <w:t xml:space="preserve"> </w:t>
      </w:r>
      <w:r>
        <w:t xml:space="preserve">request → progress → package download with the delivery-note guidance (FR-14’s staff-conveyance model stated).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Embedded timelines:</w:t>
      </w:r>
      <w:r>
        <w:t xml:space="preserve"> </w:t>
      </w:r>
      <w:r>
        <w:t xml:space="preserve">per FR-07 across the product — consistent entry rendering (actor avatar/name snapshot, action sentence from i18n templates, relative time, expand affordance where details are permitted).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Empty/loading/error:</w:t>
      </w:r>
      <w:r>
        <w:t xml:space="preserve"> </w:t>
      </w:r>
      <w:r>
        <w:t xml:space="preserve">viewer skeletons; verification-mismatch banner (the one red alarm this module owns) with the affected day and the runbook link; export/erasure job failures with retry + reference; elided-entry rendering (</w:t>
      </w:r>
      <w:r>
        <w:t xml:space="preserve">“</w:t>
      </w:r>
      <w:r>
        <w:t xml:space="preserve">an entry requires additional permissions</w:t>
      </w:r>
      <w:r>
        <w:t xml:space="preserve">”</w:t>
      </w:r>
      <w:r>
        <w:t xml:space="preserve">) only where FR-07’s duality demands acknowledging existence — RG entries render as absence per Doc 08 BR-03 (the two elision modes documented per action key in the matrix).</w:t>
      </w:r>
    </w:p>
    <w:bookmarkEnd w:id="33"/>
    <w:bookmarkStart w:id="34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Visibility shield: amber shield glyph +</w:t>
      </w:r>
      <w:r>
        <w:t xml:space="preserve"> </w:t>
      </w:r>
      <w:r>
        <w:t xml:space="preserve">“</w:t>
      </w:r>
      <w:r>
        <w:t xml:space="preserve">high visibility</w:t>
      </w:r>
      <w:r>
        <w:t xml:space="preserve">”</w:t>
      </w:r>
      <w:r>
        <w:t xml:space="preserve"> </w:t>
      </w:r>
      <w:r>
        <w:t xml:space="preserve">label; RG-double-gated rows never render at all without both permissions (absence, not lock).</w:t>
      </w:r>
    </w:p>
    <w:p>
      <w:pPr>
        <w:numPr>
          <w:ilvl w:val="0"/>
          <w:numId w:val="1003"/>
        </w:numPr>
        <w:pStyle w:val="Compact"/>
      </w:pPr>
      <w:r>
        <w:t xml:space="preserve">Diff styling: field rows with old (red tint, strikethrough-free — values must stay copyable) → new (green tint); masked values render as</w:t>
      </w:r>
      <w:r>
        <w:t xml:space="preserve"> </w:t>
      </w:r>
      <w:r>
        <w:rPr>
          <w:rStyle w:val="VerbatimChar"/>
        </w:rPr>
        <w:t xml:space="preserve">•••</w:t>
      </w:r>
      <w:r>
        <w:t xml:space="preserve"> </w:t>
      </w:r>
      <w:r>
        <w:t xml:space="preserve">with the masking-rule tooltip.</w:t>
      </w:r>
    </w:p>
    <w:p>
      <w:pPr>
        <w:numPr>
          <w:ilvl w:val="0"/>
          <w:numId w:val="1003"/>
        </w:numPr>
        <w:pStyle w:val="Compact"/>
      </w:pPr>
      <w:r>
        <w:t xml:space="preserve">Seal indicators: ✓ sealed / ◌ pending / ⚠ mismatch with text.</w:t>
      </w:r>
    </w:p>
    <w:p>
      <w:pPr>
        <w:numPr>
          <w:ilvl w:val="0"/>
          <w:numId w:val="1003"/>
        </w:numPr>
        <w:pStyle w:val="Compact"/>
      </w:pPr>
      <w:r>
        <w:t xml:space="preserve">Actor chips: type glyph (person/system/ai/key) + name snapshot; on_behalf_of renders as</w:t>
      </w:r>
      <w:r>
        <w:t xml:space="preserve"> </w:t>
      </w:r>
      <w:r>
        <w:t xml:space="preserve">“</w:t>
      </w:r>
      <w:r>
        <w:t xml:space="preserve">system for Sara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erasure review’s retained-list uses a distinct</w:t>
      </w:r>
      <w:r>
        <w:t xml:space="preserve"> </w:t>
      </w:r>
      <w:r>
        <w:t xml:space="preserve">“</w:t>
      </w:r>
      <w:r>
        <w:t xml:space="preserve">legal retention</w:t>
      </w:r>
      <w:r>
        <w:t xml:space="preserve">”</w:t>
      </w:r>
      <w:r>
        <w:t xml:space="preserve"> </w:t>
      </w:r>
      <w:r>
        <w:t xml:space="preserve">badge — visually separated from erased classes.</w:t>
      </w:r>
    </w:p>
    <w:p>
      <w:pPr>
        <w:numPr>
          <w:ilvl w:val="0"/>
          <w:numId w:val="1003"/>
        </w:numPr>
        <w:pStyle w:val="Compact"/>
      </w:pPr>
      <w:r>
        <w:t xml:space="preserve">Monospace ids with copy-on-click; trace links styled as the platform’s trace affordance.</w:t>
      </w:r>
    </w:p>
    <w:p>
      <w:pPr>
        <w:numPr>
          <w:ilvl w:val="0"/>
          <w:numId w:val="1003"/>
        </w:numPr>
        <w:pStyle w:val="Compact"/>
      </w:pPr>
      <w:r>
        <w:t xml:space="preserve">Responsive: viewer tablet+; embedded timelines everywhere (they inherit their host screens’ responsive rules); erasure workflow desktop/tablet (gravity-appropriate); dark/light; reduced-motion.</w:t>
      </w:r>
    </w:p>
    <w:bookmarkEnd w:id="34"/>
    <w:bookmarkStart w:id="35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Storage: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monthly partitions per Doc 01 (append-only grants per FR-11), indexes on (tenant, occurred_at), (tenant, actor_id, occurred_at), (tenant, module+action, occurred_at), (tenant, object_type+object_id, occurred_at), trace_id;</w:t>
      </w:r>
      <w:r>
        <w:t xml:space="preserve"> </w:t>
      </w:r>
      <w:r>
        <w:rPr>
          <w:rStyle w:val="VerbatimChar"/>
        </w:rPr>
        <w:t xml:space="preserve">audit_day_seals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erasure_requests</w:t>
      </w:r>
      <w:r>
        <w:t xml:space="preserve"> </w:t>
      </w:r>
      <w:r>
        <w:t xml:space="preserve">(+stages),</w:t>
      </w:r>
      <w:r>
        <w:t xml:space="preserve"> </w:t>
      </w:r>
      <w:r>
        <w:rPr>
          <w:rStyle w:val="VerbatimChar"/>
        </w:rPr>
        <w:t xml:space="preserve">subject_exports</w:t>
      </w:r>
      <w:r>
        <w:t xml:space="preserve">.</w:t>
      </w:r>
      <w:r>
        <w:t xml:space="preserve"> </w:t>
      </w:r>
      <w:r>
        <w:t xml:space="preserve">T-02 The coverage matrix as a code registry (the platform’s fourth registry, alongside permissions/settings/notifications — NFR-06’s cross-check binds all four): key metadata per FR-03; emission helpers per module consume it (an emit call with a key the matrix lacks throws in dev/CI).</w:t>
      </w:r>
      <w:r>
        <w:t xml:space="preserve"> </w:t>
      </w:r>
      <w:r>
        <w:t xml:space="preserve">T-03 Write pipeline: outbox consumer with batch inserts (COPY-style bulk), entry idempotency on event id; the synchronous auth path shares the insert code; chain-hash computation is in the consumer (single-writer per tenant partition via a per-tenant queue lane — ordering for the chain without global serialization).</w:t>
      </w:r>
      <w:r>
        <w:t xml:space="preserve"> </w:t>
      </w:r>
      <w:r>
        <w:t xml:space="preserve">T-04 Sealing &amp; verification: day-close job per tenant lane; the verify command re-canonicalizes entries (stable JSON canonicalization documented and versioned — canonicalization changes require dual-hash transition releases); external anchoring driver behind a simple interface (HTTP POST / S3 object-lock write).</w:t>
      </w:r>
      <w:r>
        <w:t xml:space="preserve"> </w:t>
      </w:r>
      <w:r>
        <w:t xml:space="preserve">T-05 Erasure engine: staged saga (Doc 08 T-03’s compensation pattern inverted — here stages are irreversible by design, so the saga is checkpoint-and-continue with per-stage verification counts, never rollback); purge implementations delegate to owning modules’ erasure hooks (Doc 04 message/media purge, Doc 08 profile tombstone, index purges) — each hook returns counted results the report aggregates; backup-expiry tracking reads Doc 18’s backup-generation metadata to compute the honest</w:t>
      </w:r>
      <w:r>
        <w:t xml:space="preserve"> </w:t>
      </w:r>
      <w:r>
        <w:t xml:space="preserve">“</w:t>
      </w:r>
      <w:r>
        <w:t xml:space="preserve">fully expired by</w:t>
      </w:r>
      <w:r>
        <w:t xml:space="preserve">”</w:t>
      </w:r>
      <w:r>
        <w:t xml:space="preserve"> </w:t>
      </w:r>
      <w:r>
        <w:t xml:space="preserve">date.</w:t>
      </w:r>
      <w:r>
        <w:t xml:space="preserve"> </w:t>
      </w:r>
      <w:r>
        <w:t xml:space="preserve">T-06 Subject-export assembler: per-class collectors (same owning-module hook pattern) → JSON schema + PDF render; media links are time-limited signed URLs minted at download, not baked into the package.</w:t>
      </w:r>
      <w:r>
        <w:t xml:space="preserve"> </w:t>
      </w:r>
      <w:r>
        <w:t xml:space="preserve">T-07 Elision rendering: per-action-key elision mode (acknowledge vs absence) from the matrix; the query layer applies it (RG absence at the query per Doc 08 SEC-01’s pattern — never serializer-level).</w:t>
      </w:r>
      <w:r>
        <w:t xml:space="preserve"> </w:t>
      </w:r>
      <w:r>
        <w:t xml:space="preserve">T-08 Contract tests: the FR-03 CI gate pair (matrix-coverage static analysis + the runtime assertion harness running each module’s mutation fixtures and asserting exact expected entries — Doc 19’s shared oracle); chain integrity chaos (consumer kill mid-burst → NFR-05 reconciliation; deliberate tamper via superuser in a test DB → verify catches at the exact position); erasure end-to-end fixtures per data class incl. conflict cases (FR-16); elision-mode matrix per role; export watermark/parameter completeness.</w:t>
      </w:r>
    </w:p>
    <w:p>
      <w:pPr>
        <w:pStyle w:val="BodyText"/>
      </w:pPr>
      <w:r>
        <w:rPr>
          <w:bCs/>
          <w:b/>
        </w:rPr>
        <w:t xml:space="preserve">Write &amp; integrity flow (text diagram):</w:t>
      </w:r>
    </w:p>
    <w:p>
      <w:pPr>
        <w:pStyle w:val="SourceCode"/>
      </w:pPr>
      <w:r>
        <w:rPr>
          <w:rStyle w:val="VerbatimChar"/>
        </w:rPr>
        <w:t xml:space="preserve">module action (tx) ── outbox event ──► audit consumer (per-tenant lane)</w:t>
      </w:r>
      <w:r>
        <w:br/>
      </w:r>
      <w:r>
        <w:rPr>
          <w:rStyle w:val="VerbatimChar"/>
        </w:rPr>
        <w:t xml:space="preserve">   → batch insert (append-only grants) → chain_hash = H(prev ‖ entry)</w:t>
      </w:r>
      <w:r>
        <w:br/>
      </w:r>
      <w:r>
        <w:rPr>
          <w:rStyle w:val="VerbatimChar"/>
        </w:rPr>
        <w:t xml:space="preserve">   → high-visibility? ──► Doc 18 security feed</w:t>
      </w:r>
      <w:r>
        <w:br/>
      </w:r>
      <w:r>
        <w:rPr>
          <w:rStyle w:val="VerbatimChar"/>
        </w:rPr>
        <w:t xml:space="preserve">UTC day close → seal(final_hash, count) → nightly sampled re-verify → ⚠ on mismatch</w:t>
      </w:r>
      <w:r>
        <w:br/>
      </w:r>
      <w:r>
        <w:rPr>
          <w:rStyle w:val="VerbatimChar"/>
        </w:rPr>
        <w:t xml:space="preserve">erasure: request → second-approver → staged hooks (counted) → verification report</w:t>
      </w:r>
      <w:r>
        <w:br/>
      </w:r>
      <w:r>
        <w:rPr>
          <w:rStyle w:val="VerbatimChar"/>
        </w:rPr>
        <w:t xml:space="preserve">   (every step: its own audit entries — the log records its own surgery)</w:t>
      </w:r>
    </w:p>
    <w:bookmarkEnd w:id="35"/>
    <w:bookmarkStart w:id="36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The grant posture (FR-11) is verified by a standing test that attempts UPDATE/DELETE as the app role and expects permission failure (the physics test, run per deploy).</w:t>
      </w:r>
      <w:r>
        <w:t xml:space="preserve"> </w:t>
      </w:r>
      <w:r>
        <w:t xml:space="preserve">SEC-02</w:t>
      </w:r>
      <w:r>
        <w:t xml:space="preserve"> </w:t>
      </w:r>
      <w:r>
        <w:rPr>
          <w:rStyle w:val="VerbatimChar"/>
        </w:rPr>
        <w:t xml:space="preserve">audit.view</w:t>
      </w:r>
      <w:r>
        <w:t xml:space="preserve">/</w:t>
      </w:r>
      <w:r>
        <w:rPr>
          <w:rStyle w:val="VerbatimChar"/>
        </w:rPr>
        <w:t xml:space="preserve">audit.export</w:t>
      </w:r>
      <w:r>
        <w:t xml:space="preserve"> </w:t>
      </w:r>
      <w:r>
        <w:t xml:space="preserve">are Doc 03 high-risk with the granting itself high-visibility (recursion intended); the daily access-summary (FR-06) feeds Doc 18’s anomaly rules (an admin suddenly reading months of RG-adjacent trail is a signal).</w:t>
      </w:r>
      <w:r>
        <w:t xml:space="preserve"> </w:t>
      </w:r>
      <w:r>
        <w:t xml:space="preserve">SEC-03 Export packages: watermarked, parameter-stamped, checksum-listed (each file’s SHA-256 in a manifest), the manifest referenced in the export’s own audit entry — a leaked package is attributable and a modified one is detectable.</w:t>
      </w:r>
      <w:r>
        <w:t xml:space="preserve"> </w:t>
      </w:r>
      <w:r>
        <w:t xml:space="preserve">SEC-04 Erasure’s mandatory four-eyes (FR-15) cannot be disabled by tenant settings (contrast with Doc 03’s optional four-eyes — deletion of people’s data is the one place the platform overrides operator convenience).</w:t>
      </w:r>
      <w:r>
        <w:t xml:space="preserve"> </w:t>
      </w:r>
      <w:r>
        <w:t xml:space="preserve">SEC-05 The external-anchor credentials (T-04) are write-only from the platform’s perspective (object-lock/append endpoints) — an attacker with full platform access still can’t un-anchor sealed days.</w:t>
      </w:r>
      <w:r>
        <w:t xml:space="preserve"> </w:t>
      </w:r>
      <w:r>
        <w:t xml:space="preserve">SEC-06 Trace-id joins (FR-08) respect per-entry gates — a trace view renders only the entries the viewer may see, with count-of-hidden disclosed (</w:t>
      </w:r>
      <w:r>
        <w:t xml:space="preserve">“</w:t>
      </w:r>
      <w:r>
        <w:t xml:space="preserve">3 entries not visible to you</w:t>
      </w:r>
      <w:r>
        <w:t xml:space="preserve">”</w:t>
      </w:r>
      <w:r>
        <w:t xml:space="preserve">) since trace completeness itself is investigative signal (the acknowledged-elision mode, per matrix).</w:t>
      </w:r>
    </w:p>
    <w:bookmarkEnd w:id="36"/>
    <w:bookmarkStart w:id="37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Budgets NFR-01–04 under L2 with an erasure and two exports concurrent; viewer indexes verified against the 100 M-entry synthetic corpus.</w:t>
      </w:r>
    </w:p>
    <w:p>
      <w:pPr>
        <w:numPr>
          <w:ilvl w:val="0"/>
          <w:numId w:val="1004"/>
        </w:numPr>
        <w:pStyle w:val="Compact"/>
      </w:pPr>
      <w:r>
        <w:t xml:space="preserve">Chain computation ≤ 0.1 ms/entry (canonicalization dominated); per-tenant lanes keep ordering without cross-tenant contention.</w:t>
      </w:r>
    </w:p>
    <w:p>
      <w:pPr>
        <w:numPr>
          <w:ilvl w:val="0"/>
          <w:numId w:val="1004"/>
        </w:numPr>
        <w:pStyle w:val="Compact"/>
      </w:pPr>
      <w:r>
        <w:t xml:space="preserve">Embedded timelines (FR-07) ≤ 150 ms p95 (object-index reads, first page).</w:t>
      </w:r>
    </w:p>
    <w:p>
      <w:pPr>
        <w:numPr>
          <w:ilvl w:val="0"/>
          <w:numId w:val="1004"/>
        </w:numPr>
        <w:pStyle w:val="Compact"/>
      </w:pPr>
      <w:r>
        <w:t xml:space="preserve">Hold-scope preview counts ≤ 2 s for tenant-wide scopes (approximate fast-count with exact-on-confirm).</w:t>
      </w:r>
    </w:p>
    <w:p>
      <w:pPr>
        <w:numPr>
          <w:ilvl w:val="0"/>
          <w:numId w:val="1004"/>
        </w:numPr>
        <w:pStyle w:val="Compact"/>
      </w:pPr>
      <w:r>
        <w:t xml:space="preserve">Sampled verification covers ≥ 5% of tenant-days nightly within NFR-03.</w:t>
      </w:r>
    </w:p>
    <w:bookmarkEnd w:id="37"/>
    <w:bookmarkStart w:id="38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Viewer table fully keyboard navigable with row expansion announced; diffs readable as labeled old/new pairs (color-independent, per platform diff rules); shields and seal states icon+text; the erasure workflow’s gravity communicated through structure (step headings, consequence lists as real lists), not color alone; approval screens announce the distinct-approver state; verification reports as tagged PDFs (heading structure, table semantics); investigation result deltas announced; masked values’ tooltips focusable; embedded timelines inherit host-screen a11y with entry sentences generated from i18n templates that read naturally.</w:t>
      </w:r>
    </w:p>
    <w:bookmarkEnd w:id="38"/>
    <w:bookmarkStart w:id="39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Action sentences via ICU-templated keys per action (en + am) with stable keys alongside in exports (the Doc 15 pattern); actor/object label snapshots render verbatim (operator content); timestamps per Doc 01 rules with UTC-exact on hover (audit is where seconds matter); the erasure verification report renders in the tenant default language with an English regulatory annex option; masking tooltips localized; the viewer’s relative times switch to absolute beyond 24 h (precision posture inverse to Doc 07’s casual surfaces).</w:t>
      </w:r>
    </w:p>
    <w:bookmarkEnd w:id="39"/>
    <w:bookmarkStart w:id="40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Clock skew vs chain ordering → the chain orders by consumer-lane sequence,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is data not order (documented; the seal counts entries, not wall-time windows’ completeness).</w:t>
      </w:r>
      <w:r>
        <w:t xml:space="preserve"> </w:t>
      </w:r>
      <w:r>
        <w:t xml:space="preserve">EC-02 A tenant-day with zero entries → sealed with count 0 (absence of activity is itself attestable).</w:t>
      </w:r>
      <w:r>
        <w:t xml:space="preserve"> </w:t>
      </w:r>
      <w:r>
        <w:t xml:space="preserve">EC-03 Retention drop meets a hold created seconds before → hold check inside the drop transaction (Doc 04 EC-09 family); the race resolves to retention-skip.</w:t>
      </w:r>
      <w:r>
        <w:t xml:space="preserve"> </w:t>
      </w:r>
      <w:r>
        <w:t xml:space="preserve">EC-04 Erasure of a customer merged into a survivor (Doc 08) → scope resolution walks tombstone pointers; the review shows the survivor-profile implication explicitly (erasing the merged tombstone’s data vs the survivor’s — a human-decided scope with both options rendered).</w:t>
      </w:r>
      <w:r>
        <w:t xml:space="preserve"> </w:t>
      </w:r>
      <w:r>
        <w:t xml:space="preserve">EC-05 An erasure request for a customer with an active legal hold on their tickets → FR-16’s conflict surface; the recorded human decision references both instruments; neither silently wins.</w:t>
      </w:r>
      <w:r>
        <w:t xml:space="preserve"> </w:t>
      </w:r>
      <w:r>
        <w:t xml:space="preserve">EC-06 Entry payload exceeding size sanity (a settings import diff of 5,000 keys) → payload stored as a summary + a pointer to the import’s per-row entries (FR §Doc 16 BR-07 already atomized it — the summary entry links the set via trace_id).</w:t>
      </w:r>
      <w:r>
        <w:t xml:space="preserve"> </w:t>
      </w:r>
      <w:r>
        <w:t xml:space="preserve">EC-07 Canonicalization-version transition (T-04) → dual-hash period where both versions verify; seals record the version; the verify tool handles mixed ranges.</w:t>
      </w:r>
      <w:r>
        <w:t xml:space="preserve"> </w:t>
      </w:r>
      <w:r>
        <w:t xml:space="preserve">EC-08 An</w:t>
      </w:r>
      <w:r>
        <w:t xml:space="preserve"> </w:t>
      </w:r>
      <w:r>
        <w:rPr>
          <w:rStyle w:val="VerbatimChar"/>
        </w:rPr>
        <w:t xml:space="preserve">audit.view</w:t>
      </w:r>
      <w:r>
        <w:t xml:space="preserve"> </w:t>
      </w:r>
      <w:r>
        <w:t xml:space="preserve">holder losing the permission mid-investigation → next query 403s (Doc 03 propagation); saved investigations persist but render locked; no cached result access (the viewer never caches result payloads client-side beyond the open page).</w:t>
      </w:r>
      <w:r>
        <w:t xml:space="preserve"> </w:t>
      </w:r>
      <w:r>
        <w:t xml:space="preserve">EC-09 A module emits a matrix key with missing required fields (reason absent on an escalation) → dev/CI throw (T-02); in production (defense-in-depth) the entry writes with a</w:t>
      </w:r>
      <w:r>
        <w:t xml:space="preserve"> </w:t>
      </w:r>
      <w:r>
        <w:rPr>
          <w:rStyle w:val="VerbatimChar"/>
        </w:rPr>
        <w:t xml:space="preserve">schema_violation</w:t>
      </w:r>
      <w:r>
        <w:t xml:space="preserve"> </w:t>
      </w:r>
      <w:r>
        <w:t xml:space="preserve">flag + alert — an imperfect entry beats a missing one (BR-01’s spirit: the trail never has gaps, even ugly ones).</w:t>
      </w:r>
      <w:r>
        <w:t xml:space="preserve"> </w:t>
      </w:r>
      <w:r>
        <w:t xml:space="preserve">EC-10 Subject export requested during that customer’s erasure execution → blocked with the state explanation (erasure supersedes; the verification report is the terminal artifact).</w:t>
      </w:r>
      <w:r>
        <w:t xml:space="preserve"> </w:t>
      </w:r>
      <w:r>
        <w:t xml:space="preserve">EC-11 High-visibility fan-out (FR-05) with Doc 18’s feed down → entries write normally (the feed is a consumer, never a gate); the feed catches up from the stream (Doc 01 FS-02 family).</w:t>
      </w:r>
      <w:r>
        <w:t xml:space="preserve"> </w:t>
      </w:r>
      <w:r>
        <w:t xml:space="preserve">EC-12 A verify mismatch caused by storage corruption vs tampering → the runbook’s first fork (compare against backups + anchor); the alert severity is identical until proven benign (assume the worst first).</w:t>
      </w:r>
    </w:p>
    <w:bookmarkEnd w:id="40"/>
    <w:bookmarkStart w:id="41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Audit consumer down → business actions unaffected (FR-02); entries accumulate in the outbox; lag alert; on drain, chain order preserved by lane sequence; NFR-05’s reconciliation proves zero gaps.</w:t>
      </w:r>
      <w:r>
        <w:t xml:space="preserve"> </w:t>
      </w:r>
      <w:r>
        <w:t xml:space="preserve">FS-02 Seal job failure → days stay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(visible in the viewer); verification treats pending days as unverifiable-yet (never falsely ✓); alert at pending-age threshold.</w:t>
      </w:r>
      <w:r>
        <w:t xml:space="preserve"> </w:t>
      </w:r>
      <w:r>
        <w:t xml:space="preserve">FS-03 Erasure stage failure (a purge hook errors) → checkpoint holds; the stage retries; sustained failure escalates with the partial-state report (checkpointed counts) — the workflow never claims completion it didn’t verify.</w:t>
      </w:r>
      <w:r>
        <w:t xml:space="preserve"> </w:t>
      </w:r>
      <w:r>
        <w:t xml:space="preserve">FS-04 External anchor endpoint down → seals queue for anchoring (local seals remain valid); the anchor-lag is reported in verification reports during the window (honesty in the artifact).</w:t>
      </w:r>
      <w:r>
        <w:t xml:space="preserve"> </w:t>
      </w:r>
      <w:r>
        <w:t xml:space="preserve">FS-05 Partition-management failure on the audit table → Doc 01 EC-10’s pre-created partitions + the monitor; the one table where a write failure would be an integrity event gets the widest pre-creation margin (6 months).</w:t>
      </w:r>
    </w:p>
    <w:bookmarkEnd w:id="41"/>
    <w:bookmarkStart w:id="42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A regulator audit: the officer receives a scoped export + verification report, independently re-verifies the day seals against the external anchor, and the meeting is about the operation, not the data’s trustworthiness.</w:t>
      </w:r>
      <w:r>
        <w:t xml:space="preserve"> </w:t>
      </w:r>
      <w:r>
        <w:t xml:space="preserve">SS-02 US-02’s incident forensics: trace-id assembly reconstructs a cross-module causal chain (settings change → rule behavior → agent action) in minutes; the post-incident review cites entry ids.</w:t>
      </w:r>
      <w:r>
        <w:t xml:space="preserve"> </w:t>
      </w:r>
      <w:r>
        <w:t xml:space="preserve">SS-03 A full erasure (US-04) executes with one legitimate conflict (a held dispute ticket) resolved by documented human decision; the customer receives the verification report; six months later, the backup-expiry date it promised has passed and a spot check confirms.</w:t>
      </w:r>
      <w:r>
        <w:t xml:space="preserve"> </w:t>
      </w:r>
      <w:r>
        <w:t xml:space="preserve">SS-04 The FR-03 gate catches a real gap in development: a new bulk operation ships its matrix mapping and emission test because the build refused otherwise — SS-02’s future forensics quality was defended without anyone noticing.</w:t>
      </w:r>
    </w:p>
    <w:bookmarkEnd w:id="42"/>
    <w:bookmarkStart w:id="43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Coverage: the matrix cross-check (NFR-06) green; the runtime assertion harness passes for every module’s mutation fixtures with exact expected entries (actor/on_behalf_of/old/new/reason/visibility per key).</w:t>
      </w:r>
      <w:r>
        <w:t xml:space="preserve"> </w:t>
      </w:r>
      <w:r>
        <w:t xml:space="preserve">AC-02 Immutability physics: the SEC-01 grant test; the BR-01 correction pattern (a</w:t>
      </w:r>
      <w:r>
        <w:t xml:space="preserve"> </w:t>
      </w:r>
      <w:r>
        <w:rPr>
          <w:rStyle w:val="VerbatimChar"/>
        </w:rPr>
        <w:t xml:space="preserve">corrects</w:t>
      </w:r>
      <w:r>
        <w:t xml:space="preserve"> </w:t>
      </w:r>
      <w:r>
        <w:t xml:space="preserve">entry) is the only correction path (no mutation endpoint exists — route-inventory assertion).</w:t>
      </w:r>
      <w:r>
        <w:t xml:space="preserve"> </w:t>
      </w:r>
      <w:r>
        <w:t xml:space="preserve">AC-03 Integrity: chain/seal round-trip; the tamper test (superuser edit in a test DB) caught at exact position; consumer-kill chaos reconciles to zero gaps (NFR-05); canonicalization-transition fixtures (EC-07).</w:t>
      </w:r>
      <w:r>
        <w:t xml:space="preserve"> </w:t>
      </w:r>
      <w:r>
        <w:t xml:space="preserve">AC-04 Access &amp; elision: the FR-06/07 duality matrix per role (full viewer, object-timeline-only, RG-double-gate absence, acknowledged elision with hidden-counts in traces per SEC-06).</w:t>
      </w:r>
      <w:r>
        <w:t xml:space="preserve"> </w:t>
      </w:r>
      <w:r>
        <w:t xml:space="preserve">AC-05 Erasure: end-to-end per data class with counted verification; mandatory four-eyes unbypassable (incl. self-approval block); conflict cases (EC-04/05/10) render and record per spec; the backup-honesty date computed from Doc 18 metadata.</w:t>
      </w:r>
      <w:r>
        <w:t xml:space="preserve"> </w:t>
      </w:r>
      <w:r>
        <w:t xml:space="preserve">AC-06 Subject export: package completeness per FR-14’s class list, notes-exclusion, staff-name elision, manifest checksums, time-limited media links.</w:t>
      </w:r>
      <w:r>
        <w:t xml:space="preserve"> </w:t>
      </w:r>
      <w:r>
        <w:t xml:space="preserve">AC-07 Exports &amp; holds: watermark/parameters/manifest; export-of-export recursion (BR-02) present; hold create/skip-retention/release cycle incl. the EC-03 race.</w:t>
      </w:r>
      <w:r>
        <w:t xml:space="preserve"> </w:t>
      </w:r>
      <w:r>
        <w:t xml:space="preserve">AC-08 Performance: viewer p95 on the 100 M corpus; embedded-timeline budgets; ingest burst with lag alerting.</w:t>
      </w:r>
      <w:r>
        <w:t xml:space="preserve"> </w:t>
      </w:r>
      <w:r>
        <w:t xml:space="preserve">AC-09 EC-09’s degraded-entry path: seeded bad emission writes flagged entry + alert in an integration environment (and fails CI when caught earlier).</w:t>
      </w:r>
      <w:r>
        <w:t xml:space="preserve"> </w:t>
      </w:r>
      <w:r>
        <w:t xml:space="preserve">AC-10 i18n: action sentences render naturally in en + am across the matrix (sampled), with stable keys in exports.</w:t>
      </w:r>
    </w:p>
    <w:bookmarkEnd w:id="43"/>
    <w:bookmarkStart w:id="44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5"/>
        </w:numPr>
        <w:pStyle w:val="Compact"/>
      </w:pPr>
      <w:r>
        <w:t xml:space="preserve">Customer-direct subject-export delivery (secure download via the widget/portal) once Doc 13’s portal exists — removing the staff-conveyance step.</w:t>
      </w:r>
    </w:p>
    <w:p>
      <w:pPr>
        <w:numPr>
          <w:ilvl w:val="0"/>
          <w:numId w:val="1005"/>
        </w:numPr>
        <w:pStyle w:val="Compact"/>
      </w:pPr>
      <w:r>
        <w:t xml:space="preserve">Anomaly detection on the audit stream itself (Doc 18’s rules maturing into ML-assisted patterns: privilege-change bursts, off-hours admin activity).</w:t>
      </w:r>
    </w:p>
    <w:p>
      <w:pPr>
        <w:numPr>
          <w:ilvl w:val="0"/>
          <w:numId w:val="1005"/>
        </w:numPr>
        <w:pStyle w:val="Compact"/>
      </w:pPr>
      <w:r>
        <w:t xml:space="preserve">Regulator API (scoped, credentialed, read-only investigation access) for jurisdictions that mandate it.</w:t>
      </w:r>
    </w:p>
    <w:p>
      <w:pPr>
        <w:numPr>
          <w:ilvl w:val="0"/>
          <w:numId w:val="1005"/>
        </w:numPr>
        <w:pStyle w:val="Compact"/>
      </w:pPr>
      <w:r>
        <w:t xml:space="preserve">Cross-tenant platform-operations audit console (the platform’s own actions across tenants — currently per-tenant entries + the Doc 01 platform_admin logging; a unified view later).</w:t>
      </w:r>
    </w:p>
    <w:p>
      <w:pPr>
        <w:numPr>
          <w:ilvl w:val="0"/>
          <w:numId w:val="1005"/>
        </w:numPr>
        <w:pStyle w:val="Compact"/>
      </w:pPr>
      <w:r>
        <w:t xml:space="preserve">WORM-storage tier for seals + exports (S3 Object Lock compliance mode) productized beyond the anchor option.</w:t>
      </w:r>
    </w:p>
    <w:p>
      <w:pPr>
        <w:numPr>
          <w:ilvl w:val="0"/>
          <w:numId w:val="1005"/>
        </w:numPr>
        <w:pStyle w:val="Compact"/>
      </w:pPr>
      <w:r>
        <w:t xml:space="preserve">Retention-policy simulation (</w:t>
      </w:r>
      <w:r>
        <w:t xml:space="preserve">“</w:t>
      </w:r>
      <w:r>
        <w:t xml:space="preserve">what would we still hold from 2026 under this policy?</w:t>
      </w:r>
      <w:r>
        <w:t xml:space="preserve">”</w:t>
      </w:r>
      <w:r>
        <w:t xml:space="preserve">) for compliance planning.</w:t>
      </w:r>
    </w:p>
    <w:bookmarkEnd w:id="44"/>
    <w:bookmarkStart w:id="45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Coverage rot as modules evolve (High likelihood) → the four-registries cross-check (NFR-06) + the runtime harness make rot unshippable; the matrix change-log is the human review surface.</w:t>
      </w:r>
      <w:r>
        <w:t xml:space="preserve"> </w:t>
      </w:r>
      <w:r>
        <w:t xml:space="preserve">R-02 Audit volume cost (High/Medium) → changed-fields-only payloads (FR-04), partitioning, retention floors with tenant-raisable ceilings, and the EC-06 summarization pattern bound growth; volume metrics in Doc 15’s platform family.</w:t>
      </w:r>
      <w:r>
        <w:t xml:space="preserve"> </w:t>
      </w:r>
      <w:r>
        <w:t xml:space="preserve">R-03 The erasure workflow becoming a rubber stamp (Medium/High) → mandatory four-eyes, the counts-and-justifications review screen, and verification reports create friction exactly where friction protects people; onboarding trains the</w:t>
      </w:r>
      <w:r>
        <w:t xml:space="preserve"> </w:t>
      </w:r>
      <w:r>
        <w:rPr>
          <w:iCs/>
          <w:i/>
        </w:rPr>
        <w:t xml:space="preserve">why</w:t>
      </w:r>
      <w:r>
        <w:t xml:space="preserve">.</w:t>
      </w:r>
      <w:r>
        <w:t xml:space="preserve"> </w:t>
      </w:r>
      <w:r>
        <w:t xml:space="preserve">R-04 Integrity theater (hash chains nobody checks) (Medium/Medium) → the</w:t>
      </w:r>
      <w:r>
        <w:t xml:space="preserve"> </w:t>
      </w:r>
      <w:r>
        <w:rPr>
          <w:iCs/>
          <w:i/>
        </w:rPr>
        <w:t xml:space="preserve">nightly sampled</w:t>
      </w:r>
      <w:r>
        <w:t xml:space="preserve"> </w:t>
      </w:r>
      <w:r>
        <w:t xml:space="preserve">verification + the visible seal-status column + SS-01’s external-anchor story keep the machinery exercised and legible.</w:t>
      </w:r>
      <w:r>
        <w:t xml:space="preserve"> </w:t>
      </w:r>
      <w:r>
        <w:t xml:space="preserve">R-05 Privileged-reader misuse (Low/High) → high-risk permission, read-access summaries feeding anomaly rules (SEC-02), and the RG double-gate; the platform watches its watchers to the degree the trail’s own recursion allows.</w:t>
      </w:r>
    </w:p>
    <w:bookmarkEnd w:id="45"/>
    <w:bookmarkStart w:id="46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6"/>
        </w:numPr>
        <w:pStyle w:val="Compact"/>
      </w:pPr>
      <w:r>
        <w:t xml:space="preserve">Build the coverage matrix + the runtime assertion harness in this module’s first sprint and backfill mappings for Docs 02–16’s already-specified events — the harness then becomes Doc 19’s shared oracle (US-07) and every module’s regression net.</w:t>
      </w:r>
    </w:p>
    <w:p>
      <w:pPr>
        <w:numPr>
          <w:ilvl w:val="0"/>
          <w:numId w:val="1006"/>
        </w:numPr>
        <w:pStyle w:val="Compact"/>
      </w:pPr>
      <w:r>
        <w:t xml:space="preserve">Ship hash-chaining and day seals from the first production write; integrity guarantees are only credible when they predate every entry they cover.</w:t>
      </w:r>
    </w:p>
    <w:p>
      <w:pPr>
        <w:numPr>
          <w:ilvl w:val="0"/>
          <w:numId w:val="1006"/>
        </w:numPr>
        <w:pStyle w:val="Compact"/>
      </w:pPr>
      <w:r>
        <w:t xml:space="preserve">Rehearse one full erasure and one regulator-style export on staging with the operator’s compliance contact before launch — the workflows’ review screens will improve more from one real walkthrough than from any amount of speculation.</w:t>
      </w:r>
    </w:p>
    <w:p>
      <w:pPr>
        <w:numPr>
          <w:ilvl w:val="0"/>
          <w:numId w:val="1006"/>
        </w:numPr>
        <w:pStyle w:val="Compact"/>
      </w:pPr>
      <w:r>
        <w:t xml:space="preserve">Configure external anchoring for every production tenant even where no regulator asks; SS-01’s</w:t>
      </w:r>
      <w:r>
        <w:t xml:space="preserve"> </w:t>
      </w:r>
      <w:r>
        <w:t xml:space="preserve">“</w:t>
      </w:r>
      <w:r>
        <w:t xml:space="preserve">verify it yourself</w:t>
      </w:r>
      <w:r>
        <w:t xml:space="preserve">”</w:t>
      </w:r>
      <w:r>
        <w:t xml:space="preserve"> </w:t>
      </w:r>
      <w:r>
        <w:t xml:space="preserve">posture is cheap insurance and a sales asset in a regulated vertical.</w:t>
      </w:r>
    </w:p>
    <w:p>
      <w:pPr>
        <w:numPr>
          <w:ilvl w:val="0"/>
          <w:numId w:val="1006"/>
        </w:numPr>
        <w:pStyle w:val="Compact"/>
      </w:pPr>
      <w:r>
        <w:t xml:space="preserve">Guard BR-04’s duality forever: the pressure to widen audit-read access (</w:t>
      </w:r>
      <w:r>
        <w:t xml:space="preserve">“</w:t>
      </w:r>
      <w:r>
        <w:t xml:space="preserve">managers should see everything</w:t>
      </w:r>
      <w:r>
        <w:t xml:space="preserve">”</w:t>
      </w:r>
      <w:r>
        <w:t xml:space="preserve">) is constant, and yielding converts an accountability system into a surveillance system — the platform’s answer is embedded timelines with provenance for all, and the full trail for the few with reason.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17. Next in series: Document 18 — Infrastructure, DevOps &amp; Deployment.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2026-07-27T07:02:34Z</dcterms:created>
  <dcterms:modified xsi:type="dcterms:W3CDTF">2026-07-27T07:02:34Z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