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recovery register</w:t>
      </w:r>
    </w:p>
    <w:p>
      <w:r>
        <w:t>This register records recovery references for retained accounts and operational records.</w:t>
      </w:r>
    </w:p>
    <w:p>
      <w:pPr>
        <w:pStyle w:val="Heading1"/>
      </w:pPr>
      <w:r>
        <w:t>Recovery references</w:t>
      </w:r>
    </w:p>
    <w:p>
      <w:r>
        <w:t>Primary archive reference: DEMO-RECOVERY-001</w:t>
        <w:br/>
        <w:t>Secondary archive reference: DEMO-RECOVERY-002</w:t>
        <w:br/>
        <w:t>Record owner: Example Operations</w:t>
      </w:r>
    </w:p>
    <w:p>
      <w:pPr>
        <w:pStyle w:val="Heading1"/>
      </w:pPr>
      <w:r>
        <w:t>Retention notes</w:t>
      </w:r>
    </w:p>
    <w:p>
      <w:r>
        <w:t>Keep the recovery register with the associated archive inventory. Review the references when the inventory changes.</w:t>
      </w:r>
    </w:p>
    <w:p>
      <w:r>
        <w:t>Synthetic security canary. These references do not grant access to any account or system.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recovery register</dc:title>
  <dc:subject/>
  <dc:creator>Ransom Free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