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tbl>
      <w:tblPr>
        <w:tblW w:type="auto" w:w="0"/>
        <w:tblLayout w:type="fixed"/>
        <w:tblLook w:firstColumn="1" w:firstRow="1" w:lastColumn="0" w:lastRow="0" w:noHBand="0" w:noVBand="1" w:val="04A0"/>
      </w:tblPr>
      <w:tblGrid>
        <w:gridCol w:w="4535"/>
        <w:gridCol w:w="5329"/>
      </w:tblGrid>
      <w:tr>
        <w:tc>
          <w:tcPr>
            <w:tcW w:type="dxa" w:w="4535"/>
          </w:tcPr>
          <w:p>
            <w:r>
              <w:drawing>
                <wp:inline xmlns:a="http://schemas.openxmlformats.org/drawingml/2006/main" xmlns:pic="http://schemas.openxmlformats.org/drawingml/2006/picture">
                  <wp:extent cx="887518" cy="396000"/>
                  <wp:docPr id="1" name="Picture 1"/>
                  <wp:cNvGraphicFramePr>
                    <a:graphicFrameLocks noChangeAspect="1"/>
                  </wp:cNvGraphicFramePr>
                  <a:graphic>
                    <a:graphicData uri="http://schemas.openxmlformats.org/drawingml/2006/picture">
                      <pic:pic>
                        <pic:nvPicPr>
                          <pic:cNvPr id="0" name="SELISE_Logo_Primary.png"/>
                          <pic:cNvPicPr/>
                        </pic:nvPicPr>
                        <pic:blipFill>
                          <a:blip r:embed="rId9"/>
                          <a:stretch>
                            <a:fillRect/>
                          </a:stretch>
                        </pic:blipFill>
                        <pic:spPr>
                          <a:xfrm>
                            <a:off x="0" y="0"/>
                            <a:ext cx="887518" cy="396000"/>
                          </a:xfrm>
                          <a:prstGeom prst="rect"/>
                        </pic:spPr>
                      </pic:pic>
                    </a:graphicData>
                  </a:graphic>
                </wp:inline>
              </w:drawing>
            </w:r>
          </w:p>
        </w:tc>
        <w:tc>
          <w:tcPr>
            <w:tcW w:type="dxa" w:w="5329"/>
            <w:vAlign w:val="center"/>
          </w:tcPr>
          <w:p>
            <w:pPr>
              <w:jc w:val="right"/>
            </w:pPr>
            <w:r>
              <w:rPr>
                <w:b/>
                <w:color w:val="001F35"/>
                <w:sz w:val="18"/>
              </w:rPr>
              <w:t>PELSUNG × COHORT 3</w:t>
            </w:r>
            <w:r>
              <w:br/>
            </w:r>
            <w:r>
              <w:rPr>
                <w:color w:val="4A5058"/>
                <w:sz w:val="17"/>
              </w:rPr>
              <w:t>Progress Report · 2026-05</w:t>
            </w:r>
            <w:r>
              <w:br/>
            </w:r>
            <w:r>
              <w:rPr>
                <w:color w:val="4A5058"/>
                <w:sz w:val="17"/>
              </w:rPr>
              <w:t>Cohort · 42 Trainees</w:t>
            </w:r>
          </w:p>
        </w:tc>
      </w:tr>
    </w:tbl>
    <w:p>
      <w:pPr>
        <w:spacing w:before="0" w:after="240"/>
      </w:pPr>
    </w:p>
    <w:p>
      <w:pPr>
        <w:spacing w:before="40" w:after="40"/>
      </w:pPr>
      <w:r>
        <w:rPr>
          <w:b/>
          <w:color w:val="0066B2"/>
          <w:sz w:val="16"/>
          <w:spacing w:val="60"/>
        </w:rPr>
        <w:t>COHORT 3 · MID-PROGRAM UPDATE</w:t>
      </w:r>
    </w:p>
    <w:p>
      <w:pPr>
        <w:spacing w:before="40" w:after="160"/>
      </w:pPr>
      <w:r>
        <w:rPr>
          <w:b/>
          <w:color w:val="001F35"/>
          <w:sz w:val="56"/>
        </w:rPr>
        <w:t>Curriculum delivered.</w:t>
        <w:br/>
        <w:t>Capstone underway.</w:t>
      </w:r>
    </w:p>
    <w:p>
      <w:pPr>
        <w:spacing w:before="0" w:after="200"/>
        <w:pBdr>
          <w:bottom w:val="single" w:sz="6" w:space="8" w:color="E5E8EC"/>
        </w:pBdr>
      </w:pPr>
      <w:r>
        <w:rPr>
          <w:b w:val="0"/>
          <w:i w:val="0"/>
          <w:color w:val="4A5058"/>
          <w:sz w:val="23"/>
        </w:rPr>
        <w:t>Foundation, the full Dev specialization track, and every BA + QA shared block — opener, spec stack, diagrams, and quality &amp; compliance — are all complete. The cohort has now moved into the Capstone phase: four real-product builds, eight parallel teams, all in flight.</w:t>
      </w:r>
    </w:p>
    <w:p>
      <w:pPr>
        <w:spacing w:before="0" w:after="160"/>
      </w:pPr>
    </w:p>
    <w:p>
      <w:pPr>
        <w:spacing w:before="40" w:after="40"/>
      </w:pPr>
      <w:r>
        <w:rPr>
          <w:b/>
          <w:color w:val="0066B2"/>
          <w:sz w:val="16"/>
          <w:spacing w:val="60"/>
        </w:rPr>
        <w:t>AT A GLANCE</w:t>
      </w:r>
    </w:p>
    <w:tbl>
      <w:tblPr>
        <w:tblW w:type="auto" w:w="0"/>
        <w:tblLayout w:type="fixed"/>
        <w:tblLook w:firstColumn="1" w:firstRow="1" w:lastColumn="0" w:lastRow="0" w:noHBand="0" w:noVBand="1" w:val="04A0"/>
      </w:tblPr>
      <w:tblGrid>
        <w:gridCol w:w="2466"/>
        <w:gridCol w:w="2466"/>
        <w:gridCol w:w="2466"/>
        <w:gridCol w:w="2466"/>
      </w:tblGrid>
      <w:tr>
        <w:tc>
          <w:tcPr>
            <w:tcW w:type="dxa" w:w="2381"/>
            <w:shd w:val="clear" w:color="auto" w:fill="FAFAFB"/>
            <w:tcBorders>
              <w:left w:val="single" w:sz="36" w:color="0066B2"/>
            </w:tcBorders>
          </w:tcPr>
          <w:p>
            <w:pPr>
              <w:spacing w:before="120"/>
            </w:pPr>
            <w:r>
              <w:rPr>
                <w:b/>
                <w:color w:val="4A5058"/>
                <w:sz w:val="15"/>
              </w:rPr>
              <w:t>FOUNDATION</w:t>
            </w:r>
          </w:p>
          <w:p>
            <w:pPr>
              <w:spacing w:before="40" w:after="120"/>
            </w:pPr>
            <w:r>
              <w:rPr>
                <w:b/>
                <w:color w:val="001F35"/>
                <w:sz w:val="40"/>
              </w:rPr>
              <w:t>12</w:t>
            </w:r>
            <w:r>
              <w:rPr>
                <w:color w:val="4A5058"/>
                <w:sz w:val="18"/>
              </w:rPr>
              <w:t xml:space="preserve"> / 12 classes</w:t>
            </w:r>
          </w:p>
        </w:tc>
        <w:tc>
          <w:tcPr>
            <w:tcW w:type="dxa" w:w="2381"/>
            <w:shd w:val="clear" w:color="auto" w:fill="FAFAFB"/>
            <w:tcBorders>
              <w:left w:val="single" w:sz="36" w:color="4796D1"/>
            </w:tcBorders>
          </w:tcPr>
          <w:p>
            <w:pPr>
              <w:spacing w:before="120"/>
            </w:pPr>
            <w:r>
              <w:rPr>
                <w:b/>
                <w:color w:val="4A5058"/>
                <w:sz w:val="15"/>
              </w:rPr>
              <w:t>DEV SPECIALIZATION</w:t>
            </w:r>
          </w:p>
          <w:p>
            <w:pPr>
              <w:spacing w:before="40" w:after="120"/>
            </w:pPr>
            <w:r>
              <w:rPr>
                <w:b/>
                <w:color w:val="001F35"/>
                <w:sz w:val="40"/>
              </w:rPr>
              <w:t>18</w:t>
            </w:r>
            <w:r>
              <w:rPr>
                <w:color w:val="4A5058"/>
                <w:sz w:val="18"/>
              </w:rPr>
              <w:t xml:space="preserve"> / 18 classes</w:t>
            </w:r>
          </w:p>
        </w:tc>
        <w:tc>
          <w:tcPr>
            <w:tcW w:type="dxa" w:w="2381"/>
            <w:shd w:val="clear" w:color="auto" w:fill="FAFAFB"/>
            <w:tcBorders>
              <w:left w:val="single" w:sz="36" w:color="7BC950"/>
            </w:tcBorders>
          </w:tcPr>
          <w:p>
            <w:pPr>
              <w:spacing w:before="120"/>
            </w:pPr>
            <w:r>
              <w:rPr>
                <w:b/>
                <w:color w:val="4A5058"/>
                <w:sz w:val="15"/>
              </w:rPr>
              <w:t>BA + QA SHARED</w:t>
            </w:r>
          </w:p>
          <w:p>
            <w:pPr>
              <w:spacing w:before="40" w:after="120"/>
            </w:pPr>
            <w:r>
              <w:rPr>
                <w:b/>
                <w:color w:val="001F35"/>
                <w:sz w:val="40"/>
              </w:rPr>
              <w:t>23</w:t>
            </w:r>
            <w:r>
              <w:rPr>
                <w:color w:val="4A5058"/>
                <w:sz w:val="18"/>
              </w:rPr>
              <w:t xml:space="preserve"> / 23 classes</w:t>
            </w:r>
          </w:p>
        </w:tc>
        <w:tc>
          <w:tcPr>
            <w:tcW w:type="dxa" w:w="2381"/>
            <w:shd w:val="clear" w:color="auto" w:fill="FAFAFB"/>
            <w:tcBorders>
              <w:left w:val="single" w:sz="36" w:color="F5A623"/>
            </w:tcBorders>
          </w:tcPr>
          <w:p>
            <w:pPr>
              <w:spacing w:before="120"/>
            </w:pPr>
            <w:r>
              <w:rPr>
                <w:b/>
                <w:color w:val="4A5058"/>
                <w:sz w:val="15"/>
              </w:rPr>
              <w:t>CAPSTONE PROJECTS</w:t>
            </w:r>
          </w:p>
          <w:p>
            <w:pPr>
              <w:spacing w:before="40" w:after="120"/>
            </w:pPr>
            <w:r>
              <w:rPr>
                <w:b/>
                <w:color w:val="001F35"/>
                <w:sz w:val="40"/>
              </w:rPr>
              <w:t>4</w:t>
            </w:r>
            <w:r>
              <w:rPr>
                <w:color w:val="4A5058"/>
                <w:sz w:val="18"/>
              </w:rPr>
              <w:t xml:space="preserve"> · 8 teams</w:t>
            </w:r>
          </w:p>
        </w:tc>
      </w:tr>
    </w:tbl>
    <w:p>
      <w:pPr>
        <w:spacing w:before="0" w:after="200"/>
      </w:pPr>
    </w:p>
    <w:p>
      <w:pPr>
        <w:spacing w:before="40" w:after="40"/>
      </w:pPr>
      <w:r>
        <w:rPr>
          <w:b/>
          <w:color w:val="0066B2"/>
          <w:sz w:val="16"/>
          <w:spacing w:val="60"/>
        </w:rPr>
        <w:t>PHASE 01 · PHASE 02 — WHAT'S BEEN COMPLETED</w:t>
      </w:r>
    </w:p>
    <w:p>
      <w:pPr>
        <w:spacing w:before="40" w:after="120"/>
      </w:pPr>
      <w:r>
        <w:rPr>
          <w:b/>
          <w:color w:val="001F35"/>
          <w:sz w:val="36"/>
        </w:rPr>
        <w:t>What's been completed</w:t>
      </w:r>
    </w:p>
    <w:p>
      <w:pPr>
        <w:spacing w:before="0" w:after="200"/>
        <w:pBdr>
          <w:bottom w:val="single" w:sz="6" w:space="8" w:color="E5E8EC"/>
        </w:pBdr>
      </w:pPr>
      <w:r>
        <w:rPr>
          <w:b w:val="0"/>
          <w:i w:val="0"/>
          <w:color w:val="4A5058"/>
          <w:sz w:val="22"/>
        </w:rPr>
        <w:t>All 42 trainees finished the shared Foundation phase together. From there the Dev cohort completed its full eighteen-class frontend specialization, while BA and QA trainees worked through every shared block — the combined opener, the spec stack, the diagrams series, and the quality &amp; compliance block.</w:t>
      </w:r>
    </w:p>
    <w:p>
      <w:pPr>
        <w:spacing w:before="160" w:after="40"/>
      </w:pPr>
      <w:r>
        <w:rPr>
          <w:b/>
          <w:color w:val="001F35"/>
          <w:sz w:val="26"/>
        </w:rPr>
        <w:t>Foundation</w:t>
      </w:r>
      <w:r>
        <w:rPr>
          <w:b/>
          <w:color w:val="0066B2"/>
          <w:sz w:val="16"/>
        </w:rPr>
        <w:t xml:space="preserve">   COMPLETE</w:t>
      </w:r>
    </w:p>
    <w:p>
      <w:pPr>
        <w:spacing w:before="0" w:after="40"/>
      </w:pPr>
      <w:r>
        <w:rPr>
          <w:b w:val="0"/>
          <w:i w:val="0"/>
          <w:color w:val="4A5058"/>
          <w:sz w:val="20"/>
        </w:rPr>
        <w:t>All 42 trainees together — shared knowledge base before verticals split.</w:t>
      </w:r>
    </w:p>
    <w:p>
      <w:pPr>
        <w:spacing w:before="0" w:after="80"/>
      </w:pPr>
      <w:r>
        <w:rPr>
          <w:b/>
          <w:i w:val="0"/>
          <w:color w:val="001F35"/>
          <w:sz w:val="18"/>
        </w:rPr>
        <w:t>Progress · 12 / 12 · 100%</w:t>
      </w:r>
    </w:p>
    <w:tbl>
      <w:tblPr>
        <w:tblW w:type="auto" w:w="0"/>
        <w:tblLayout w:type="autofit"/>
        <w:tblLook w:firstColumn="1" w:firstRow="1" w:lastColumn="0" w:lastRow="0" w:noHBand="0" w:noVBand="1" w:val="04A0"/>
      </w:tblPr>
      <w:tblGrid>
        <w:gridCol w:w="4933"/>
        <w:gridCol w:w="4933"/>
      </w:tblGrid>
      <w:tr>
        <w:tc>
          <w:tcPr>
            <w:tcW w:type="dxa" w:w="4933"/>
          </w:tcPr>
          <w:p>
            <w:pPr>
              <w:spacing w:before="0" w:after="0"/>
            </w:pPr>
            <w:r/>
            <w:r>
              <w:rPr>
                <w:b/>
                <w:color w:val="0066B2"/>
                <w:sz w:val="19"/>
              </w:rPr>
              <w:t xml:space="preserve">01  </w:t>
            </w:r>
            <w:r>
              <w:rPr>
                <w:color w:val="0066B2"/>
                <w:sz w:val="20"/>
              </w:rPr>
              <w:t xml:space="preserve">✓ </w:t>
            </w:r>
            <w:r>
              <w:rPr>
                <w:sz w:val="20"/>
              </w:rPr>
              <w:t>Welcome &amp; Orientation</w:t>
            </w:r>
          </w:p>
        </w:tc>
        <w:tc>
          <w:tcPr>
            <w:tcW w:type="dxa" w:w="4933"/>
          </w:tcPr>
          <w:p>
            <w:pPr>
              <w:spacing w:before="0" w:after="0"/>
            </w:pPr>
            <w:r/>
            <w:r>
              <w:rPr>
                <w:b/>
                <w:color w:val="0066B2"/>
                <w:sz w:val="19"/>
              </w:rPr>
              <w:t xml:space="preserve">02  </w:t>
            </w:r>
            <w:r>
              <w:rPr>
                <w:color w:val="0066B2"/>
                <w:sz w:val="20"/>
              </w:rPr>
              <w:t xml:space="preserve">✓ </w:t>
            </w:r>
            <w:r>
              <w:rPr>
                <w:sz w:val="20"/>
              </w:rPr>
              <w:t>Professional Skills</w:t>
            </w:r>
          </w:p>
        </w:tc>
      </w:tr>
      <w:tr>
        <w:tc>
          <w:tcPr>
            <w:tcW w:type="dxa" w:w="4933"/>
          </w:tcPr>
          <w:p>
            <w:pPr>
              <w:spacing w:before="0" w:after="0"/>
            </w:pPr>
            <w:r/>
            <w:r>
              <w:rPr>
                <w:b/>
                <w:color w:val="0066B2"/>
                <w:sz w:val="19"/>
              </w:rPr>
              <w:t xml:space="preserve">03  </w:t>
            </w:r>
            <w:r>
              <w:rPr>
                <w:color w:val="0066B2"/>
                <w:sz w:val="20"/>
              </w:rPr>
              <w:t xml:space="preserve">✓ </w:t>
            </w:r>
            <w:r>
              <w:rPr>
                <w:sz w:val="20"/>
              </w:rPr>
              <w:t>AI Basics &amp; Prompting</w:t>
            </w:r>
          </w:p>
        </w:tc>
        <w:tc>
          <w:tcPr>
            <w:tcW w:type="dxa" w:w="4933"/>
          </w:tcPr>
          <w:p>
            <w:pPr>
              <w:spacing w:before="0" w:after="0"/>
            </w:pPr>
            <w:r/>
            <w:r>
              <w:rPr>
                <w:b/>
                <w:color w:val="0066B2"/>
                <w:sz w:val="19"/>
              </w:rPr>
              <w:t xml:space="preserve">04  </w:t>
            </w:r>
            <w:r>
              <w:rPr>
                <w:color w:val="0066B2"/>
                <w:sz w:val="20"/>
              </w:rPr>
              <w:t xml:space="preserve">✓ </w:t>
            </w:r>
            <w:r>
              <w:rPr>
                <w:sz w:val="20"/>
              </w:rPr>
              <w:t>How the Internet Works</w:t>
            </w:r>
          </w:p>
        </w:tc>
      </w:tr>
      <w:tr>
        <w:tc>
          <w:tcPr>
            <w:tcW w:type="dxa" w:w="4933"/>
          </w:tcPr>
          <w:p>
            <w:pPr>
              <w:spacing w:before="0" w:after="0"/>
            </w:pPr>
            <w:r/>
            <w:r>
              <w:rPr>
                <w:b/>
                <w:color w:val="0066B2"/>
                <w:sz w:val="19"/>
              </w:rPr>
              <w:t xml:space="preserve">05  </w:t>
            </w:r>
            <w:r>
              <w:rPr>
                <w:color w:val="0066B2"/>
                <w:sz w:val="20"/>
              </w:rPr>
              <w:t xml:space="preserve">✓ </w:t>
            </w:r>
            <w:r>
              <w:rPr>
                <w:sz w:val="20"/>
              </w:rPr>
              <w:t>APIs, Data &amp; Databases</w:t>
            </w:r>
          </w:p>
        </w:tc>
        <w:tc>
          <w:tcPr>
            <w:tcW w:type="dxa" w:w="4933"/>
          </w:tcPr>
          <w:p>
            <w:pPr>
              <w:spacing w:before="0" w:after="0"/>
            </w:pPr>
            <w:r/>
            <w:r>
              <w:rPr>
                <w:b/>
                <w:color w:val="0066B2"/>
                <w:sz w:val="19"/>
              </w:rPr>
              <w:t xml:space="preserve">06a  </w:t>
            </w:r>
            <w:r>
              <w:rPr>
                <w:color w:val="0066B2"/>
                <w:sz w:val="20"/>
              </w:rPr>
              <w:t xml:space="preserve">✓ </w:t>
            </w:r>
            <w:r>
              <w:rPr>
                <w:sz w:val="20"/>
              </w:rPr>
              <w:t>Dev Tools &amp; Version Control</w:t>
            </w:r>
          </w:p>
        </w:tc>
      </w:tr>
      <w:tr>
        <w:tc>
          <w:tcPr>
            <w:tcW w:type="dxa" w:w="4933"/>
          </w:tcPr>
          <w:p>
            <w:pPr>
              <w:spacing w:before="0" w:after="0"/>
            </w:pPr>
            <w:r/>
            <w:r>
              <w:rPr>
                <w:b/>
                <w:color w:val="0066B2"/>
                <w:sz w:val="19"/>
              </w:rPr>
              <w:t xml:space="preserve">06b  </w:t>
            </w:r>
            <w:r>
              <w:rPr>
                <w:color w:val="0066B2"/>
                <w:sz w:val="20"/>
              </w:rPr>
              <w:t xml:space="preserve">✓ </w:t>
            </w:r>
            <w:r>
              <w:rPr>
                <w:sz w:val="20"/>
              </w:rPr>
              <w:t>HTML &amp; CSS Basics</w:t>
            </w:r>
          </w:p>
        </w:tc>
        <w:tc>
          <w:tcPr>
            <w:tcW w:type="dxa" w:w="4933"/>
          </w:tcPr>
          <w:p>
            <w:pPr>
              <w:spacing w:before="0" w:after="0"/>
            </w:pPr>
            <w:r/>
            <w:r>
              <w:rPr>
                <w:b/>
                <w:color w:val="0066B2"/>
                <w:sz w:val="19"/>
              </w:rPr>
              <w:t xml:space="preserve">07  </w:t>
            </w:r>
            <w:r>
              <w:rPr>
                <w:color w:val="0066B2"/>
                <w:sz w:val="20"/>
              </w:rPr>
              <w:t xml:space="preserve">✓ </w:t>
            </w:r>
            <w:r>
              <w:rPr>
                <w:sz w:val="20"/>
              </w:rPr>
              <w:t>SDLC, Agile &amp; the AI Era</w:t>
            </w:r>
          </w:p>
        </w:tc>
      </w:tr>
      <w:tr>
        <w:tc>
          <w:tcPr>
            <w:tcW w:type="dxa" w:w="4933"/>
          </w:tcPr>
          <w:p>
            <w:pPr>
              <w:spacing w:before="0" w:after="0"/>
            </w:pPr>
            <w:r/>
            <w:r>
              <w:rPr>
                <w:b/>
                <w:color w:val="0066B2"/>
                <w:sz w:val="19"/>
              </w:rPr>
              <w:t xml:space="preserve">08  </w:t>
            </w:r>
            <w:r>
              <w:rPr>
                <w:color w:val="0066B2"/>
                <w:sz w:val="20"/>
              </w:rPr>
              <w:t xml:space="preserve">✓ </w:t>
            </w:r>
            <w:r>
              <w:rPr>
                <w:sz w:val="20"/>
              </w:rPr>
              <w:t>Teams: Traditional vs AI-Era</w:t>
            </w:r>
          </w:p>
        </w:tc>
        <w:tc>
          <w:tcPr>
            <w:tcW w:type="dxa" w:w="4933"/>
          </w:tcPr>
          <w:p>
            <w:pPr>
              <w:spacing w:before="0" w:after="0"/>
            </w:pPr>
            <w:r/>
            <w:r>
              <w:rPr>
                <w:b/>
                <w:color w:val="0066B2"/>
                <w:sz w:val="19"/>
              </w:rPr>
              <w:t xml:space="preserve">09  </w:t>
            </w:r>
            <w:r>
              <w:rPr>
                <w:color w:val="0066B2"/>
                <w:sz w:val="20"/>
              </w:rPr>
              <w:t xml:space="preserve">✓ </w:t>
            </w:r>
            <w:r>
              <w:rPr>
                <w:sz w:val="20"/>
              </w:rPr>
              <w:t>Spec-Driven Product Thinking</w:t>
            </w:r>
          </w:p>
        </w:tc>
      </w:tr>
      <w:tr>
        <w:tc>
          <w:tcPr>
            <w:tcW w:type="dxa" w:w="4933"/>
          </w:tcPr>
          <w:p>
            <w:pPr>
              <w:spacing w:before="0" w:after="0"/>
            </w:pPr>
            <w:r/>
            <w:r>
              <w:rPr>
                <w:b/>
                <w:color w:val="0066B2"/>
                <w:sz w:val="19"/>
              </w:rPr>
              <w:t xml:space="preserve">10  </w:t>
            </w:r>
            <w:r>
              <w:rPr>
                <w:color w:val="0066B2"/>
                <w:sz w:val="20"/>
              </w:rPr>
              <w:t xml:space="preserve">✓ </w:t>
            </w:r>
            <w:r>
              <w:rPr>
                <w:sz w:val="20"/>
              </w:rPr>
              <w:t>Build Personal Site &amp; Present</w:t>
            </w:r>
          </w:p>
        </w:tc>
        <w:tc>
          <w:tcPr>
            <w:tcW w:type="dxa" w:w="4933"/>
          </w:tcPr>
          <w:p>
            <w:pPr>
              <w:spacing w:before="0" w:after="0"/>
            </w:pPr>
            <w:r/>
            <w:r>
              <w:rPr>
                <w:b/>
                <w:color w:val="0066B2"/>
                <w:sz w:val="19"/>
              </w:rPr>
              <w:t xml:space="preserve">11  </w:t>
            </w:r>
            <w:r>
              <w:rPr>
                <w:color w:val="0066B2"/>
                <w:sz w:val="20"/>
              </w:rPr>
              <w:t xml:space="preserve">✓ </w:t>
            </w:r>
            <w:r>
              <w:rPr>
                <w:sz w:val="20"/>
              </w:rPr>
              <w:t>Vertical Assignment</w:t>
            </w:r>
          </w:p>
        </w:tc>
      </w:tr>
    </w:tbl>
    <w:p>
      <w:pPr>
        <w:spacing w:before="160" w:after="40"/>
      </w:pPr>
      <w:r>
        <w:rPr>
          <w:b/>
          <w:color w:val="001F35"/>
          <w:sz w:val="26"/>
        </w:rPr>
        <w:t>Software Development</w:t>
      </w:r>
      <w:r>
        <w:rPr>
          <w:b/>
          <w:color w:val="0066B2"/>
          <w:sz w:val="16"/>
        </w:rPr>
        <w:t xml:space="preserve">   COMPLETE</w:t>
      </w:r>
    </w:p>
    <w:p>
      <w:pPr>
        <w:spacing w:before="0" w:after="40"/>
      </w:pPr>
      <w:r>
        <w:rPr>
          <w:b w:val="0"/>
          <w:i w:val="0"/>
          <w:color w:val="4A5058"/>
          <w:sz w:val="20"/>
        </w:rPr>
        <w:t>Frontend-focused track — JavaScript, TypeScript, React, and AI-assisted workflows.</w:t>
      </w:r>
    </w:p>
    <w:p>
      <w:pPr>
        <w:spacing w:before="0" w:after="80"/>
      </w:pPr>
      <w:r>
        <w:rPr>
          <w:b/>
          <w:i w:val="0"/>
          <w:color w:val="001F35"/>
          <w:sz w:val="18"/>
        </w:rPr>
        <w:t>Progress · 18 / 18 · 100%</w:t>
      </w:r>
    </w:p>
    <w:tbl>
      <w:tblPr>
        <w:tblW w:type="auto" w:w="0"/>
        <w:tblLayout w:type="autofit"/>
        <w:tblLook w:firstColumn="1" w:firstRow="1" w:lastColumn="0" w:lastRow="0" w:noHBand="0" w:noVBand="1" w:val="04A0"/>
      </w:tblPr>
      <w:tblGrid>
        <w:gridCol w:w="4933"/>
        <w:gridCol w:w="4933"/>
      </w:tblGrid>
      <w:tr>
        <w:tc>
          <w:tcPr>
            <w:tcW w:type="dxa" w:w="4933"/>
          </w:tcPr>
          <w:p>
            <w:pPr>
              <w:spacing w:before="0" w:after="0"/>
            </w:pPr>
            <w:r/>
            <w:r>
              <w:rPr>
                <w:b/>
                <w:color w:val="0066B2"/>
                <w:sz w:val="19"/>
              </w:rPr>
              <w:t xml:space="preserve">01  </w:t>
            </w:r>
            <w:r>
              <w:rPr>
                <w:color w:val="0066B2"/>
                <w:sz w:val="20"/>
              </w:rPr>
              <w:t xml:space="preserve">✓ </w:t>
            </w:r>
            <w:r>
              <w:rPr>
                <w:sz w:val="20"/>
              </w:rPr>
              <w:t>Dev Environment Deep Dive</w:t>
            </w:r>
          </w:p>
        </w:tc>
        <w:tc>
          <w:tcPr>
            <w:tcW w:type="dxa" w:w="4933"/>
          </w:tcPr>
          <w:p>
            <w:pPr>
              <w:spacing w:before="0" w:after="0"/>
            </w:pPr>
            <w:r/>
            <w:r>
              <w:rPr>
                <w:b/>
                <w:color w:val="0066B2"/>
                <w:sz w:val="19"/>
              </w:rPr>
              <w:t xml:space="preserve">02  </w:t>
            </w:r>
            <w:r>
              <w:rPr>
                <w:color w:val="0066B2"/>
                <w:sz w:val="20"/>
              </w:rPr>
              <w:t xml:space="preserve">✓ </w:t>
            </w:r>
            <w:r>
              <w:rPr>
                <w:sz w:val="20"/>
              </w:rPr>
              <w:t>JavaScript Fundamentals I</w:t>
            </w:r>
          </w:p>
        </w:tc>
      </w:tr>
      <w:tr>
        <w:tc>
          <w:tcPr>
            <w:tcW w:type="dxa" w:w="4933"/>
          </w:tcPr>
          <w:p>
            <w:pPr>
              <w:spacing w:before="0" w:after="0"/>
            </w:pPr>
            <w:r/>
            <w:r>
              <w:rPr>
                <w:b/>
                <w:color w:val="0066B2"/>
                <w:sz w:val="19"/>
              </w:rPr>
              <w:t xml:space="preserve">03  </w:t>
            </w:r>
            <w:r>
              <w:rPr>
                <w:color w:val="0066B2"/>
                <w:sz w:val="20"/>
              </w:rPr>
              <w:t xml:space="preserve">✓ </w:t>
            </w:r>
            <w:r>
              <w:rPr>
                <w:sz w:val="20"/>
              </w:rPr>
              <w:t>JavaScript Fundamentals II</w:t>
            </w:r>
          </w:p>
        </w:tc>
        <w:tc>
          <w:tcPr>
            <w:tcW w:type="dxa" w:w="4933"/>
          </w:tcPr>
          <w:p>
            <w:pPr>
              <w:spacing w:before="0" w:after="0"/>
            </w:pPr>
            <w:r/>
            <w:r>
              <w:rPr>
                <w:b/>
                <w:color w:val="0066B2"/>
                <w:sz w:val="19"/>
              </w:rPr>
              <w:t xml:space="preserve">03b  </w:t>
            </w:r>
            <w:r>
              <w:rPr>
                <w:color w:val="0066B2"/>
                <w:sz w:val="20"/>
              </w:rPr>
              <w:t xml:space="preserve">✓ </w:t>
            </w:r>
            <w:r>
              <w:rPr>
                <w:sz w:val="20"/>
              </w:rPr>
              <w:t>JavaScript Practice Day</w:t>
            </w:r>
          </w:p>
        </w:tc>
      </w:tr>
      <w:tr>
        <w:tc>
          <w:tcPr>
            <w:tcW w:type="dxa" w:w="4933"/>
          </w:tcPr>
          <w:p>
            <w:pPr>
              <w:spacing w:before="0" w:after="0"/>
            </w:pPr>
            <w:r/>
            <w:r>
              <w:rPr>
                <w:b/>
                <w:color w:val="0066B2"/>
                <w:sz w:val="19"/>
              </w:rPr>
              <w:t xml:space="preserve">04  </w:t>
            </w:r>
            <w:r>
              <w:rPr>
                <w:color w:val="0066B2"/>
                <w:sz w:val="20"/>
              </w:rPr>
              <w:t xml:space="preserve">✓ </w:t>
            </w:r>
            <w:r>
              <w:rPr>
                <w:sz w:val="20"/>
              </w:rPr>
              <w:t>DOM, Browser APIs &amp; Async</w:t>
            </w:r>
          </w:p>
        </w:tc>
        <w:tc>
          <w:tcPr>
            <w:tcW w:type="dxa" w:w="4933"/>
          </w:tcPr>
          <w:p>
            <w:pPr>
              <w:spacing w:before="0" w:after="0"/>
            </w:pPr>
            <w:r/>
            <w:r>
              <w:rPr>
                <w:b/>
                <w:color w:val="0066B2"/>
                <w:sz w:val="19"/>
              </w:rPr>
              <w:t xml:space="preserve">05  </w:t>
            </w:r>
            <w:r>
              <w:rPr>
                <w:color w:val="0066B2"/>
                <w:sz w:val="20"/>
              </w:rPr>
              <w:t xml:space="preserve">✓ </w:t>
            </w:r>
            <w:r>
              <w:rPr>
                <w:sz w:val="20"/>
              </w:rPr>
              <w:t>TypeScript Foundations</w:t>
            </w:r>
          </w:p>
        </w:tc>
      </w:tr>
      <w:tr>
        <w:tc>
          <w:tcPr>
            <w:tcW w:type="dxa" w:w="4933"/>
          </w:tcPr>
          <w:p>
            <w:pPr>
              <w:spacing w:before="0" w:after="0"/>
            </w:pPr>
            <w:r/>
            <w:r>
              <w:rPr>
                <w:b/>
                <w:color w:val="0066B2"/>
                <w:sz w:val="19"/>
              </w:rPr>
              <w:t xml:space="preserve">06  </w:t>
            </w:r>
            <w:r>
              <w:rPr>
                <w:color w:val="0066B2"/>
                <w:sz w:val="20"/>
              </w:rPr>
              <w:t xml:space="preserve">✓ </w:t>
            </w:r>
            <w:r>
              <w:rPr>
                <w:sz w:val="20"/>
              </w:rPr>
              <w:t>Intro to React</w:t>
            </w:r>
          </w:p>
        </w:tc>
        <w:tc>
          <w:tcPr>
            <w:tcW w:type="dxa" w:w="4933"/>
          </w:tcPr>
          <w:p>
            <w:pPr>
              <w:spacing w:before="0" w:after="0"/>
            </w:pPr>
            <w:r/>
            <w:r>
              <w:rPr>
                <w:b/>
                <w:color w:val="0066B2"/>
                <w:sz w:val="19"/>
              </w:rPr>
              <w:t xml:space="preserve">07  </w:t>
            </w:r>
            <w:r>
              <w:rPr>
                <w:color w:val="0066B2"/>
                <w:sz w:val="20"/>
              </w:rPr>
              <w:t xml:space="preserve">✓ </w:t>
            </w:r>
            <w:r>
              <w:rPr>
                <w:sz w:val="20"/>
              </w:rPr>
              <w:t>React Hooks</w:t>
            </w:r>
          </w:p>
        </w:tc>
      </w:tr>
      <w:tr>
        <w:tc>
          <w:tcPr>
            <w:tcW w:type="dxa" w:w="4933"/>
          </w:tcPr>
          <w:p>
            <w:pPr>
              <w:spacing w:before="0" w:after="0"/>
            </w:pPr>
            <w:r/>
            <w:r>
              <w:rPr>
                <w:b/>
                <w:color w:val="0066B2"/>
                <w:sz w:val="19"/>
              </w:rPr>
              <w:t xml:space="preserve">08  </w:t>
            </w:r>
            <w:r>
              <w:rPr>
                <w:color w:val="0066B2"/>
                <w:sz w:val="20"/>
              </w:rPr>
              <w:t xml:space="preserve">✓ </w:t>
            </w:r>
            <w:r>
              <w:rPr>
                <w:sz w:val="20"/>
              </w:rPr>
              <w:t>React Patterns</w:t>
            </w:r>
          </w:p>
        </w:tc>
        <w:tc>
          <w:tcPr>
            <w:tcW w:type="dxa" w:w="4933"/>
          </w:tcPr>
          <w:p>
            <w:pPr>
              <w:spacing w:before="0" w:after="0"/>
            </w:pPr>
            <w:r/>
            <w:r>
              <w:rPr>
                <w:b/>
                <w:color w:val="0066B2"/>
                <w:sz w:val="19"/>
              </w:rPr>
              <w:t xml:space="preserve">09  </w:t>
            </w:r>
            <w:r>
              <w:rPr>
                <w:color w:val="0066B2"/>
                <w:sz w:val="20"/>
              </w:rPr>
              <w:t xml:space="preserve">✓ </w:t>
            </w:r>
            <w:r>
              <w:rPr>
                <w:sz w:val="20"/>
              </w:rPr>
              <w:t>Routing &amp; Navigation</w:t>
            </w:r>
          </w:p>
        </w:tc>
      </w:tr>
      <w:tr>
        <w:tc>
          <w:tcPr>
            <w:tcW w:type="dxa" w:w="4933"/>
          </w:tcPr>
          <w:p>
            <w:pPr>
              <w:spacing w:before="0" w:after="0"/>
            </w:pPr>
            <w:r/>
            <w:r>
              <w:rPr>
                <w:b/>
                <w:color w:val="0066B2"/>
                <w:sz w:val="19"/>
              </w:rPr>
              <w:t xml:space="preserve">10  </w:t>
            </w:r>
            <w:r>
              <w:rPr>
                <w:color w:val="0066B2"/>
                <w:sz w:val="20"/>
              </w:rPr>
              <w:t xml:space="preserve">✓ </w:t>
            </w:r>
            <w:r>
              <w:rPr>
                <w:sz w:val="20"/>
              </w:rPr>
              <w:t>Working with APIs</w:t>
            </w:r>
          </w:p>
        </w:tc>
        <w:tc>
          <w:tcPr>
            <w:tcW w:type="dxa" w:w="4933"/>
          </w:tcPr>
          <w:p>
            <w:pPr>
              <w:spacing w:before="0" w:after="0"/>
            </w:pPr>
            <w:r/>
            <w:r>
              <w:rPr>
                <w:b/>
                <w:color w:val="0066B2"/>
                <w:sz w:val="19"/>
              </w:rPr>
              <w:t xml:space="preserve">11  </w:t>
            </w:r>
            <w:r>
              <w:rPr>
                <w:color w:val="0066B2"/>
                <w:sz w:val="20"/>
              </w:rPr>
              <w:t xml:space="preserve">✓ </w:t>
            </w:r>
            <w:r>
              <w:rPr>
                <w:sz w:val="20"/>
              </w:rPr>
              <w:t>Forms &amp; Validation</w:t>
            </w:r>
          </w:p>
        </w:tc>
      </w:tr>
      <w:tr>
        <w:tc>
          <w:tcPr>
            <w:tcW w:type="dxa" w:w="4933"/>
          </w:tcPr>
          <w:p>
            <w:pPr>
              <w:spacing w:before="0" w:after="0"/>
            </w:pPr>
            <w:r/>
            <w:r>
              <w:rPr>
                <w:b/>
                <w:color w:val="0066B2"/>
                <w:sz w:val="19"/>
              </w:rPr>
              <w:t xml:space="preserve">12  </w:t>
            </w:r>
            <w:r>
              <w:rPr>
                <w:color w:val="0066B2"/>
                <w:sz w:val="20"/>
              </w:rPr>
              <w:t xml:space="preserve">✓ </w:t>
            </w:r>
            <w:r>
              <w:rPr>
                <w:sz w:val="20"/>
              </w:rPr>
              <w:t>Styling in React</w:t>
            </w:r>
          </w:p>
        </w:tc>
        <w:tc>
          <w:tcPr>
            <w:tcW w:type="dxa" w:w="4933"/>
          </w:tcPr>
          <w:p>
            <w:pPr>
              <w:spacing w:before="0" w:after="0"/>
            </w:pPr>
            <w:r/>
            <w:r>
              <w:rPr>
                <w:b/>
                <w:color w:val="0066B2"/>
                <w:sz w:val="19"/>
              </w:rPr>
              <w:t xml:space="preserve">13  </w:t>
            </w:r>
            <w:r>
              <w:rPr>
                <w:color w:val="0066B2"/>
                <w:sz w:val="20"/>
              </w:rPr>
              <w:t xml:space="preserve">✓ </w:t>
            </w:r>
            <w:r>
              <w:rPr>
                <w:sz w:val="20"/>
              </w:rPr>
              <w:t>Build &amp; Deployment</w:t>
            </w:r>
          </w:p>
        </w:tc>
      </w:tr>
      <w:tr>
        <w:tc>
          <w:tcPr>
            <w:tcW w:type="dxa" w:w="4933"/>
          </w:tcPr>
          <w:p>
            <w:pPr>
              <w:spacing w:before="0" w:after="0"/>
            </w:pPr>
            <w:r/>
            <w:r>
              <w:rPr>
                <w:b/>
                <w:color w:val="0066B2"/>
                <w:sz w:val="19"/>
              </w:rPr>
              <w:t xml:space="preserve">14  </w:t>
            </w:r>
            <w:r>
              <w:rPr>
                <w:color w:val="0066B2"/>
                <w:sz w:val="20"/>
              </w:rPr>
              <w:t xml:space="preserve">✓ </w:t>
            </w:r>
            <w:r>
              <w:rPr>
                <w:sz w:val="20"/>
              </w:rPr>
              <w:t>AI-Assisted Development</w:t>
            </w:r>
          </w:p>
        </w:tc>
        <w:tc>
          <w:tcPr>
            <w:tcW w:type="dxa" w:w="4933"/>
          </w:tcPr>
          <w:p>
            <w:pPr>
              <w:spacing w:before="0" w:after="0"/>
            </w:pPr>
            <w:r/>
            <w:r>
              <w:rPr>
                <w:b/>
                <w:color w:val="0066B2"/>
                <w:sz w:val="19"/>
              </w:rPr>
              <w:t xml:space="preserve">15  </w:t>
            </w:r>
            <w:r>
              <w:rPr>
                <w:color w:val="0066B2"/>
                <w:sz w:val="20"/>
              </w:rPr>
              <w:t xml:space="preserve">✓ </w:t>
            </w:r>
            <w:r>
              <w:rPr>
                <w:sz w:val="20"/>
              </w:rPr>
              <w:t>Working with a Backend</w:t>
            </w:r>
          </w:p>
        </w:tc>
      </w:tr>
      <w:tr>
        <w:tc>
          <w:tcPr>
            <w:tcW w:type="dxa" w:w="4933"/>
          </w:tcPr>
          <w:p>
            <w:pPr>
              <w:spacing w:before="0" w:after="0"/>
            </w:pPr>
            <w:r/>
            <w:r>
              <w:rPr>
                <w:b/>
                <w:color w:val="0066B2"/>
                <w:sz w:val="19"/>
              </w:rPr>
              <w:t xml:space="preserve">16  </w:t>
            </w:r>
            <w:r>
              <w:rPr>
                <w:color w:val="0066B2"/>
                <w:sz w:val="20"/>
              </w:rPr>
              <w:t xml:space="preserve">✓ </w:t>
            </w:r>
            <w:r>
              <w:rPr>
                <w:sz w:val="20"/>
              </w:rPr>
              <w:t>Mini Project Week</w:t>
            </w:r>
          </w:p>
        </w:tc>
        <w:tc>
          <w:tcPr>
            <w:tcW w:type="dxa" w:w="4933"/>
          </w:tcPr>
          <w:p>
            <w:pPr>
              <w:spacing w:before="0" w:after="0"/>
            </w:pPr>
            <w:r/>
            <w:r>
              <w:rPr>
                <w:b/>
                <w:color w:val="0066B2"/>
                <w:sz w:val="19"/>
              </w:rPr>
              <w:t xml:space="preserve">17  </w:t>
            </w:r>
            <w:r>
              <w:rPr>
                <w:color w:val="0066B2"/>
                <w:sz w:val="20"/>
              </w:rPr>
              <w:t xml:space="preserve">✓ </w:t>
            </w:r>
            <w:r>
              <w:rPr>
                <w:sz w:val="20"/>
              </w:rPr>
              <w:t>Code Review &amp; Shipping</w:t>
            </w:r>
          </w:p>
        </w:tc>
      </w:tr>
    </w:tbl>
    <w:p>
      <w:pPr>
        <w:spacing w:before="160" w:after="40"/>
      </w:pPr>
      <w:r>
        <w:rPr>
          <w:b/>
          <w:color w:val="001F35"/>
          <w:sz w:val="26"/>
        </w:rPr>
        <w:t>BA + QA · Foundations</w:t>
      </w:r>
      <w:r>
        <w:rPr>
          <w:b/>
          <w:color w:val="0066B2"/>
          <w:sz w:val="16"/>
        </w:rPr>
        <w:t xml:space="preserve">   COMPLETE</w:t>
      </w:r>
    </w:p>
    <w:p>
      <w:pPr>
        <w:spacing w:before="0" w:after="40"/>
      </w:pPr>
      <w:r>
        <w:rPr>
          <w:b w:val="0"/>
          <w:i w:val="0"/>
          <w:color w:val="4A5058"/>
          <w:sz w:val="20"/>
        </w:rPr>
        <w:t>Role clarity, spec-reading, FR vs NFR, acceptance criteria, estimation.</w:t>
      </w:r>
    </w:p>
    <w:p>
      <w:pPr>
        <w:spacing w:before="0" w:after="80"/>
      </w:pPr>
      <w:r>
        <w:rPr>
          <w:b/>
          <w:i w:val="0"/>
          <w:color w:val="001F35"/>
          <w:sz w:val="18"/>
        </w:rPr>
        <w:t>Progress · 5 / 5 · 100%</w:t>
      </w:r>
    </w:p>
    <w:tbl>
      <w:tblPr>
        <w:tblW w:type="auto" w:w="0"/>
        <w:tblLayout w:type="autofit"/>
        <w:tblLook w:firstColumn="1" w:firstRow="1" w:lastColumn="0" w:lastRow="0" w:noHBand="0" w:noVBand="1" w:val="04A0"/>
      </w:tblPr>
      <w:tblGrid>
        <w:gridCol w:w="4933"/>
        <w:gridCol w:w="4933"/>
      </w:tblGrid>
      <w:tr>
        <w:tc>
          <w:tcPr>
            <w:tcW w:type="dxa" w:w="4933"/>
          </w:tcPr>
          <w:p>
            <w:pPr>
              <w:spacing w:before="0" w:after="0"/>
            </w:pPr>
            <w:r/>
            <w:r>
              <w:rPr>
                <w:b/>
                <w:color w:val="0066B2"/>
                <w:sz w:val="19"/>
              </w:rPr>
              <w:t xml:space="preserve">01  </w:t>
            </w:r>
            <w:r>
              <w:rPr>
                <w:color w:val="0066B2"/>
                <w:sz w:val="20"/>
              </w:rPr>
              <w:t xml:space="preserve">✓ </w:t>
            </w:r>
            <w:r>
              <w:rPr>
                <w:sz w:val="20"/>
              </w:rPr>
              <w:t>Role Deep-Dive</w:t>
            </w:r>
          </w:p>
        </w:tc>
        <w:tc>
          <w:tcPr>
            <w:tcW w:type="dxa" w:w="4933"/>
          </w:tcPr>
          <w:p>
            <w:pPr>
              <w:spacing w:before="0" w:after="0"/>
            </w:pPr>
            <w:r/>
            <w:r>
              <w:rPr>
                <w:b/>
                <w:color w:val="0066B2"/>
                <w:sz w:val="19"/>
              </w:rPr>
              <w:t xml:space="preserve">02  </w:t>
            </w:r>
            <w:r>
              <w:rPr>
                <w:color w:val="0066B2"/>
                <w:sz w:val="20"/>
              </w:rPr>
              <w:t xml:space="preserve">✓ </w:t>
            </w:r>
            <w:r>
              <w:rPr>
                <w:sz w:val="20"/>
              </w:rPr>
              <w:t>Reading Requirements</w:t>
            </w:r>
          </w:p>
        </w:tc>
      </w:tr>
      <w:tr>
        <w:tc>
          <w:tcPr>
            <w:tcW w:type="dxa" w:w="4933"/>
          </w:tcPr>
          <w:p>
            <w:pPr>
              <w:spacing w:before="0" w:after="0"/>
            </w:pPr>
            <w:r/>
            <w:r>
              <w:rPr>
                <w:b/>
                <w:color w:val="0066B2"/>
                <w:sz w:val="19"/>
              </w:rPr>
              <w:t xml:space="preserve">03  </w:t>
            </w:r>
            <w:r>
              <w:rPr>
                <w:color w:val="0066B2"/>
                <w:sz w:val="20"/>
              </w:rPr>
              <w:t xml:space="preserve">✓ </w:t>
            </w:r>
            <w:r>
              <w:rPr>
                <w:sz w:val="20"/>
              </w:rPr>
              <w:t>FR vs NFR</w:t>
            </w:r>
          </w:p>
        </w:tc>
        <w:tc>
          <w:tcPr>
            <w:tcW w:type="dxa" w:w="4933"/>
          </w:tcPr>
          <w:p>
            <w:pPr>
              <w:spacing w:before="0" w:after="0"/>
            </w:pPr>
            <w:r/>
            <w:r>
              <w:rPr>
                <w:b/>
                <w:color w:val="0066B2"/>
                <w:sz w:val="19"/>
              </w:rPr>
              <w:t xml:space="preserve">04  </w:t>
            </w:r>
            <w:r>
              <w:rPr>
                <w:color w:val="0066B2"/>
                <w:sz w:val="20"/>
              </w:rPr>
              <w:t xml:space="preserve">✓ </w:t>
            </w:r>
            <w:r>
              <w:rPr>
                <w:sz w:val="20"/>
              </w:rPr>
              <w:t>Acceptance Criteria</w:t>
            </w:r>
          </w:p>
        </w:tc>
      </w:tr>
      <w:tr>
        <w:tc>
          <w:tcPr>
            <w:tcW w:type="dxa" w:w="4933"/>
          </w:tcPr>
          <w:p>
            <w:pPr>
              <w:spacing w:before="0" w:after="0"/>
            </w:pPr>
            <w:r/>
            <w:r>
              <w:rPr>
                <w:b/>
                <w:color w:val="0066B2"/>
                <w:sz w:val="19"/>
              </w:rPr>
              <w:t xml:space="preserve">05  </w:t>
            </w:r>
            <w:r>
              <w:rPr>
                <w:color w:val="0066B2"/>
                <w:sz w:val="20"/>
              </w:rPr>
              <w:t xml:space="preserve">✓ </w:t>
            </w:r>
            <w:r>
              <w:rPr>
                <w:sz w:val="20"/>
              </w:rPr>
              <w:t>Estimation &amp; Prioritization</w:t>
            </w:r>
          </w:p>
        </w:tc>
        <w:tc>
          <w:tcPr>
            <w:tcW w:type="dxa" w:w="4933"/>
          </w:tcPr>
          <w:p/>
        </w:tc>
      </w:tr>
    </w:tbl>
    <w:p>
      <w:pPr>
        <w:spacing w:before="160" w:after="40"/>
      </w:pPr>
      <w:r>
        <w:rPr>
          <w:b/>
          <w:color w:val="001F35"/>
          <w:sz w:val="26"/>
        </w:rPr>
        <w:t>BA + QA · Spec Stack</w:t>
      </w:r>
      <w:r>
        <w:rPr>
          <w:b/>
          <w:color w:val="0066B2"/>
          <w:sz w:val="16"/>
        </w:rPr>
        <w:t xml:space="preserve">   COMPLETE</w:t>
      </w:r>
    </w:p>
    <w:p>
      <w:pPr>
        <w:spacing w:before="0" w:after="40"/>
      </w:pPr>
      <w:r>
        <w:rPr>
          <w:b w:val="0"/>
          <w:i w:val="0"/>
          <w:color w:val="4A5058"/>
          <w:sz w:val="20"/>
        </w:rPr>
        <w:t>The artifact stack BAs and QAs work with daily — anatomy, BRD, SRS, HLD/LLD, writing mechanics, teardown.</w:t>
      </w:r>
    </w:p>
    <w:p>
      <w:pPr>
        <w:spacing w:before="0" w:after="80"/>
      </w:pPr>
      <w:r>
        <w:rPr>
          <w:b/>
          <w:i w:val="0"/>
          <w:color w:val="001F35"/>
          <w:sz w:val="18"/>
        </w:rPr>
        <w:t>Progress · 6 / 6 · 100%</w:t>
      </w:r>
    </w:p>
    <w:tbl>
      <w:tblPr>
        <w:tblW w:type="auto" w:w="0"/>
        <w:tblLayout w:type="autofit"/>
        <w:tblLook w:firstColumn="1" w:firstRow="1" w:lastColumn="0" w:lastRow="0" w:noHBand="0" w:noVBand="1" w:val="04A0"/>
      </w:tblPr>
      <w:tblGrid>
        <w:gridCol w:w="4933"/>
        <w:gridCol w:w="4933"/>
      </w:tblGrid>
      <w:tr>
        <w:tc>
          <w:tcPr>
            <w:tcW w:type="dxa" w:w="4933"/>
          </w:tcPr>
          <w:p>
            <w:pPr>
              <w:spacing w:before="0" w:after="0"/>
            </w:pPr>
            <w:r/>
            <w:r>
              <w:rPr>
                <w:b/>
                <w:color w:val="0066B2"/>
                <w:sz w:val="19"/>
              </w:rPr>
              <w:t xml:space="preserve">01  </w:t>
            </w:r>
            <w:r>
              <w:rPr>
                <w:color w:val="0066B2"/>
                <w:sz w:val="20"/>
              </w:rPr>
              <w:t xml:space="preserve">✓ </w:t>
            </w:r>
            <w:r>
              <w:rPr>
                <w:sz w:val="20"/>
              </w:rPr>
              <w:t>Anatomy of a Dev-Ready Spec</w:t>
            </w:r>
          </w:p>
        </w:tc>
        <w:tc>
          <w:tcPr>
            <w:tcW w:type="dxa" w:w="4933"/>
          </w:tcPr>
          <w:p>
            <w:pPr>
              <w:spacing w:before="0" w:after="0"/>
            </w:pPr>
            <w:r/>
            <w:r>
              <w:rPr>
                <w:b/>
                <w:color w:val="0066B2"/>
                <w:sz w:val="19"/>
              </w:rPr>
              <w:t xml:space="preserve">02  </w:t>
            </w:r>
            <w:r>
              <w:rPr>
                <w:color w:val="0066B2"/>
                <w:sz w:val="20"/>
              </w:rPr>
              <w:t xml:space="preserve">✓ </w:t>
            </w:r>
            <w:r>
              <w:rPr>
                <w:sz w:val="20"/>
              </w:rPr>
              <w:t>The BRD Document</w:t>
            </w:r>
          </w:p>
        </w:tc>
      </w:tr>
      <w:tr>
        <w:tc>
          <w:tcPr>
            <w:tcW w:type="dxa" w:w="4933"/>
          </w:tcPr>
          <w:p>
            <w:pPr>
              <w:spacing w:before="0" w:after="0"/>
            </w:pPr>
            <w:r/>
            <w:r>
              <w:rPr>
                <w:b/>
                <w:color w:val="0066B2"/>
                <w:sz w:val="19"/>
              </w:rPr>
              <w:t xml:space="preserve">03  </w:t>
            </w:r>
            <w:r>
              <w:rPr>
                <w:color w:val="0066B2"/>
                <w:sz w:val="20"/>
              </w:rPr>
              <w:t xml:space="preserve">✓ </w:t>
            </w:r>
            <w:r>
              <w:rPr>
                <w:sz w:val="20"/>
              </w:rPr>
              <w:t>The SRS Document</w:t>
            </w:r>
          </w:p>
        </w:tc>
        <w:tc>
          <w:tcPr>
            <w:tcW w:type="dxa" w:w="4933"/>
          </w:tcPr>
          <w:p>
            <w:pPr>
              <w:spacing w:before="0" w:after="0"/>
            </w:pPr>
            <w:r/>
            <w:r>
              <w:rPr>
                <w:b/>
                <w:color w:val="0066B2"/>
                <w:sz w:val="19"/>
              </w:rPr>
              <w:t xml:space="preserve">04  </w:t>
            </w:r>
            <w:r>
              <w:rPr>
                <w:color w:val="0066B2"/>
                <w:sz w:val="20"/>
              </w:rPr>
              <w:t xml:space="preserve">✓ </w:t>
            </w:r>
            <w:r>
              <w:rPr>
                <w:sz w:val="20"/>
              </w:rPr>
              <w:t>HLD &amp; LLD Workshop</w:t>
            </w:r>
          </w:p>
        </w:tc>
      </w:tr>
      <w:tr>
        <w:tc>
          <w:tcPr>
            <w:tcW w:type="dxa" w:w="4933"/>
          </w:tcPr>
          <w:p>
            <w:pPr>
              <w:spacing w:before="0" w:after="0"/>
            </w:pPr>
            <w:r/>
            <w:r>
              <w:rPr>
                <w:b/>
                <w:color w:val="0066B2"/>
                <w:sz w:val="19"/>
              </w:rPr>
              <w:t xml:space="preserve">05  </w:t>
            </w:r>
            <w:r>
              <w:rPr>
                <w:color w:val="0066B2"/>
                <w:sz w:val="20"/>
              </w:rPr>
              <w:t xml:space="preserve">✓ </w:t>
            </w:r>
            <w:r>
              <w:rPr>
                <w:sz w:val="20"/>
              </w:rPr>
              <w:t>Writing Mechanics for Specs</w:t>
            </w:r>
          </w:p>
        </w:tc>
        <w:tc>
          <w:tcPr>
            <w:tcW w:type="dxa" w:w="4933"/>
          </w:tcPr>
          <w:p>
            <w:pPr>
              <w:spacing w:before="0" w:after="0"/>
            </w:pPr>
            <w:r/>
            <w:r>
              <w:rPr>
                <w:b/>
                <w:color w:val="0066B2"/>
                <w:sz w:val="19"/>
              </w:rPr>
              <w:t xml:space="preserve">06  </w:t>
            </w:r>
            <w:r>
              <w:rPr>
                <w:color w:val="0066B2"/>
                <w:sz w:val="20"/>
              </w:rPr>
              <w:t xml:space="preserve">✓ </w:t>
            </w:r>
            <w:r>
              <w:rPr>
                <w:sz w:val="20"/>
              </w:rPr>
              <w:t>Spec Teardown Workshop</w:t>
            </w:r>
          </w:p>
        </w:tc>
      </w:tr>
    </w:tbl>
    <w:p>
      <w:pPr>
        <w:spacing w:before="160" w:after="40"/>
      </w:pPr>
      <w:r>
        <w:rPr>
          <w:b/>
          <w:color w:val="001F35"/>
          <w:sz w:val="26"/>
        </w:rPr>
        <w:t>BA + QA · Diagrams</w:t>
      </w:r>
      <w:r>
        <w:rPr>
          <w:b/>
          <w:color w:val="0066B2"/>
          <w:sz w:val="16"/>
        </w:rPr>
        <w:t xml:space="preserve">   COMPLETE</w:t>
      </w:r>
    </w:p>
    <w:p>
      <w:pPr>
        <w:spacing w:before="0" w:after="40"/>
      </w:pPr>
      <w:r>
        <w:rPr>
          <w:b w:val="0"/>
          <w:i w:val="0"/>
          <w:color w:val="4A5058"/>
          <w:sz w:val="20"/>
        </w:rPr>
        <w:t>The seven diagrams every software professional should read fluently — one session per type.</w:t>
      </w:r>
    </w:p>
    <w:p>
      <w:pPr>
        <w:spacing w:before="0" w:after="80"/>
      </w:pPr>
      <w:r>
        <w:rPr>
          <w:b/>
          <w:i w:val="0"/>
          <w:color w:val="001F35"/>
          <w:sz w:val="18"/>
        </w:rPr>
        <w:t>Progress · 7 / 7 · 100%</w:t>
      </w:r>
    </w:p>
    <w:tbl>
      <w:tblPr>
        <w:tblW w:type="auto" w:w="0"/>
        <w:tblLayout w:type="autofit"/>
        <w:tblLook w:firstColumn="1" w:firstRow="1" w:lastColumn="0" w:lastRow="0" w:noHBand="0" w:noVBand="1" w:val="04A0"/>
      </w:tblPr>
      <w:tblGrid>
        <w:gridCol w:w="4933"/>
        <w:gridCol w:w="4933"/>
      </w:tblGrid>
      <w:tr>
        <w:tc>
          <w:tcPr>
            <w:tcW w:type="dxa" w:w="4933"/>
          </w:tcPr>
          <w:p>
            <w:pPr>
              <w:spacing w:before="0" w:after="0"/>
            </w:pPr>
            <w:r/>
            <w:r>
              <w:rPr>
                <w:b/>
                <w:color w:val="0066B2"/>
                <w:sz w:val="19"/>
              </w:rPr>
              <w:t xml:space="preserve">01  </w:t>
            </w:r>
            <w:r>
              <w:rPr>
                <w:color w:val="0066B2"/>
                <w:sz w:val="20"/>
              </w:rPr>
              <w:t xml:space="preserve">✓ </w:t>
            </w:r>
            <w:r>
              <w:rPr>
                <w:sz w:val="20"/>
              </w:rPr>
              <w:t>Use Case Diagrams</w:t>
            </w:r>
          </w:p>
        </w:tc>
        <w:tc>
          <w:tcPr>
            <w:tcW w:type="dxa" w:w="4933"/>
          </w:tcPr>
          <w:p>
            <w:pPr>
              <w:spacing w:before="0" w:after="0"/>
            </w:pPr>
            <w:r/>
            <w:r>
              <w:rPr>
                <w:b/>
                <w:color w:val="0066B2"/>
                <w:sz w:val="19"/>
              </w:rPr>
              <w:t xml:space="preserve">02  </w:t>
            </w:r>
            <w:r>
              <w:rPr>
                <w:color w:val="0066B2"/>
                <w:sz w:val="20"/>
              </w:rPr>
              <w:t xml:space="preserve">✓ </w:t>
            </w:r>
            <w:r>
              <w:rPr>
                <w:sz w:val="20"/>
              </w:rPr>
              <w:t>BPMN</w:t>
            </w:r>
          </w:p>
        </w:tc>
      </w:tr>
      <w:tr>
        <w:tc>
          <w:tcPr>
            <w:tcW w:type="dxa" w:w="4933"/>
          </w:tcPr>
          <w:p>
            <w:pPr>
              <w:spacing w:before="0" w:after="0"/>
            </w:pPr>
            <w:r/>
            <w:r>
              <w:rPr>
                <w:b/>
                <w:color w:val="0066B2"/>
                <w:sz w:val="19"/>
              </w:rPr>
              <w:t xml:space="preserve">03  </w:t>
            </w:r>
            <w:r>
              <w:rPr>
                <w:color w:val="0066B2"/>
                <w:sz w:val="20"/>
              </w:rPr>
              <w:t xml:space="preserve">✓ </w:t>
            </w:r>
            <w:r>
              <w:rPr>
                <w:sz w:val="20"/>
              </w:rPr>
              <w:t>Flowcharts</w:t>
            </w:r>
          </w:p>
        </w:tc>
        <w:tc>
          <w:tcPr>
            <w:tcW w:type="dxa" w:w="4933"/>
          </w:tcPr>
          <w:p>
            <w:pPr>
              <w:spacing w:before="0" w:after="0"/>
            </w:pPr>
            <w:r/>
            <w:r>
              <w:rPr>
                <w:b/>
                <w:color w:val="0066B2"/>
                <w:sz w:val="19"/>
              </w:rPr>
              <w:t xml:space="preserve">04  </w:t>
            </w:r>
            <w:r>
              <w:rPr>
                <w:color w:val="0066B2"/>
                <w:sz w:val="20"/>
              </w:rPr>
              <w:t xml:space="preserve">✓ </w:t>
            </w:r>
            <w:r>
              <w:rPr>
                <w:sz w:val="20"/>
              </w:rPr>
              <w:t>Swimlane Diagrams</w:t>
            </w:r>
          </w:p>
        </w:tc>
      </w:tr>
      <w:tr>
        <w:tc>
          <w:tcPr>
            <w:tcW w:type="dxa" w:w="4933"/>
          </w:tcPr>
          <w:p>
            <w:pPr>
              <w:spacing w:before="0" w:after="0"/>
            </w:pPr>
            <w:r/>
            <w:r>
              <w:rPr>
                <w:b/>
                <w:color w:val="0066B2"/>
                <w:sz w:val="19"/>
              </w:rPr>
              <w:t xml:space="preserve">05  </w:t>
            </w:r>
            <w:r>
              <w:rPr>
                <w:color w:val="0066B2"/>
                <w:sz w:val="20"/>
              </w:rPr>
              <w:t xml:space="preserve">✓ </w:t>
            </w:r>
            <w:r>
              <w:rPr>
                <w:sz w:val="20"/>
              </w:rPr>
              <w:t>UML Activity Diagrams</w:t>
            </w:r>
          </w:p>
        </w:tc>
        <w:tc>
          <w:tcPr>
            <w:tcW w:type="dxa" w:w="4933"/>
          </w:tcPr>
          <w:p>
            <w:pPr>
              <w:spacing w:before="0" w:after="0"/>
            </w:pPr>
            <w:r/>
            <w:r>
              <w:rPr>
                <w:b/>
                <w:color w:val="0066B2"/>
                <w:sz w:val="19"/>
              </w:rPr>
              <w:t xml:space="preserve">06  </w:t>
            </w:r>
            <w:r>
              <w:rPr>
                <w:color w:val="0066B2"/>
                <w:sz w:val="20"/>
              </w:rPr>
              <w:t xml:space="preserve">✓ </w:t>
            </w:r>
            <w:r>
              <w:rPr>
                <w:sz w:val="20"/>
              </w:rPr>
              <w:t>Data Flow Diagrams</w:t>
            </w:r>
          </w:p>
        </w:tc>
      </w:tr>
      <w:tr>
        <w:tc>
          <w:tcPr>
            <w:tcW w:type="dxa" w:w="4933"/>
          </w:tcPr>
          <w:p>
            <w:pPr>
              <w:spacing w:before="0" w:after="0"/>
            </w:pPr>
            <w:r/>
            <w:r>
              <w:rPr>
                <w:b/>
                <w:color w:val="0066B2"/>
                <w:sz w:val="19"/>
              </w:rPr>
              <w:t xml:space="preserve">07  </w:t>
            </w:r>
            <w:r>
              <w:rPr>
                <w:color w:val="0066B2"/>
                <w:sz w:val="20"/>
              </w:rPr>
              <w:t xml:space="preserve">✓ </w:t>
            </w:r>
            <w:r>
              <w:rPr>
                <w:sz w:val="20"/>
              </w:rPr>
              <w:t>Sequence Diagrams</w:t>
            </w:r>
          </w:p>
        </w:tc>
        <w:tc>
          <w:tcPr>
            <w:tcW w:type="dxa" w:w="4933"/>
          </w:tcPr>
          <w:p/>
        </w:tc>
      </w:tr>
    </w:tbl>
    <w:p>
      <w:pPr>
        <w:spacing w:before="160" w:after="40"/>
      </w:pPr>
      <w:r>
        <w:rPr>
          <w:b/>
          <w:color w:val="001F35"/>
          <w:sz w:val="26"/>
        </w:rPr>
        <w:t>BA + QA · Quality &amp; Compliance</w:t>
      </w:r>
      <w:r>
        <w:rPr>
          <w:b/>
          <w:color w:val="0066B2"/>
          <w:sz w:val="16"/>
        </w:rPr>
        <w:t xml:space="preserve">   COMPLETE</w:t>
      </w:r>
    </w:p>
    <w:p>
      <w:pPr>
        <w:spacing w:before="0" w:after="40"/>
      </w:pPr>
      <w:r>
        <w:rPr>
          <w:b w:val="0"/>
          <w:i w:val="0"/>
          <w:color w:val="4A5058"/>
          <w:sz w:val="20"/>
        </w:rPr>
        <w:t>Testing fundamentals, bug reporting, risk, data protection, security &amp; observability.</w:t>
      </w:r>
    </w:p>
    <w:p>
      <w:pPr>
        <w:spacing w:before="0" w:after="80"/>
      </w:pPr>
      <w:r>
        <w:rPr>
          <w:b/>
          <w:i w:val="0"/>
          <w:color w:val="001F35"/>
          <w:sz w:val="18"/>
        </w:rPr>
        <w:t>Progress · 5 / 5 · 100%</w:t>
      </w:r>
    </w:p>
    <w:tbl>
      <w:tblPr>
        <w:tblW w:type="auto" w:w="0"/>
        <w:tblLayout w:type="autofit"/>
        <w:tblLook w:firstColumn="1" w:firstRow="1" w:lastColumn="0" w:lastRow="0" w:noHBand="0" w:noVBand="1" w:val="04A0"/>
      </w:tblPr>
      <w:tblGrid>
        <w:gridCol w:w="4933"/>
        <w:gridCol w:w="4933"/>
      </w:tblGrid>
      <w:tr>
        <w:tc>
          <w:tcPr>
            <w:tcW w:type="dxa" w:w="4933"/>
          </w:tcPr>
          <w:p>
            <w:pPr>
              <w:spacing w:before="0" w:after="0"/>
            </w:pPr>
            <w:r/>
            <w:r>
              <w:rPr>
                <w:b/>
                <w:color w:val="0066B2"/>
                <w:sz w:val="19"/>
              </w:rPr>
              <w:t xml:space="preserve">01  </w:t>
            </w:r>
            <w:r>
              <w:rPr>
                <w:color w:val="0066B2"/>
                <w:sz w:val="20"/>
              </w:rPr>
              <w:t xml:space="preserve">✓ </w:t>
            </w:r>
            <w:r>
              <w:rPr>
                <w:sz w:val="20"/>
              </w:rPr>
              <w:t>Software Testing Fundamentals</w:t>
            </w:r>
          </w:p>
        </w:tc>
        <w:tc>
          <w:tcPr>
            <w:tcW w:type="dxa" w:w="4933"/>
          </w:tcPr>
          <w:p>
            <w:pPr>
              <w:spacing w:before="0" w:after="0"/>
            </w:pPr>
            <w:r/>
            <w:r>
              <w:rPr>
                <w:b/>
                <w:color w:val="0066B2"/>
                <w:sz w:val="19"/>
              </w:rPr>
              <w:t xml:space="preserve">02  </w:t>
            </w:r>
            <w:r>
              <w:rPr>
                <w:color w:val="0066B2"/>
                <w:sz w:val="20"/>
              </w:rPr>
              <w:t xml:space="preserve">✓ </w:t>
            </w:r>
            <w:r>
              <w:rPr>
                <w:sz w:val="20"/>
              </w:rPr>
              <w:t>Bug Reporting &amp; Defect Lifecycle</w:t>
            </w:r>
          </w:p>
        </w:tc>
      </w:tr>
      <w:tr>
        <w:tc>
          <w:tcPr>
            <w:tcW w:type="dxa" w:w="4933"/>
          </w:tcPr>
          <w:p>
            <w:pPr>
              <w:spacing w:before="0" w:after="0"/>
            </w:pPr>
            <w:r/>
            <w:r>
              <w:rPr>
                <w:b/>
                <w:color w:val="0066B2"/>
                <w:sz w:val="19"/>
              </w:rPr>
              <w:t xml:space="preserve">03  </w:t>
            </w:r>
            <w:r>
              <w:rPr>
                <w:color w:val="0066B2"/>
                <w:sz w:val="20"/>
              </w:rPr>
              <w:t xml:space="preserve">✓ </w:t>
            </w:r>
            <w:r>
              <w:rPr>
                <w:sz w:val="20"/>
              </w:rPr>
              <w:t>Risk Management</w:t>
            </w:r>
          </w:p>
        </w:tc>
        <w:tc>
          <w:tcPr>
            <w:tcW w:type="dxa" w:w="4933"/>
          </w:tcPr>
          <w:p>
            <w:pPr>
              <w:spacing w:before="0" w:after="0"/>
            </w:pPr>
            <w:r/>
            <w:r>
              <w:rPr>
                <w:b/>
                <w:color w:val="0066B2"/>
                <w:sz w:val="19"/>
              </w:rPr>
              <w:t xml:space="preserve">04  </w:t>
            </w:r>
            <w:r>
              <w:rPr>
                <w:color w:val="0066B2"/>
                <w:sz w:val="20"/>
              </w:rPr>
              <w:t xml:space="preserve">✓ </w:t>
            </w:r>
            <w:r>
              <w:rPr>
                <w:sz w:val="20"/>
              </w:rPr>
              <w:t>Data Protection &amp; Compliance</w:t>
            </w:r>
          </w:p>
        </w:tc>
      </w:tr>
      <w:tr>
        <w:tc>
          <w:tcPr>
            <w:tcW w:type="dxa" w:w="4933"/>
          </w:tcPr>
          <w:p>
            <w:pPr>
              <w:spacing w:before="0" w:after="0"/>
            </w:pPr>
            <w:r/>
            <w:r>
              <w:rPr>
                <w:b/>
                <w:color w:val="0066B2"/>
                <w:sz w:val="19"/>
              </w:rPr>
              <w:t xml:space="preserve">05  </w:t>
            </w:r>
            <w:r>
              <w:rPr>
                <w:color w:val="0066B2"/>
                <w:sz w:val="20"/>
              </w:rPr>
              <w:t xml:space="preserve">✓ </w:t>
            </w:r>
            <w:r>
              <w:rPr>
                <w:sz w:val="20"/>
              </w:rPr>
              <w:t>Security, Observability &amp; Telemetry</w:t>
            </w:r>
          </w:p>
        </w:tc>
        <w:tc>
          <w:tcPr>
            <w:tcW w:type="dxa" w:w="4933"/>
          </w:tcPr>
          <w:p/>
        </w:tc>
      </w:tr>
    </w:tbl>
    <w:p>
      <w:pPr>
        <w:spacing w:before="0" w:after="160"/>
      </w:pPr>
    </w:p>
    <w:p>
      <w:pPr>
        <w:spacing w:before="40" w:after="40"/>
      </w:pPr>
      <w:r>
        <w:rPr>
          <w:b/>
          <w:color w:val="0066B2"/>
          <w:sz w:val="16"/>
          <w:spacing w:val="60"/>
        </w:rPr>
        <w:t>PHASE 03 · CAPSTONE — WHAT WE'RE WORKING ON NOW</w:t>
      </w:r>
    </w:p>
    <w:p>
      <w:pPr>
        <w:spacing w:before="40" w:after="120"/>
      </w:pPr>
      <w:r>
        <w:rPr>
          <w:b/>
          <w:color w:val="001F35"/>
          <w:sz w:val="36"/>
        </w:rPr>
        <w:t>What we're working on now</w:t>
      </w:r>
    </w:p>
    <w:tbl>
      <w:tblPr>
        <w:tblW w:type="auto" w:w="0"/>
        <w:tblLayout w:type="fixed"/>
        <w:tblLook w:firstColumn="1" w:firstRow="1" w:lastColumn="0" w:lastRow="0" w:noHBand="0" w:noVBand="1" w:val="04A0"/>
      </w:tblPr>
      <w:tblGrid>
        <w:gridCol w:w="2041"/>
        <w:gridCol w:w="7824"/>
      </w:tblGrid>
      <w:tr>
        <w:tc>
          <w:tcPr>
            <w:tcW w:type="dxa" w:w="2041"/>
            <w:shd w:val="clear" w:color="auto" w:fill="E8F1F9"/>
            <w:tcBorders>
              <w:left w:val="single" w:sz="36" w:color="0066B2"/>
            </w:tcBorders>
            <w:vAlign w:val="center"/>
          </w:tcPr>
          <w:p>
            <w:pPr>
              <w:jc w:val="center"/>
            </w:pPr>
            <w:r>
              <w:rPr>
                <w:b/>
                <w:color w:val="001F35"/>
                <w:sz w:val="76"/>
              </w:rPr>
              <w:t>4</w:t>
            </w:r>
          </w:p>
          <w:p>
            <w:pPr>
              <w:spacing w:after="80"/>
              <w:jc w:val="center"/>
            </w:pPr>
            <w:r>
              <w:rPr>
                <w:b/>
                <w:color w:val="4A5058"/>
                <w:sz w:val="16"/>
              </w:rPr>
              <w:t>REAL PROJECTS</w:t>
            </w:r>
          </w:p>
        </w:tc>
        <w:tc>
          <w:tcPr>
            <w:tcW w:type="dxa" w:w="7824"/>
            <w:shd w:val="clear" w:color="auto" w:fill="E8F1F9"/>
            <w:vAlign w:val="center"/>
          </w:tcPr>
          <w:p>
            <w:r>
              <w:rPr>
                <w:color w:val="001F35"/>
                <w:sz w:val="21"/>
              </w:rPr>
              <w:t>Every trainee is now on a Capstone team. Four product ideas, two parallel groups per idea, eight teams in total. Each team has a Dev Lead, a second Dev, BAs and a QA — a small, self-sufficient unit shipping a working web product by Demo Day.</w:t>
            </w:r>
          </w:p>
        </w:tc>
      </w:tr>
    </w:tbl>
    <w:p>
      <w:pPr>
        <w:spacing w:before="0" w:after="160"/>
      </w:pPr>
    </w:p>
    <w:p>
      <w:pPr>
        <w:spacing w:before="200" w:after="0"/>
      </w:pPr>
      <w:r>
        <w:rPr>
          <w:b/>
          <w:sz w:val="16"/>
          <w:color w:val="0066B2"/>
        </w:rPr>
        <w:t xml:space="preserve">PROJECT · 01   </w:t>
      </w:r>
      <w:r>
        <w:rPr>
          <w:b/>
          <w:color w:val="4A5058"/>
          <w:sz w:val="16"/>
        </w:rPr>
        <w:t>2 TEAMS</w:t>
      </w:r>
    </w:p>
    <w:p>
      <w:pPr>
        <w:spacing w:before="40" w:after="40"/>
      </w:pPr>
      <w:r>
        <w:rPr>
          <w:b/>
          <w:color w:val="001F35"/>
          <w:sz w:val="28"/>
        </w:rPr>
        <w:t>GMC Service Directory</w:t>
      </w:r>
    </w:p>
    <w:p>
      <w:pPr>
        <w:spacing w:before="0" w:after="80"/>
      </w:pPr>
      <w:r>
        <w:rPr>
          <w:i/>
          <w:color w:val="4A5058"/>
          <w:sz w:val="20"/>
        </w:rPr>
        <w:t>Essential Services Registry for Gelephu Mindfulness City</w:t>
      </w:r>
    </w:p>
    <w:p>
      <w:pPr>
        <w:spacing w:after="80"/>
      </w:pPr>
      <w:r>
        <w:rPr>
          <w:sz w:val="21"/>
        </w:rPr>
        <w:t>A searchable, categorized directory of essential services across GMC — every service with its own informational page so residents and newcomers can find what they need without guesswork. Built as a public-facing reference: clear categories, fast lookup, authoritative service detail pages.</w:t>
      </w:r>
    </w:p>
    <w:p>
      <w:pPr>
        <w:spacing w:after="80"/>
      </w:pPr>
      <w:r>
        <w:rPr>
          <w:i/>
          <w:color w:val="4A5058"/>
          <w:sz w:val="19"/>
        </w:rPr>
        <w:t>Inspired by a project idea carried over from a previous Pelsung cohort, now picked up and built out by Cohort 3.</w:t>
      </w:r>
    </w:p>
    <w:p>
      <w:pPr>
        <w:spacing w:after="40"/>
        <w:pBdr>
          <w:bottom w:val="single" w:sz="6" w:space="8" w:color="E5E8EC"/>
        </w:pBdr>
      </w:pPr>
      <w:r>
        <w:rPr>
          <w:b/>
          <w:color w:val="4A5058"/>
          <w:sz w:val="16"/>
        </w:rPr>
        <w:t xml:space="preserve">STATUS · </w:t>
      </w:r>
      <w:r>
        <w:rPr>
          <w:b/>
          <w:color w:val="001F35"/>
          <w:sz w:val="16"/>
        </w:rPr>
        <w:t>IN BUILD</w:t>
      </w:r>
    </w:p>
    <w:p>
      <w:pPr>
        <w:spacing w:before="200" w:after="0"/>
      </w:pPr>
      <w:r>
        <w:rPr>
          <w:b/>
          <w:sz w:val="16"/>
          <w:color w:val="4796D1"/>
        </w:rPr>
        <w:t xml:space="preserve">PROJECT · 02   </w:t>
      </w:r>
      <w:r>
        <w:rPr>
          <w:b/>
          <w:color w:val="4A5058"/>
          <w:sz w:val="16"/>
        </w:rPr>
        <w:t>2 TEAMS</w:t>
      </w:r>
    </w:p>
    <w:p>
      <w:pPr>
        <w:spacing w:before="40" w:after="40"/>
      </w:pPr>
      <w:r>
        <w:rPr>
          <w:b/>
          <w:color w:val="001F35"/>
          <w:sz w:val="28"/>
        </w:rPr>
        <w:t>Pelsung Project Catalog</w:t>
      </w:r>
    </w:p>
    <w:p>
      <w:pPr>
        <w:spacing w:before="0" w:after="80"/>
      </w:pPr>
      <w:r>
        <w:rPr>
          <w:i/>
          <w:color w:val="4A5058"/>
          <w:sz w:val="20"/>
        </w:rPr>
        <w:t>A one-stop directory of Pelsung project ideas</w:t>
      </w:r>
    </w:p>
    <w:p>
      <w:pPr>
        <w:spacing w:after="80"/>
      </w:pPr>
      <w:r>
        <w:rPr>
          <w:sz w:val="21"/>
        </w:rPr>
        <w:t>A single home for every Pelsung project idea, with the flexibility to link out to external documentation or host docs directly. The catalog is designed to make Pelsung's ideation pipeline visible, browsable, and reusable across cohorts — keeping institutional memory in one place instead of scattered across drives.</w:t>
      </w:r>
    </w:p>
    <w:p>
      <w:pPr>
        <w:spacing w:after="40"/>
        <w:pBdr>
          <w:bottom w:val="single" w:sz="6" w:space="8" w:color="E5E8EC"/>
        </w:pBdr>
      </w:pPr>
      <w:r>
        <w:rPr>
          <w:b/>
          <w:color w:val="4A5058"/>
          <w:sz w:val="16"/>
        </w:rPr>
        <w:t xml:space="preserve">STATUS · </w:t>
      </w:r>
      <w:r>
        <w:rPr>
          <w:b/>
          <w:color w:val="001F35"/>
          <w:sz w:val="16"/>
        </w:rPr>
        <w:t>IN BUILD</w:t>
      </w:r>
    </w:p>
    <w:p>
      <w:pPr>
        <w:spacing w:before="200" w:after="0"/>
      </w:pPr>
      <w:r>
        <w:rPr>
          <w:b/>
          <w:sz w:val="16"/>
          <w:color w:val="7BC950"/>
        </w:rPr>
        <w:t xml:space="preserve">PROJECT · 03   </w:t>
      </w:r>
      <w:r>
        <w:rPr>
          <w:b/>
          <w:color w:val="4A5058"/>
          <w:sz w:val="16"/>
        </w:rPr>
        <w:t>2 TEAMS</w:t>
      </w:r>
    </w:p>
    <w:p>
      <w:pPr>
        <w:spacing w:before="40" w:after="40"/>
      </w:pPr>
      <w:r>
        <w:rPr>
          <w:b/>
          <w:color w:val="001F35"/>
          <w:sz w:val="28"/>
        </w:rPr>
        <w:t>ZorigHub</w:t>
      </w:r>
    </w:p>
    <w:p>
      <w:pPr>
        <w:spacing w:before="0" w:after="80"/>
      </w:pPr>
      <w:r>
        <w:rPr>
          <w:i/>
          <w:color w:val="4A5058"/>
          <w:sz w:val="20"/>
        </w:rPr>
        <w:t>An online marketplace for Bhutanese artisans</w:t>
      </w:r>
    </w:p>
    <w:p>
      <w:pPr>
        <w:spacing w:after="80"/>
      </w:pPr>
      <w:r>
        <w:rPr>
          <w:sz w:val="21"/>
        </w:rPr>
        <w:t>An e-commerce-style platform that lets Bhutanese artists register their craft and lets buyers browse and purchase products. ZorigHub gives traditional artisans a modern storefront — surfacing local craftsmanship to a national and international audience while keeping registration, listing, and purchase flows simple enough for non-technical sellers.</w:t>
      </w:r>
    </w:p>
    <w:p>
      <w:pPr>
        <w:spacing w:after="80"/>
      </w:pPr>
      <w:r>
        <w:rPr>
          <w:i/>
          <w:color w:val="4A5058"/>
          <w:sz w:val="19"/>
        </w:rPr>
        <w:t>Inspired by a project idea carried over from a previous Pelsung cohort, now picked up and built out by Cohort 3.</w:t>
      </w:r>
    </w:p>
    <w:p>
      <w:pPr>
        <w:spacing w:after="40"/>
        <w:pBdr>
          <w:bottom w:val="single" w:sz="6" w:space="8" w:color="E5E8EC"/>
        </w:pBdr>
      </w:pPr>
      <w:r>
        <w:rPr>
          <w:b/>
          <w:color w:val="4A5058"/>
          <w:sz w:val="16"/>
        </w:rPr>
        <w:t xml:space="preserve">STATUS · </w:t>
      </w:r>
      <w:r>
        <w:rPr>
          <w:b/>
          <w:color w:val="001F35"/>
          <w:sz w:val="16"/>
        </w:rPr>
        <w:t>IN BUILD</w:t>
      </w:r>
    </w:p>
    <w:p>
      <w:pPr>
        <w:spacing w:before="200" w:after="0"/>
      </w:pPr>
      <w:r>
        <w:rPr>
          <w:b/>
          <w:sz w:val="16"/>
          <w:color w:val="F5A623"/>
        </w:rPr>
        <w:t xml:space="preserve">PROJECT · 04   </w:t>
      </w:r>
      <w:r>
        <w:rPr>
          <w:b/>
          <w:color w:val="4A5058"/>
          <w:sz w:val="16"/>
        </w:rPr>
        <w:t>2 TEAMS</w:t>
      </w:r>
    </w:p>
    <w:p>
      <w:pPr>
        <w:spacing w:before="40" w:after="40"/>
      </w:pPr>
      <w:r>
        <w:rPr>
          <w:b/>
          <w:color w:val="001F35"/>
          <w:sz w:val="28"/>
        </w:rPr>
        <w:t>Migsel — GMC Resonance Portal</w:t>
      </w:r>
    </w:p>
    <w:p>
      <w:pPr>
        <w:spacing w:before="0" w:after="80"/>
      </w:pPr>
      <w:r>
        <w:rPr>
          <w:i/>
          <w:color w:val="4A5058"/>
          <w:sz w:val="20"/>
        </w:rPr>
        <w:t>Citizen-to-city reporting for utilities and public services</w:t>
      </w:r>
    </w:p>
    <w:p>
      <w:pPr>
        <w:spacing w:after="80"/>
      </w:pPr>
      <w:r>
        <w:rPr>
          <w:sz w:val="21"/>
        </w:rPr>
        <w:t>A proactive digital response to the daily frustrations of residents — overflowing trash bins, dark streetlights, choked drainage, crumbling roads — that often go ignored. Migsel pairs a live map of waste centers with a simple, direct way to report utility failures, closing the gap between community needs and city action. The aim is to convert reactive maintenance into a data-driven, accountable partnership between residents and GMC services — turning every neighbor into a participant in keeping their streets healthy, safe, and clean.</w:t>
      </w:r>
    </w:p>
    <w:p>
      <w:pPr>
        <w:spacing w:after="40"/>
        <w:pBdr>
          <w:bottom w:val="single" w:sz="6" w:space="8" w:color="E5E8EC"/>
        </w:pBdr>
      </w:pPr>
      <w:r>
        <w:rPr>
          <w:b/>
          <w:color w:val="4A5058"/>
          <w:sz w:val="16"/>
        </w:rPr>
        <w:t xml:space="preserve">STATUS · </w:t>
      </w:r>
      <w:r>
        <w:rPr>
          <w:b/>
          <w:color w:val="001F35"/>
          <w:sz w:val="16"/>
        </w:rPr>
        <w:t>IN BUILD</w:t>
      </w:r>
    </w:p>
    <w:p>
      <w:pPr>
        <w:spacing w:before="0" w:after="200"/>
      </w:pPr>
    </w:p>
    <w:p>
      <w:pPr>
        <w:spacing w:before="240"/>
      </w:pPr>
      <w:r>
        <w:rPr>
          <w:b/>
          <w:color w:val="4A5058"/>
          <w:sz w:val="16"/>
        </w:rPr>
        <w:t>SELISE × PELSUNG  ·  COHORT 3 PROGRESS REPORT</w:t>
      </w:r>
      <w:r>
        <w:t xml:space="preserve">        </w:t>
      </w:r>
      <w:r>
        <w:rPr>
          <w:b/>
          <w:color w:val="8A9098"/>
          <w:sz w:val="16"/>
        </w:rPr>
        <w:t>INTERNAL · CONFIDENTIAL</w:t>
      </w:r>
    </w:p>
    <w:sectPr w:rsidR="00FC693F" w:rsidRPr="0006063C" w:rsidSect="00034616">
      <w:pgSz w:w="11906" w:h="16838"/>
      <w:pgMar w:top="907" w:right="1020" w:bottom="1020" w:left="102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