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C0392B"/>
          <w:sz w:val="52"/>
        </w:rPr>
        <w:t>INFORME ESTADÍSTICO DEL SISTEMA</w:t>
      </w:r>
    </w:p>
    <w:p>
      <w:pPr>
        <w:jc w:val="center"/>
      </w:pPr>
      <w:r>
        <w:rPr>
          <w:color w:val="1A1A2E"/>
          <w:sz w:val="32"/>
        </w:rPr>
        <w:t>Detección de Violencia de Género Digital en Facebook</w:t>
      </w:r>
    </w:p>
    <w:p/>
    <w:p>
      <w:pPr>
        <w:jc w:val="center"/>
      </w:pPr>
      <w:r>
        <w:rPr>
          <w:i/>
          <w:color w:val="7F8C8D"/>
          <w:sz w:val="24"/>
        </w:rPr>
        <w:t>Clasificación RAG con Ollama + ChromaDB + LangChain</w:t>
      </w:r>
    </w:p>
    <w:p/>
    <w:p/>
    <w:p>
      <w:pPr>
        <w:jc w:val="center"/>
      </w:pPr>
      <w:r>
        <w:rPr>
          <w:sz w:val="20"/>
        </w:rPr>
        <w:t>Fecha de generación: 2026-07-18</w:t>
      </w:r>
    </w:p>
    <w:p>
      <w:pPr>
        <w:jc w:val="center"/>
      </w:pPr>
      <w:r>
        <w:rPr>
          <w:sz w:val="20"/>
        </w:rPr>
        <w:t>Base de datos: tfm.db</w:t>
      </w:r>
    </w:p>
    <w:p>
      <w:pPr>
        <w:jc w:val="center"/>
      </w:pPr>
      <w:r>
        <w:rPr>
          <w:sz w:val="20"/>
        </w:rPr>
        <w:t>Total de análisis: 69</w:t>
      </w:r>
    </w:p>
    <w:p>
      <w:pPr>
        <w:jc w:val="center"/>
      </w:pPr>
      <w:r>
        <w:rPr>
          <w:sz w:val="20"/>
        </w:rPr>
        <w:t>Total de feedback humano: 58</w:t>
      </w:r>
    </w:p>
    <w:p>
      <w:pPr>
        <w:jc w:val="center"/>
      </w:pPr>
      <w:r>
        <w:rPr>
          <w:sz w:val="20"/>
        </w:rPr>
        <w:t>Registros: 8 posts, 61 comentarios</w:t>
      </w:r>
    </w:p>
    <w:p>
      <w:pPr>
        <w:jc w:val="center"/>
      </w:pPr>
      <w:r>
        <w:rPr>
          <w:sz w:val="20"/>
        </w:rPr>
        <w:t>Páginas de Facebook: 2</w:t>
      </w:r>
    </w:p>
    <w:p>
      <w:r>
        <w:br w:type="page"/>
      </w:r>
    </w:p>
    <w:p>
      <w:pPr>
        <w:pStyle w:val="Heading1"/>
      </w:pPr>
      <w:r>
        <w:t>0. Resumen Ejecutivo</w:t>
      </w:r>
    </w:p>
    <w:p>
      <w:r>
        <w:rPr>
          <w:b w:val="0"/>
          <w:i w:val="0"/>
          <w:sz w:val="21"/>
        </w:rPr>
        <w:t>Este informe presenta el análisis estadístico completo del sistema de detección de violencia de género digital. El sistema utiliza un pipeline de Retrieval-Augmented Generation (RAG) que combina Ollama como modelo de lenguaje local con ChromaDB como base de vectores para clasificar contenido de Facebook en 6 categorías de violencia de género con un total de 19 subdimensiones.</w:t>
      </w:r>
    </w:p>
    <w:p>
      <w:r>
        <w:rPr>
          <w:b w:val="0"/>
          <w:i w:val="0"/>
          <w:sz w:val="21"/>
        </w:rPr>
        <w:t>El dataset analizado contiene 69 registros (8 posts y 61 comentarios) provenientes de 2 páginas de Facebook. El sistema es multi-etiqueta: cada contenido puede portar hasta 5 etiquetas simultáneas, lo que genera 31 votos de clasificación sobre 15 contenidos violentos.</w:t>
      </w:r>
    </w:p>
    <w:p>
      <w:r>
        <w:rPr>
          <w:b w:val="0"/>
          <w:i w:val="0"/>
          <w:sz w:val="21"/>
        </w:rPr>
        <w:t>Se aplicaron 58 revisiones humanas (validación cruzada) que resultaron en 34 acuerdos y 21 desacuerdos. El nivel de fiabilidad de datos es CRITICA (17.39% de valores perdidos, umbral crítico &gt;10%).</w:t>
      </w:r>
    </w:p>
    <w:p>
      <w:pPr>
        <w:pStyle w:val="Heading2"/>
      </w:pPr>
      <w:r>
        <w:t>Indicadores Clave (KPIs)</w:t>
      </w:r>
    </w:p>
    <w:tbl>
      <w:tblPr>
        <w:tblStyle w:val="TableGrid"/>
        <w:tblW w:type="auto" w:w="0"/>
        <w:jc w:val="center"/>
        <w:tblLook w:firstColumn="1" w:firstRow="1" w:lastColumn="0" w:lastRow="0" w:noHBand="0" w:noVBand="1" w:val="04A0"/>
      </w:tblPr>
      <w:tblGrid>
        <w:gridCol w:w="4514"/>
        <w:gridCol w:w="4514"/>
      </w:tblGrid>
      <w:tr>
        <w:tc>
          <w:tcPr>
            <w:tcW w:type="dxa" w:w="4320"/>
            <w:shd w:fill="2C3E50" w:val="clear"/>
            <w:vAlign w:val="center"/>
          </w:tcPr>
          <w:p>
            <w:pPr>
              <w:jc w:val="center"/>
            </w:pPr>
            <w:r>
              <w:rPr>
                <w:b/>
                <w:color w:val="FFFFFF"/>
                <w:sz w:val="18"/>
              </w:rPr>
              <w:t>Indicador</w:t>
            </w:r>
          </w:p>
        </w:tc>
        <w:tc>
          <w:tcPr>
            <w:tcW w:type="dxa" w:w="2880"/>
            <w:shd w:fill="2C3E50" w:val="clear"/>
            <w:vAlign w:val="center"/>
          </w:tcPr>
          <w:p>
            <w:pPr>
              <w:jc w:val="center"/>
            </w:pPr>
            <w:r>
              <w:rPr>
                <w:b/>
                <w:color w:val="FFFFFF"/>
                <w:sz w:val="18"/>
              </w:rPr>
              <w:t>Valor</w:t>
            </w:r>
          </w:p>
        </w:tc>
      </w:tr>
      <w:tr>
        <w:tc>
          <w:tcPr>
            <w:tcW w:type="dxa" w:w="4320"/>
            <w:shd w:fill="ECF0F1" w:val="clear"/>
          </w:tcPr>
          <w:p>
            <w:pPr>
              <w:jc w:val="left"/>
            </w:pPr>
            <w:r>
              <w:rPr>
                <w:sz w:val="17"/>
              </w:rPr>
              <w:t>Total analizado</w:t>
            </w:r>
          </w:p>
        </w:tc>
        <w:tc>
          <w:tcPr>
            <w:tcW w:type="dxa" w:w="2880"/>
            <w:shd w:fill="ECF0F1" w:val="clear"/>
          </w:tcPr>
          <w:p>
            <w:pPr>
              <w:jc w:val="center"/>
            </w:pPr>
            <w:r>
              <w:rPr>
                <w:sz w:val="17"/>
              </w:rPr>
              <w:t>69</w:t>
            </w:r>
          </w:p>
        </w:tc>
      </w:tr>
      <w:tr>
        <w:tc>
          <w:tcPr>
            <w:tcW w:type="dxa" w:w="4320"/>
          </w:tcPr>
          <w:p>
            <w:pPr>
              <w:jc w:val="left"/>
            </w:pPr>
            <w:r>
              <w:rPr>
                <w:sz w:val="17"/>
              </w:rPr>
              <w:t>Contenidos con violencia</w:t>
            </w:r>
          </w:p>
        </w:tc>
        <w:tc>
          <w:tcPr>
            <w:tcW w:type="dxa" w:w="2880"/>
          </w:tcPr>
          <w:p>
            <w:pPr>
              <w:jc w:val="center"/>
            </w:pPr>
            <w:r>
              <w:rPr>
                <w:sz w:val="17"/>
              </w:rPr>
              <w:t>15 (21.7%)</w:t>
            </w:r>
          </w:p>
        </w:tc>
      </w:tr>
      <w:tr>
        <w:tc>
          <w:tcPr>
            <w:tcW w:type="dxa" w:w="4320"/>
            <w:shd w:fill="ECF0F1" w:val="clear"/>
          </w:tcPr>
          <w:p>
            <w:pPr>
              <w:jc w:val="left"/>
            </w:pPr>
            <w:r>
              <w:rPr>
                <w:sz w:val="17"/>
              </w:rPr>
              <w:t>Categorías canónicas</w:t>
            </w:r>
          </w:p>
        </w:tc>
        <w:tc>
          <w:tcPr>
            <w:tcW w:type="dxa" w:w="2880"/>
            <w:shd w:fill="ECF0F1" w:val="clear"/>
          </w:tcPr>
          <w:p>
            <w:pPr>
              <w:jc w:val="center"/>
            </w:pPr>
            <w:r>
              <w:rPr>
                <w:sz w:val="17"/>
              </w:rPr>
              <w:t>6</w:t>
            </w:r>
          </w:p>
        </w:tc>
      </w:tr>
      <w:tr>
        <w:tc>
          <w:tcPr>
            <w:tcW w:type="dxa" w:w="4320"/>
          </w:tcPr>
          <w:p>
            <w:pPr>
              <w:jc w:val="left"/>
            </w:pPr>
            <w:r>
              <w:rPr>
                <w:sz w:val="17"/>
              </w:rPr>
              <w:t>Páginas de Facebook</w:t>
            </w:r>
          </w:p>
        </w:tc>
        <w:tc>
          <w:tcPr>
            <w:tcW w:type="dxa" w:w="2880"/>
          </w:tcPr>
          <w:p>
            <w:pPr>
              <w:jc w:val="center"/>
            </w:pPr>
            <w:r>
              <w:rPr>
                <w:sz w:val="17"/>
              </w:rPr>
              <w:t>2</w:t>
            </w:r>
          </w:p>
        </w:tc>
      </w:tr>
      <w:tr>
        <w:tc>
          <w:tcPr>
            <w:tcW w:type="dxa" w:w="4320"/>
            <w:shd w:fill="ECF0F1" w:val="clear"/>
          </w:tcPr>
          <w:p>
            <w:pPr>
              <w:jc w:val="left"/>
            </w:pPr>
            <w:r>
              <w:rPr>
                <w:sz w:val="17"/>
              </w:rPr>
              <w:t>Categoría más frecuente</w:t>
            </w:r>
          </w:p>
        </w:tc>
        <w:tc>
          <w:tcPr>
            <w:tcW w:type="dxa" w:w="2880"/>
            <w:shd w:fill="ECF0F1" w:val="clear"/>
          </w:tcPr>
          <w:p>
            <w:pPr>
              <w:jc w:val="center"/>
            </w:pPr>
            <w:r>
              <w:rPr>
                <w:sz w:val="17"/>
              </w:rPr>
              <w:t>Violencia Simbólica</w:t>
            </w:r>
          </w:p>
        </w:tc>
      </w:tr>
      <w:tr>
        <w:tc>
          <w:tcPr>
            <w:tcW w:type="dxa" w:w="4320"/>
          </w:tcPr>
          <w:p>
            <w:pPr>
              <w:jc w:val="left"/>
            </w:pPr>
            <w:r>
              <w:rPr>
                <w:sz w:val="17"/>
              </w:rPr>
              <w:t>Archivos de conocimiento</w:t>
            </w:r>
          </w:p>
        </w:tc>
        <w:tc>
          <w:tcPr>
            <w:tcW w:type="dxa" w:w="2880"/>
          </w:tcPr>
          <w:p>
            <w:pPr>
              <w:jc w:val="center"/>
            </w:pPr>
            <w:r>
              <w:rPr>
                <w:sz w:val="17"/>
              </w:rPr>
              <w:t>19</w:t>
            </w:r>
          </w:p>
        </w:tc>
      </w:tr>
    </w:tbl>
    <w:p/>
    <w:p>
      <w:r>
        <w:br w:type="page"/>
      </w:r>
    </w:p>
    <w:p>
      <w:pPr>
        <w:pStyle w:val="Heading1"/>
      </w:pPr>
      <w:r>
        <w:t>1. Regla 1 — Fiabilidad de Datos (Valores Perdidos)</w:t>
      </w:r>
    </w:p>
    <w:p>
      <w:r>
        <w:rPr>
          <w:b w:val="0"/>
          <w:i w:val="0"/>
          <w:sz w:val="21"/>
        </w:rPr>
        <w:t>La primera regla de la metodología evalúa la integridad del dataset. Los registros excluidos no se eliminan de la base de datos, sino que se marcan con sentinels de exclusión: CODIGO_99 (basura digital) y VIOLENCIA_COMUN (violencia sin sesgo de género). Estos registros participan en el reporte de valores perdidos pero se excluyen de los denominadores de las Reglas 2 a 4.</w:t>
      </w:r>
    </w:p>
    <w:p>
      <w:pPr>
        <w:pStyle w:val="Heading2"/>
      </w:pPr>
      <w:r>
        <w:t>Resumen de Exclusiones</w:t>
      </w:r>
    </w:p>
    <w:tbl>
      <w:tblPr>
        <w:tblStyle w:val="TableGrid"/>
        <w:tblW w:type="auto" w:w="0"/>
        <w:jc w:val="center"/>
        <w:tblLook w:firstColumn="1" w:firstRow="1" w:lastColumn="0" w:lastRow="0" w:noHBand="0" w:noVBand="1" w:val="04A0"/>
      </w:tblPr>
      <w:tblGrid>
        <w:gridCol w:w="4514"/>
        <w:gridCol w:w="4514"/>
      </w:tblGrid>
      <w:tr>
        <w:tc>
          <w:tcPr>
            <w:tcW w:type="dxa" w:w="4320"/>
            <w:shd w:fill="2C3E50" w:val="clear"/>
            <w:vAlign w:val="center"/>
          </w:tcPr>
          <w:p>
            <w:pPr>
              <w:jc w:val="center"/>
            </w:pPr>
            <w:r>
              <w:rPr>
                <w:b/>
                <w:color w:val="FFFFFF"/>
                <w:sz w:val="18"/>
              </w:rPr>
              <w:t>Métrica</w:t>
            </w:r>
          </w:p>
        </w:tc>
        <w:tc>
          <w:tcPr>
            <w:tcW w:type="dxa" w:w="2880"/>
            <w:shd w:fill="2C3E50" w:val="clear"/>
            <w:vAlign w:val="center"/>
          </w:tcPr>
          <w:p>
            <w:pPr>
              <w:jc w:val="center"/>
            </w:pPr>
            <w:r>
              <w:rPr>
                <w:b/>
                <w:color w:val="FFFFFF"/>
                <w:sz w:val="18"/>
              </w:rPr>
              <w:t>Valor</w:t>
            </w:r>
          </w:p>
        </w:tc>
      </w:tr>
      <w:tr>
        <w:tc>
          <w:tcPr>
            <w:tcW w:type="dxa" w:w="4320"/>
            <w:shd w:fill="ECF0F1" w:val="clear"/>
          </w:tcPr>
          <w:p>
            <w:pPr>
              <w:jc w:val="left"/>
            </w:pPr>
            <w:r>
              <w:rPr>
                <w:sz w:val="17"/>
              </w:rPr>
              <w:t>Total de registros</w:t>
            </w:r>
          </w:p>
        </w:tc>
        <w:tc>
          <w:tcPr>
            <w:tcW w:type="dxa" w:w="2880"/>
            <w:shd w:fill="ECF0F1" w:val="clear"/>
          </w:tcPr>
          <w:p>
            <w:pPr>
              <w:jc w:val="center"/>
            </w:pPr>
            <w:r>
              <w:rPr>
                <w:sz w:val="17"/>
              </w:rPr>
              <w:t>69</w:t>
            </w:r>
          </w:p>
        </w:tc>
      </w:tr>
      <w:tr>
        <w:tc>
          <w:tcPr>
            <w:tcW w:type="dxa" w:w="4320"/>
          </w:tcPr>
          <w:p>
            <w:pPr>
              <w:jc w:val="left"/>
            </w:pPr>
            <w:r>
              <w:rPr>
                <w:sz w:val="17"/>
              </w:rPr>
              <w:t>Basura digital (CODIGO_99)</w:t>
            </w:r>
          </w:p>
        </w:tc>
        <w:tc>
          <w:tcPr>
            <w:tcW w:type="dxa" w:w="2880"/>
          </w:tcPr>
          <w:p>
            <w:pPr>
              <w:jc w:val="center"/>
            </w:pPr>
            <w:r>
              <w:rPr>
                <w:sz w:val="17"/>
              </w:rPr>
              <w:t>12 (17.39%)</w:t>
            </w:r>
          </w:p>
        </w:tc>
      </w:tr>
      <w:tr>
        <w:tc>
          <w:tcPr>
            <w:tcW w:type="dxa" w:w="4320"/>
            <w:shd w:fill="ECF0F1" w:val="clear"/>
          </w:tcPr>
          <w:p>
            <w:pPr>
              <w:jc w:val="left"/>
            </w:pPr>
            <w:r>
              <w:rPr>
                <w:sz w:val="17"/>
              </w:rPr>
              <w:t>Violencia común</w:t>
            </w:r>
          </w:p>
        </w:tc>
        <w:tc>
          <w:tcPr>
            <w:tcW w:type="dxa" w:w="2880"/>
            <w:shd w:fill="ECF0F1" w:val="clear"/>
          </w:tcPr>
          <w:p>
            <w:pPr>
              <w:jc w:val="center"/>
            </w:pPr>
            <w:r>
              <w:rPr>
                <w:sz w:val="17"/>
              </w:rPr>
              <w:t>2 (2.9%)</w:t>
            </w:r>
          </w:p>
        </w:tc>
      </w:tr>
      <w:tr>
        <w:tc>
          <w:tcPr>
            <w:tcW w:type="dxa" w:w="4320"/>
          </w:tcPr>
          <w:p>
            <w:pPr>
              <w:jc w:val="left"/>
            </w:pPr>
            <w:r>
              <w:rPr>
                <w:sz w:val="17"/>
              </w:rPr>
              <w:t>Total excluidos</w:t>
            </w:r>
          </w:p>
        </w:tc>
        <w:tc>
          <w:tcPr>
            <w:tcW w:type="dxa" w:w="2880"/>
          </w:tcPr>
          <w:p>
            <w:pPr>
              <w:jc w:val="center"/>
            </w:pPr>
            <w:r>
              <w:rPr>
                <w:sz w:val="17"/>
              </w:rPr>
              <w:t>14 (20.29%)</w:t>
            </w:r>
          </w:p>
        </w:tc>
      </w:tr>
      <w:tr>
        <w:tc>
          <w:tcPr>
            <w:tcW w:type="dxa" w:w="4320"/>
            <w:shd w:fill="ECF0F1" w:val="clear"/>
          </w:tcPr>
          <w:p>
            <w:pPr>
              <w:jc w:val="left"/>
            </w:pPr>
            <w:r>
              <w:rPr>
                <w:sz w:val="17"/>
              </w:rPr>
              <w:t>Registros válidos</w:t>
            </w:r>
          </w:p>
        </w:tc>
        <w:tc>
          <w:tcPr>
            <w:tcW w:type="dxa" w:w="2880"/>
            <w:shd w:fill="ECF0F1" w:val="clear"/>
          </w:tcPr>
          <w:p>
            <w:pPr>
              <w:jc w:val="center"/>
            </w:pPr>
            <w:r>
              <w:rPr>
                <w:sz w:val="17"/>
              </w:rPr>
              <w:t>55</w:t>
            </w:r>
          </w:p>
        </w:tc>
      </w:tr>
      <w:tr>
        <w:tc>
          <w:tcPr>
            <w:tcW w:type="dxa" w:w="4320"/>
          </w:tcPr>
          <w:p>
            <w:pPr>
              <w:jc w:val="left"/>
            </w:pPr>
            <w:r>
              <w:rPr>
                <w:sz w:val="17"/>
              </w:rPr>
              <w:t>Nivel de alerta</w:t>
            </w:r>
          </w:p>
        </w:tc>
        <w:tc>
          <w:tcPr>
            <w:tcW w:type="dxa" w:w="2880"/>
          </w:tcPr>
          <w:p>
            <w:pPr>
              <w:jc w:val="center"/>
            </w:pPr>
            <w:r>
              <w:rPr>
                <w:sz w:val="17"/>
              </w:rPr>
              <w:t>CRITICA</w:t>
            </w:r>
          </w:p>
        </w:tc>
      </w:tr>
    </w:tbl>
    <w:p/>
    <w:p>
      <w:pPr>
        <w:pStyle w:val="Heading2"/>
      </w:pPr>
      <w:r>
        <w:t>Desglose de Condiciones de Exclusión</w:t>
      </w:r>
    </w:p>
    <w:tbl>
      <w:tblPr>
        <w:tblStyle w:val="TableGrid"/>
        <w:tblW w:type="auto" w:w="0"/>
        <w:jc w:val="center"/>
        <w:tblLook w:firstColumn="1" w:firstRow="1" w:lastColumn="0" w:lastRow="0" w:noHBand="0" w:noVBand="1" w:val="04A0"/>
      </w:tblPr>
      <w:tblGrid>
        <w:gridCol w:w="3010"/>
        <w:gridCol w:w="3010"/>
        <w:gridCol w:w="3010"/>
      </w:tblGrid>
      <w:tr>
        <w:tc>
          <w:tcPr>
            <w:tcW w:type="dxa" w:w="3600"/>
            <w:shd w:fill="2C3E50" w:val="clear"/>
            <w:vAlign w:val="center"/>
          </w:tcPr>
          <w:p>
            <w:pPr>
              <w:jc w:val="center"/>
            </w:pPr>
            <w:r>
              <w:rPr>
                <w:b/>
                <w:color w:val="FFFFFF"/>
                <w:sz w:val="18"/>
              </w:rPr>
              <w:t>Código</w:t>
            </w:r>
          </w:p>
        </w:tc>
        <w:tc>
          <w:tcPr>
            <w:tcW w:type="dxa" w:w="2160"/>
            <w:shd w:fill="2C3E50" w:val="clear"/>
            <w:vAlign w:val="center"/>
          </w:tcPr>
          <w:p>
            <w:pPr>
              <w:jc w:val="center"/>
            </w:pPr>
            <w:r>
              <w:rPr>
                <w:b/>
                <w:color w:val="FFFFFF"/>
                <w:sz w:val="18"/>
              </w:rPr>
              <w:t>Cantidad</w:t>
            </w:r>
          </w:p>
        </w:tc>
        <w:tc>
          <w:tcPr>
            <w:tcW w:type="dxa" w:w="2160"/>
            <w:shd w:fill="2C3E50" w:val="clear"/>
            <w:vAlign w:val="center"/>
          </w:tcPr>
          <w:p>
            <w:pPr>
              <w:jc w:val="center"/>
            </w:pPr>
            <w:r>
              <w:rPr>
                <w:b/>
                <w:color w:val="FFFFFF"/>
                <w:sz w:val="18"/>
              </w:rPr>
              <w:t>% del Total</w:t>
            </w:r>
          </w:p>
        </w:tc>
      </w:tr>
      <w:tr>
        <w:tc>
          <w:tcPr>
            <w:tcW w:type="dxa" w:w="3600"/>
            <w:shd w:fill="ECF0F1" w:val="clear"/>
          </w:tcPr>
          <w:p>
            <w:pPr>
              <w:jc w:val="left"/>
            </w:pPr>
            <w:r>
              <w:rPr>
                <w:sz w:val="17"/>
              </w:rPr>
              <w:t>COND_1_VACIO</w:t>
            </w:r>
          </w:p>
        </w:tc>
        <w:tc>
          <w:tcPr>
            <w:tcW w:type="dxa" w:w="2160"/>
            <w:shd w:fill="ECF0F1" w:val="clear"/>
          </w:tcPr>
          <w:p>
            <w:pPr>
              <w:jc w:val="center"/>
            </w:pPr>
            <w:r>
              <w:rPr>
                <w:sz w:val="17"/>
              </w:rPr>
              <w:t>12</w:t>
            </w:r>
          </w:p>
        </w:tc>
        <w:tc>
          <w:tcPr>
            <w:tcW w:type="dxa" w:w="2160"/>
            <w:shd w:fill="ECF0F1" w:val="clear"/>
          </w:tcPr>
          <w:p>
            <w:pPr>
              <w:jc w:val="center"/>
            </w:pPr>
            <w:r>
              <w:rPr>
                <w:sz w:val="17"/>
              </w:rPr>
              <w:t>17.39%</w:t>
            </w:r>
          </w:p>
        </w:tc>
      </w:tr>
    </w:tbl>
    <w:p/>
    <w:p>
      <w:pPr>
        <w:pStyle w:val="Heading2"/>
      </w:pPr>
      <w:r>
        <w:t>Mensaje del Sistema</w:t>
      </w:r>
    </w:p>
    <w:p>
      <w:r>
        <w:rPr>
          <w:b w:val="0"/>
          <w:i/>
          <w:sz w:val="21"/>
        </w:rPr>
        <w:t>ALERTA CRÍTICA: el 17.39% de los registros son valores perdidos (CÓDIGO 99), superando el umbral del 10%. El instrumento de extracción (scraper) tiene problemas de estabilidad y la extracción debe revisarse.</w:t>
      </w:r>
    </w:p>
    <w:p>
      <w:pPr>
        <w:pStyle w:val="Heading2"/>
      </w:pPr>
      <w:r>
        <w:t>Insights</w:t>
      </w:r>
    </w:p>
    <w:p>
      <w:pPr>
        <w:pStyle w:val="ListBullet"/>
      </w:pPr>
      <w:r>
        <w:rPr>
          <w:b/>
          <w:sz w:val="20"/>
        </w:rPr>
        <w:t xml:space="preserve">Alerta crítica: </w:t>
      </w:r>
      <w:r>
        <w:rPr>
          <w:sz w:val="20"/>
        </w:rPr>
        <w:t>El 17.39% de basura digital supera el umbral crítico del 10%. Esto indica que el scraper captura una cantidad significativa de contenido que no aporta información analizable (stickers, GIFs, respuestas vacías).</w:t>
      </w:r>
    </w:p>
    <w:p>
      <w:pPr>
        <w:pStyle w:val="ListBullet"/>
      </w:pPr>
      <w:r>
        <w:rPr>
          <w:b/>
          <w:sz w:val="20"/>
        </w:rPr>
        <w:t xml:space="preserve">Patrón detectado: </w:t>
      </w:r>
      <w:r>
        <w:rPr>
          <w:sz w:val="20"/>
        </w:rPr>
        <w:t>La totalidad de la basura digital corresponde a payloads vacíos (COND_1_VACIO), lo que sugiere que el scraper descarga contenido multimedia (imágenes, stickers, GIFs) sin texto extraíble.</w:t>
      </w:r>
    </w:p>
    <w:p>
      <w:pPr>
        <w:pStyle w:val="ListBullet"/>
      </w:pPr>
      <w:r>
        <w:rPr>
          <w:b/>
          <w:sz w:val="20"/>
        </w:rPr>
        <w:t xml:space="preserve">Violencia común: </w:t>
      </w:r>
      <w:r>
        <w:rPr>
          <w:sz w:val="20"/>
        </w:rPr>
        <w:t>Se detectaron 2 registros de violencia común sin sesgo de género (2.9%). Estos se excluyen por no pertenecer al dominio de estudio.</w:t>
      </w:r>
    </w:p>
    <w:p>
      <w:r>
        <w:br w:type="page"/>
      </w:r>
    </w:p>
    <w:p>
      <w:pPr>
        <w:pStyle w:val="Heading1"/>
      </w:pPr>
      <w:r>
        <w:t>2. Regla 2 — Distribución de Frecuencias</w:t>
      </w:r>
    </w:p>
    <w:p>
      <w:r>
        <w:rPr>
          <w:b w:val="0"/>
          <w:i w:val="0"/>
          <w:sz w:val="21"/>
        </w:rPr>
        <w:t>La segunda regla calcula la distribución de frecuencias de las categorías de violencia de género. Se presentan dos niveles de análisis: categorías (6 clases canónicas) y subdimensiones (19 variantes). Los porcentajes se calculan sobre el total de registros válidos (excluyendo CODIGO_99 y VIOLENCIA_COMUN). El sistema es multi-etiqueta: cada contenido puede contribuir más de un voto.</w:t>
      </w:r>
    </w:p>
    <w:p>
      <w:pPr>
        <w:pStyle w:val="Heading2"/>
      </w:pPr>
      <w:r>
        <w:t>Frecuencia por Categoría</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3600"/>
            <w:shd w:fill="2C3E50" w:val="clear"/>
            <w:vAlign w:val="center"/>
          </w:tcPr>
          <w:p>
            <w:pPr>
              <w:jc w:val="center"/>
            </w:pPr>
            <w:r>
              <w:rPr>
                <w:b/>
                <w:color w:val="FFFFFF"/>
                <w:sz w:val="18"/>
              </w:rPr>
              <w:t>Categoría</w:t>
            </w:r>
          </w:p>
        </w:tc>
        <w:tc>
          <w:tcPr>
            <w:tcW w:type="dxa" w:w="1728"/>
            <w:shd w:fill="2C3E50" w:val="clear"/>
            <w:vAlign w:val="center"/>
          </w:tcPr>
          <w:p>
            <w:pPr>
              <w:jc w:val="center"/>
            </w:pPr>
            <w:r>
              <w:rPr>
                <w:b/>
                <w:color w:val="FFFFFF"/>
                <w:sz w:val="18"/>
              </w:rPr>
              <w:t>Frec. Absoluta</w:t>
            </w:r>
          </w:p>
        </w:tc>
        <w:tc>
          <w:tcPr>
            <w:tcW w:type="dxa" w:w="1728"/>
            <w:shd w:fill="2C3E50" w:val="clear"/>
            <w:vAlign w:val="center"/>
          </w:tcPr>
          <w:p>
            <w:pPr>
              <w:jc w:val="center"/>
            </w:pPr>
            <w:r>
              <w:rPr>
                <w:b/>
                <w:color w:val="FFFFFF"/>
                <w:sz w:val="18"/>
              </w:rPr>
              <w:t>% Válido</w:t>
            </w:r>
          </w:p>
        </w:tc>
        <w:tc>
          <w:tcPr>
            <w:tcW w:type="dxa" w:w="1728"/>
            <w:shd w:fill="2C3E50" w:val="clear"/>
            <w:vAlign w:val="center"/>
          </w:tcPr>
          <w:p>
            <w:pPr>
              <w:jc w:val="center"/>
            </w:pPr>
            <w:r>
              <w:rPr>
                <w:b/>
                <w:color w:val="FFFFFF"/>
                <w:sz w:val="18"/>
              </w:rPr>
              <w:t>% Acumulado</w:t>
            </w:r>
          </w:p>
        </w:tc>
      </w:tr>
      <w:tr>
        <w:tc>
          <w:tcPr>
            <w:tcW w:type="dxa" w:w="3600"/>
            <w:shd w:fill="ECF0F1" w:val="clear"/>
          </w:tcPr>
          <w:p>
            <w:pPr>
              <w:jc w:val="left"/>
            </w:pPr>
            <w:r>
              <w:rPr>
                <w:sz w:val="17"/>
              </w:rPr>
              <w:t>Violencia Simbólica</w:t>
            </w:r>
          </w:p>
        </w:tc>
        <w:tc>
          <w:tcPr>
            <w:tcW w:type="dxa" w:w="1728"/>
            <w:shd w:fill="ECF0F1" w:val="clear"/>
          </w:tcPr>
          <w:p>
            <w:pPr>
              <w:jc w:val="center"/>
            </w:pPr>
            <w:r>
              <w:rPr>
                <w:sz w:val="17"/>
              </w:rPr>
              <w:t>9</w:t>
            </w:r>
          </w:p>
        </w:tc>
        <w:tc>
          <w:tcPr>
            <w:tcW w:type="dxa" w:w="1728"/>
            <w:shd w:fill="ECF0F1" w:val="clear"/>
          </w:tcPr>
          <w:p>
            <w:pPr>
              <w:jc w:val="center"/>
            </w:pPr>
            <w:r>
              <w:rPr>
                <w:sz w:val="17"/>
              </w:rPr>
              <w:t>32.14%</w:t>
            </w:r>
          </w:p>
        </w:tc>
        <w:tc>
          <w:tcPr>
            <w:tcW w:type="dxa" w:w="1728"/>
            <w:shd w:fill="ECF0F1" w:val="clear"/>
          </w:tcPr>
          <w:p>
            <w:pPr>
              <w:jc w:val="center"/>
            </w:pPr>
            <w:r>
              <w:rPr>
                <w:sz w:val="17"/>
              </w:rPr>
              <w:t>32.14%</w:t>
            </w:r>
          </w:p>
        </w:tc>
      </w:tr>
      <w:tr>
        <w:tc>
          <w:tcPr>
            <w:tcW w:type="dxa" w:w="3600"/>
          </w:tcPr>
          <w:p>
            <w:pPr>
              <w:jc w:val="left"/>
            </w:pPr>
            <w:r>
              <w:rPr>
                <w:sz w:val="17"/>
              </w:rPr>
              <w:t>Mercantilización Corporal</w:t>
            </w:r>
          </w:p>
        </w:tc>
        <w:tc>
          <w:tcPr>
            <w:tcW w:type="dxa" w:w="1728"/>
          </w:tcPr>
          <w:p>
            <w:pPr>
              <w:jc w:val="center"/>
            </w:pPr>
            <w:r>
              <w:rPr>
                <w:sz w:val="17"/>
              </w:rPr>
              <w:t>7</w:t>
            </w:r>
          </w:p>
        </w:tc>
        <w:tc>
          <w:tcPr>
            <w:tcW w:type="dxa" w:w="1728"/>
          </w:tcPr>
          <w:p>
            <w:pPr>
              <w:jc w:val="center"/>
            </w:pPr>
            <w:r>
              <w:rPr>
                <w:sz w:val="17"/>
              </w:rPr>
              <w:t>25.0%</w:t>
            </w:r>
          </w:p>
        </w:tc>
        <w:tc>
          <w:tcPr>
            <w:tcW w:type="dxa" w:w="1728"/>
          </w:tcPr>
          <w:p>
            <w:pPr>
              <w:jc w:val="center"/>
            </w:pPr>
            <w:r>
              <w:rPr>
                <w:sz w:val="17"/>
              </w:rPr>
              <w:t>57.14%</w:t>
            </w:r>
          </w:p>
        </w:tc>
      </w:tr>
      <w:tr>
        <w:tc>
          <w:tcPr>
            <w:tcW w:type="dxa" w:w="3600"/>
            <w:shd w:fill="ECF0F1" w:val="clear"/>
          </w:tcPr>
          <w:p>
            <w:pPr>
              <w:jc w:val="left"/>
            </w:pPr>
            <w:r>
              <w:rPr>
                <w:sz w:val="17"/>
              </w:rPr>
              <w:t>Manosfera / Antifeminismo</w:t>
            </w:r>
          </w:p>
        </w:tc>
        <w:tc>
          <w:tcPr>
            <w:tcW w:type="dxa" w:w="1728"/>
            <w:shd w:fill="ECF0F1" w:val="clear"/>
          </w:tcPr>
          <w:p>
            <w:pPr>
              <w:jc w:val="center"/>
            </w:pPr>
            <w:r>
              <w:rPr>
                <w:sz w:val="17"/>
              </w:rPr>
              <w:t>5</w:t>
            </w:r>
          </w:p>
        </w:tc>
        <w:tc>
          <w:tcPr>
            <w:tcW w:type="dxa" w:w="1728"/>
            <w:shd w:fill="ECF0F1" w:val="clear"/>
          </w:tcPr>
          <w:p>
            <w:pPr>
              <w:jc w:val="center"/>
            </w:pPr>
            <w:r>
              <w:rPr>
                <w:sz w:val="17"/>
              </w:rPr>
              <w:t>17.86%</w:t>
            </w:r>
          </w:p>
        </w:tc>
        <w:tc>
          <w:tcPr>
            <w:tcW w:type="dxa" w:w="1728"/>
            <w:shd w:fill="ECF0F1" w:val="clear"/>
          </w:tcPr>
          <w:p>
            <w:pPr>
              <w:jc w:val="center"/>
            </w:pPr>
            <w:r>
              <w:rPr>
                <w:sz w:val="17"/>
              </w:rPr>
              <w:t>75.0%</w:t>
            </w:r>
          </w:p>
        </w:tc>
      </w:tr>
      <w:tr>
        <w:tc>
          <w:tcPr>
            <w:tcW w:type="dxa" w:w="3600"/>
          </w:tcPr>
          <w:p>
            <w:pPr>
              <w:jc w:val="left"/>
            </w:pPr>
            <w:r>
              <w:rPr>
                <w:sz w:val="17"/>
              </w:rPr>
              <w:t>Salvaguarda (Falso Positivo)</w:t>
            </w:r>
          </w:p>
        </w:tc>
        <w:tc>
          <w:tcPr>
            <w:tcW w:type="dxa" w:w="1728"/>
          </w:tcPr>
          <w:p>
            <w:pPr>
              <w:jc w:val="center"/>
            </w:pPr>
            <w:r>
              <w:rPr>
                <w:sz w:val="17"/>
              </w:rPr>
              <w:t>5</w:t>
            </w:r>
          </w:p>
        </w:tc>
        <w:tc>
          <w:tcPr>
            <w:tcW w:type="dxa" w:w="1728"/>
          </w:tcPr>
          <w:p>
            <w:pPr>
              <w:jc w:val="center"/>
            </w:pPr>
            <w:r>
              <w:rPr>
                <w:sz w:val="17"/>
              </w:rPr>
              <w:t>17.86%</w:t>
            </w:r>
          </w:p>
        </w:tc>
        <w:tc>
          <w:tcPr>
            <w:tcW w:type="dxa" w:w="1728"/>
          </w:tcPr>
          <w:p>
            <w:pPr>
              <w:jc w:val="center"/>
            </w:pPr>
            <w:r>
              <w:rPr>
                <w:sz w:val="17"/>
              </w:rPr>
              <w:t>92.86%</w:t>
            </w:r>
          </w:p>
        </w:tc>
      </w:tr>
      <w:tr>
        <w:tc>
          <w:tcPr>
            <w:tcW w:type="dxa" w:w="3600"/>
            <w:shd w:fill="ECF0F1" w:val="clear"/>
          </w:tcPr>
          <w:p>
            <w:pPr>
              <w:jc w:val="left"/>
            </w:pPr>
            <w:r>
              <w:rPr>
                <w:sz w:val="17"/>
              </w:rPr>
              <w:t>Hostilidad / Feminicidio</w:t>
            </w:r>
          </w:p>
        </w:tc>
        <w:tc>
          <w:tcPr>
            <w:tcW w:type="dxa" w:w="1728"/>
            <w:shd w:fill="ECF0F1" w:val="clear"/>
          </w:tcPr>
          <w:p>
            <w:pPr>
              <w:jc w:val="center"/>
            </w:pPr>
            <w:r>
              <w:rPr>
                <w:sz w:val="17"/>
              </w:rPr>
              <w:t>1</w:t>
            </w:r>
          </w:p>
        </w:tc>
        <w:tc>
          <w:tcPr>
            <w:tcW w:type="dxa" w:w="1728"/>
            <w:shd w:fill="ECF0F1" w:val="clear"/>
          </w:tcPr>
          <w:p>
            <w:pPr>
              <w:jc w:val="center"/>
            </w:pPr>
            <w:r>
              <w:rPr>
                <w:sz w:val="17"/>
              </w:rPr>
              <w:t>3.57%</w:t>
            </w:r>
          </w:p>
        </w:tc>
        <w:tc>
          <w:tcPr>
            <w:tcW w:type="dxa" w:w="1728"/>
            <w:shd w:fill="ECF0F1" w:val="clear"/>
          </w:tcPr>
          <w:p>
            <w:pPr>
              <w:jc w:val="center"/>
            </w:pPr>
            <w:r>
              <w:rPr>
                <w:sz w:val="17"/>
              </w:rPr>
              <w:t>96.43%</w:t>
            </w:r>
          </w:p>
        </w:tc>
      </w:tr>
      <w:tr>
        <w:tc>
          <w:tcPr>
            <w:tcW w:type="dxa" w:w="3600"/>
          </w:tcPr>
          <w:p>
            <w:pPr>
              <w:jc w:val="left"/>
            </w:pPr>
            <w:r>
              <w:rPr>
                <w:sz w:val="17"/>
              </w:rPr>
              <w:t>Castigo Del Empoderamiento Femenino</w:t>
            </w:r>
          </w:p>
        </w:tc>
        <w:tc>
          <w:tcPr>
            <w:tcW w:type="dxa" w:w="1728"/>
          </w:tcPr>
          <w:p>
            <w:pPr>
              <w:jc w:val="center"/>
            </w:pPr>
            <w:r>
              <w:rPr>
                <w:sz w:val="17"/>
              </w:rPr>
              <w:t>1</w:t>
            </w:r>
          </w:p>
        </w:tc>
        <w:tc>
          <w:tcPr>
            <w:tcW w:type="dxa" w:w="1728"/>
          </w:tcPr>
          <w:p>
            <w:pPr>
              <w:jc w:val="center"/>
            </w:pPr>
            <w:r>
              <w:rPr>
                <w:sz w:val="17"/>
              </w:rPr>
              <w:t>3.57%</w:t>
            </w:r>
          </w:p>
        </w:tc>
        <w:tc>
          <w:tcPr>
            <w:tcW w:type="dxa" w:w="1728"/>
          </w:tcPr>
          <w:p>
            <w:pPr>
              <w:jc w:val="center"/>
            </w:pPr>
            <w:r>
              <w:rPr>
                <w:sz w:val="17"/>
              </w:rPr>
              <w:t>100.0%</w:t>
            </w:r>
          </w:p>
        </w:tc>
      </w:tr>
      <w:tr>
        <w:tc>
          <w:tcPr>
            <w:tcW w:type="dxa" w:w="3600"/>
            <w:shd w:fill="ECF0F1" w:val="clear"/>
          </w:tcPr>
          <w:p>
            <w:pPr>
              <w:jc w:val="left"/>
            </w:pPr>
            <w:r>
              <w:rPr>
                <w:sz w:val="17"/>
              </w:rPr>
              <w:t>TOTAL</w:t>
            </w:r>
          </w:p>
        </w:tc>
        <w:tc>
          <w:tcPr>
            <w:tcW w:type="dxa" w:w="1728"/>
            <w:shd w:fill="ECF0F1" w:val="clear"/>
          </w:tcPr>
          <w:p>
            <w:pPr>
              <w:jc w:val="center"/>
            </w:pPr>
            <w:r>
              <w:rPr>
                <w:sz w:val="17"/>
              </w:rPr>
              <w:t>28</w:t>
            </w:r>
          </w:p>
        </w:tc>
        <w:tc>
          <w:tcPr>
            <w:tcW w:type="dxa" w:w="1728"/>
            <w:shd w:fill="ECF0F1" w:val="clear"/>
          </w:tcPr>
          <w:p>
            <w:pPr>
              <w:jc w:val="center"/>
            </w:pPr>
            <w:r>
              <w:rPr>
                <w:sz w:val="17"/>
              </w:rPr>
              <w:t>100%</w:t>
            </w:r>
          </w:p>
        </w:tc>
        <w:tc>
          <w:tcPr>
            <w:tcW w:type="dxa" w:w="1728"/>
            <w:shd w:fill="ECF0F1" w:val="clear"/>
          </w:tcPr>
          <w:p>
            <w:pPr>
              <w:jc w:val="center"/>
            </w:pPr>
            <w:r>
              <w:rPr>
                <w:sz w:val="17"/>
              </w:rPr>
              <w:t>—</w:t>
            </w:r>
          </w:p>
        </w:tc>
      </w:tr>
    </w:tbl>
    <w:p/>
    <w:p>
      <w:pPr>
        <w:pStyle w:val="Heading2"/>
      </w:pPr>
      <w:r>
        <w:t>Frecuencia por Subdimensión (Top 10)</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160"/>
            <w:shd w:fill="2C3E50" w:val="clear"/>
            <w:vAlign w:val="center"/>
          </w:tcPr>
          <w:p>
            <w:pPr>
              <w:jc w:val="center"/>
            </w:pPr>
            <w:r>
              <w:rPr>
                <w:b/>
                <w:color w:val="FFFFFF"/>
                <w:sz w:val="18"/>
              </w:rPr>
              <w:t>Subdimensión</w:t>
            </w:r>
          </w:p>
        </w:tc>
        <w:tc>
          <w:tcPr>
            <w:tcW w:type="dxa" w:w="2160"/>
            <w:shd w:fill="2C3E50" w:val="clear"/>
            <w:vAlign w:val="center"/>
          </w:tcPr>
          <w:p>
            <w:pPr>
              <w:jc w:val="center"/>
            </w:pPr>
            <w:r>
              <w:rPr>
                <w:b/>
                <w:color w:val="FFFFFF"/>
                <w:sz w:val="18"/>
              </w:rPr>
              <w:t>Frec. Absoluta</w:t>
            </w:r>
          </w:p>
        </w:tc>
        <w:tc>
          <w:tcPr>
            <w:tcW w:type="dxa" w:w="2160"/>
            <w:shd w:fill="2C3E50" w:val="clear"/>
            <w:vAlign w:val="center"/>
          </w:tcPr>
          <w:p>
            <w:pPr>
              <w:jc w:val="center"/>
            </w:pPr>
            <w:r>
              <w:rPr>
                <w:b/>
                <w:color w:val="FFFFFF"/>
                <w:sz w:val="18"/>
              </w:rPr>
              <w:t>% Válido</w:t>
            </w:r>
          </w:p>
        </w:tc>
        <w:tc>
          <w:tcPr>
            <w:tcW w:type="dxa" w:w="2160"/>
            <w:shd w:fill="2C3E50" w:val="clear"/>
            <w:vAlign w:val="center"/>
          </w:tcPr>
          <w:p>
            <w:pPr>
              <w:jc w:val="center"/>
            </w:pPr>
            <w:r>
              <w:rPr>
                <w:b/>
                <w:color w:val="FFFFFF"/>
                <w:sz w:val="18"/>
              </w:rPr>
              <w:t>% Acumulado</w:t>
            </w:r>
          </w:p>
        </w:tc>
      </w:tr>
      <w:tr>
        <w:tc>
          <w:tcPr>
            <w:tcW w:type="dxa" w:w="2160"/>
            <w:shd w:fill="ECF0F1" w:val="clear"/>
          </w:tcPr>
          <w:p>
            <w:pPr>
              <w:jc w:val="left"/>
            </w:pPr>
            <w:r>
              <w:rPr>
                <w:sz w:val="17"/>
              </w:rPr>
              <w:t>2.3</w:t>
            </w:r>
          </w:p>
        </w:tc>
        <w:tc>
          <w:tcPr>
            <w:tcW w:type="dxa" w:w="2160"/>
            <w:shd w:fill="ECF0F1" w:val="clear"/>
          </w:tcPr>
          <w:p>
            <w:pPr>
              <w:jc w:val="center"/>
            </w:pPr>
            <w:r>
              <w:rPr>
                <w:sz w:val="17"/>
              </w:rPr>
              <w:t>6</w:t>
            </w:r>
          </w:p>
        </w:tc>
        <w:tc>
          <w:tcPr>
            <w:tcW w:type="dxa" w:w="2160"/>
            <w:shd w:fill="ECF0F1" w:val="clear"/>
          </w:tcPr>
          <w:p>
            <w:pPr>
              <w:jc w:val="center"/>
            </w:pPr>
            <w:r>
              <w:rPr>
                <w:sz w:val="17"/>
              </w:rPr>
              <w:t>21.43%</w:t>
            </w:r>
          </w:p>
        </w:tc>
        <w:tc>
          <w:tcPr>
            <w:tcW w:type="dxa" w:w="2160"/>
            <w:shd w:fill="ECF0F1" w:val="clear"/>
          </w:tcPr>
          <w:p>
            <w:pPr>
              <w:jc w:val="center"/>
            </w:pPr>
            <w:r>
              <w:rPr>
                <w:sz w:val="17"/>
              </w:rPr>
              <w:t>21.43%</w:t>
            </w:r>
          </w:p>
        </w:tc>
      </w:tr>
      <w:tr>
        <w:tc>
          <w:tcPr>
            <w:tcW w:type="dxa" w:w="2160"/>
          </w:tcPr>
          <w:p>
            <w:pPr>
              <w:jc w:val="left"/>
            </w:pPr>
            <w:r>
              <w:rPr>
                <w:sz w:val="17"/>
              </w:rPr>
              <w:t>1.3</w:t>
            </w:r>
          </w:p>
        </w:tc>
        <w:tc>
          <w:tcPr>
            <w:tcW w:type="dxa" w:w="2160"/>
          </w:tcPr>
          <w:p>
            <w:pPr>
              <w:jc w:val="center"/>
            </w:pPr>
            <w:r>
              <w:rPr>
                <w:sz w:val="17"/>
              </w:rPr>
              <w:t>5</w:t>
            </w:r>
          </w:p>
        </w:tc>
        <w:tc>
          <w:tcPr>
            <w:tcW w:type="dxa" w:w="2160"/>
          </w:tcPr>
          <w:p>
            <w:pPr>
              <w:jc w:val="center"/>
            </w:pPr>
            <w:r>
              <w:rPr>
                <w:sz w:val="17"/>
              </w:rPr>
              <w:t>17.86%</w:t>
            </w:r>
          </w:p>
        </w:tc>
        <w:tc>
          <w:tcPr>
            <w:tcW w:type="dxa" w:w="2160"/>
          </w:tcPr>
          <w:p>
            <w:pPr>
              <w:jc w:val="center"/>
            </w:pPr>
            <w:r>
              <w:rPr>
                <w:sz w:val="17"/>
              </w:rPr>
              <w:t>39.29%</w:t>
            </w:r>
          </w:p>
        </w:tc>
      </w:tr>
      <w:tr>
        <w:tc>
          <w:tcPr>
            <w:tcW w:type="dxa" w:w="2160"/>
            <w:shd w:fill="ECF0F1" w:val="clear"/>
          </w:tcPr>
          <w:p>
            <w:pPr>
              <w:jc w:val="left"/>
            </w:pPr>
            <w:r>
              <w:rPr>
                <w:sz w:val="17"/>
              </w:rPr>
              <w:t>4.3</w:t>
            </w:r>
          </w:p>
        </w:tc>
        <w:tc>
          <w:tcPr>
            <w:tcW w:type="dxa" w:w="2160"/>
            <w:shd w:fill="ECF0F1" w:val="clear"/>
          </w:tcPr>
          <w:p>
            <w:pPr>
              <w:jc w:val="center"/>
            </w:pPr>
            <w:r>
              <w:rPr>
                <w:sz w:val="17"/>
              </w:rPr>
              <w:t>4</w:t>
            </w:r>
          </w:p>
        </w:tc>
        <w:tc>
          <w:tcPr>
            <w:tcW w:type="dxa" w:w="2160"/>
            <w:shd w:fill="ECF0F1" w:val="clear"/>
          </w:tcPr>
          <w:p>
            <w:pPr>
              <w:jc w:val="center"/>
            </w:pPr>
            <w:r>
              <w:rPr>
                <w:sz w:val="17"/>
              </w:rPr>
              <w:t>14.29%</w:t>
            </w:r>
          </w:p>
        </w:tc>
        <w:tc>
          <w:tcPr>
            <w:tcW w:type="dxa" w:w="2160"/>
            <w:shd w:fill="ECF0F1" w:val="clear"/>
          </w:tcPr>
          <w:p>
            <w:pPr>
              <w:jc w:val="center"/>
            </w:pPr>
            <w:r>
              <w:rPr>
                <w:sz w:val="17"/>
              </w:rPr>
              <w:t>53.57%</w:t>
            </w:r>
          </w:p>
        </w:tc>
      </w:tr>
      <w:tr>
        <w:tc>
          <w:tcPr>
            <w:tcW w:type="dxa" w:w="2160"/>
          </w:tcPr>
          <w:p>
            <w:pPr>
              <w:jc w:val="left"/>
            </w:pPr>
            <w:r>
              <w:rPr>
                <w:sz w:val="17"/>
              </w:rPr>
              <w:t>6.2</w:t>
            </w:r>
          </w:p>
        </w:tc>
        <w:tc>
          <w:tcPr>
            <w:tcW w:type="dxa" w:w="2160"/>
          </w:tcPr>
          <w:p>
            <w:pPr>
              <w:jc w:val="center"/>
            </w:pPr>
            <w:r>
              <w:rPr>
                <w:sz w:val="17"/>
              </w:rPr>
              <w:t>4</w:t>
            </w:r>
          </w:p>
        </w:tc>
        <w:tc>
          <w:tcPr>
            <w:tcW w:type="dxa" w:w="2160"/>
          </w:tcPr>
          <w:p>
            <w:pPr>
              <w:jc w:val="center"/>
            </w:pPr>
            <w:r>
              <w:rPr>
                <w:sz w:val="17"/>
              </w:rPr>
              <w:t>14.29%</w:t>
            </w:r>
          </w:p>
        </w:tc>
        <w:tc>
          <w:tcPr>
            <w:tcW w:type="dxa" w:w="2160"/>
          </w:tcPr>
          <w:p>
            <w:pPr>
              <w:jc w:val="center"/>
            </w:pPr>
            <w:r>
              <w:rPr>
                <w:sz w:val="17"/>
              </w:rPr>
              <w:t>67.86%</w:t>
            </w:r>
          </w:p>
        </w:tc>
      </w:tr>
      <w:tr>
        <w:tc>
          <w:tcPr>
            <w:tcW w:type="dxa" w:w="2160"/>
            <w:shd w:fill="ECF0F1" w:val="clear"/>
          </w:tcPr>
          <w:p>
            <w:pPr>
              <w:jc w:val="left"/>
            </w:pPr>
            <w:r>
              <w:rPr>
                <w:sz w:val="17"/>
              </w:rPr>
              <w:t>1.1</w:t>
            </w:r>
          </w:p>
        </w:tc>
        <w:tc>
          <w:tcPr>
            <w:tcW w:type="dxa" w:w="2160"/>
            <w:shd w:fill="ECF0F1" w:val="clear"/>
          </w:tcPr>
          <w:p>
            <w:pPr>
              <w:jc w:val="center"/>
            </w:pPr>
            <w:r>
              <w:rPr>
                <w:sz w:val="17"/>
              </w:rPr>
              <w:t>3</w:t>
            </w:r>
          </w:p>
        </w:tc>
        <w:tc>
          <w:tcPr>
            <w:tcW w:type="dxa" w:w="2160"/>
            <w:shd w:fill="ECF0F1" w:val="clear"/>
          </w:tcPr>
          <w:p>
            <w:pPr>
              <w:jc w:val="center"/>
            </w:pPr>
            <w:r>
              <w:rPr>
                <w:sz w:val="17"/>
              </w:rPr>
              <w:t>10.71%</w:t>
            </w:r>
          </w:p>
        </w:tc>
        <w:tc>
          <w:tcPr>
            <w:tcW w:type="dxa" w:w="2160"/>
            <w:shd w:fill="ECF0F1" w:val="clear"/>
          </w:tcPr>
          <w:p>
            <w:pPr>
              <w:jc w:val="center"/>
            </w:pPr>
            <w:r>
              <w:rPr>
                <w:sz w:val="17"/>
              </w:rPr>
              <w:t>78.57%</w:t>
            </w:r>
          </w:p>
        </w:tc>
      </w:tr>
      <w:tr>
        <w:tc>
          <w:tcPr>
            <w:tcW w:type="dxa" w:w="2160"/>
          </w:tcPr>
          <w:p>
            <w:pPr>
              <w:jc w:val="left"/>
            </w:pPr>
            <w:r>
              <w:rPr>
                <w:sz w:val="17"/>
              </w:rPr>
              <w:t>1.2</w:t>
            </w:r>
          </w:p>
        </w:tc>
        <w:tc>
          <w:tcPr>
            <w:tcW w:type="dxa" w:w="2160"/>
          </w:tcPr>
          <w:p>
            <w:pPr>
              <w:jc w:val="center"/>
            </w:pPr>
            <w:r>
              <w:rPr>
                <w:sz w:val="17"/>
              </w:rPr>
              <w:t>1</w:t>
            </w:r>
          </w:p>
        </w:tc>
        <w:tc>
          <w:tcPr>
            <w:tcW w:type="dxa" w:w="2160"/>
          </w:tcPr>
          <w:p>
            <w:pPr>
              <w:jc w:val="center"/>
            </w:pPr>
            <w:r>
              <w:rPr>
                <w:sz w:val="17"/>
              </w:rPr>
              <w:t>3.57%</w:t>
            </w:r>
          </w:p>
        </w:tc>
        <w:tc>
          <w:tcPr>
            <w:tcW w:type="dxa" w:w="2160"/>
          </w:tcPr>
          <w:p>
            <w:pPr>
              <w:jc w:val="center"/>
            </w:pPr>
            <w:r>
              <w:rPr>
                <w:sz w:val="17"/>
              </w:rPr>
              <w:t>82.14%</w:t>
            </w:r>
          </w:p>
        </w:tc>
      </w:tr>
      <w:tr>
        <w:tc>
          <w:tcPr>
            <w:tcW w:type="dxa" w:w="2160"/>
            <w:shd w:fill="ECF0F1" w:val="clear"/>
          </w:tcPr>
          <w:p>
            <w:pPr>
              <w:jc w:val="left"/>
            </w:pPr>
            <w:r>
              <w:rPr>
                <w:sz w:val="17"/>
              </w:rPr>
              <w:t>2.2</w:t>
            </w:r>
          </w:p>
        </w:tc>
        <w:tc>
          <w:tcPr>
            <w:tcW w:type="dxa" w:w="2160"/>
            <w:shd w:fill="ECF0F1" w:val="clear"/>
          </w:tcPr>
          <w:p>
            <w:pPr>
              <w:jc w:val="center"/>
            </w:pPr>
            <w:r>
              <w:rPr>
                <w:sz w:val="17"/>
              </w:rPr>
              <w:t>1</w:t>
            </w:r>
          </w:p>
        </w:tc>
        <w:tc>
          <w:tcPr>
            <w:tcW w:type="dxa" w:w="2160"/>
            <w:shd w:fill="ECF0F1" w:val="clear"/>
          </w:tcPr>
          <w:p>
            <w:pPr>
              <w:jc w:val="center"/>
            </w:pPr>
            <w:r>
              <w:rPr>
                <w:sz w:val="17"/>
              </w:rPr>
              <w:t>3.57%</w:t>
            </w:r>
          </w:p>
        </w:tc>
        <w:tc>
          <w:tcPr>
            <w:tcW w:type="dxa" w:w="2160"/>
            <w:shd w:fill="ECF0F1" w:val="clear"/>
          </w:tcPr>
          <w:p>
            <w:pPr>
              <w:jc w:val="center"/>
            </w:pPr>
            <w:r>
              <w:rPr>
                <w:sz w:val="17"/>
              </w:rPr>
              <w:t>85.71%</w:t>
            </w:r>
          </w:p>
        </w:tc>
      </w:tr>
      <w:tr>
        <w:tc>
          <w:tcPr>
            <w:tcW w:type="dxa" w:w="2160"/>
          </w:tcPr>
          <w:p>
            <w:pPr>
              <w:jc w:val="left"/>
            </w:pPr>
            <w:r>
              <w:rPr>
                <w:sz w:val="17"/>
              </w:rPr>
              <w:t>3.2</w:t>
            </w:r>
          </w:p>
        </w:tc>
        <w:tc>
          <w:tcPr>
            <w:tcW w:type="dxa" w:w="2160"/>
          </w:tcPr>
          <w:p>
            <w:pPr>
              <w:jc w:val="center"/>
            </w:pPr>
            <w:r>
              <w:rPr>
                <w:sz w:val="17"/>
              </w:rPr>
              <w:t>1</w:t>
            </w:r>
          </w:p>
        </w:tc>
        <w:tc>
          <w:tcPr>
            <w:tcW w:type="dxa" w:w="2160"/>
          </w:tcPr>
          <w:p>
            <w:pPr>
              <w:jc w:val="center"/>
            </w:pPr>
            <w:r>
              <w:rPr>
                <w:sz w:val="17"/>
              </w:rPr>
              <w:t>3.57%</w:t>
            </w:r>
          </w:p>
        </w:tc>
        <w:tc>
          <w:tcPr>
            <w:tcW w:type="dxa" w:w="2160"/>
          </w:tcPr>
          <w:p>
            <w:pPr>
              <w:jc w:val="center"/>
            </w:pPr>
            <w:r>
              <w:rPr>
                <w:sz w:val="17"/>
              </w:rPr>
              <w:t>89.29%</w:t>
            </w:r>
          </w:p>
        </w:tc>
      </w:tr>
      <w:tr>
        <w:tc>
          <w:tcPr>
            <w:tcW w:type="dxa" w:w="2160"/>
            <w:shd w:fill="ECF0F1" w:val="clear"/>
          </w:tcPr>
          <w:p>
            <w:pPr>
              <w:jc w:val="left"/>
            </w:pPr>
            <w:r>
              <w:rPr>
                <w:sz w:val="17"/>
              </w:rPr>
              <w:t>4.2</w:t>
            </w:r>
          </w:p>
        </w:tc>
        <w:tc>
          <w:tcPr>
            <w:tcW w:type="dxa" w:w="2160"/>
            <w:shd w:fill="ECF0F1" w:val="clear"/>
          </w:tcPr>
          <w:p>
            <w:pPr>
              <w:jc w:val="center"/>
            </w:pPr>
            <w:r>
              <w:rPr>
                <w:sz w:val="17"/>
              </w:rPr>
              <w:t>1</w:t>
            </w:r>
          </w:p>
        </w:tc>
        <w:tc>
          <w:tcPr>
            <w:tcW w:type="dxa" w:w="2160"/>
            <w:shd w:fill="ECF0F1" w:val="clear"/>
          </w:tcPr>
          <w:p>
            <w:pPr>
              <w:jc w:val="center"/>
            </w:pPr>
            <w:r>
              <w:rPr>
                <w:sz w:val="17"/>
              </w:rPr>
              <w:t>3.57%</w:t>
            </w:r>
          </w:p>
        </w:tc>
        <w:tc>
          <w:tcPr>
            <w:tcW w:type="dxa" w:w="2160"/>
            <w:shd w:fill="ECF0F1" w:val="clear"/>
          </w:tcPr>
          <w:p>
            <w:pPr>
              <w:jc w:val="center"/>
            </w:pPr>
            <w:r>
              <w:rPr>
                <w:sz w:val="17"/>
              </w:rPr>
              <w:t>92.86%</w:t>
            </w:r>
          </w:p>
        </w:tc>
      </w:tr>
      <w:tr>
        <w:tc>
          <w:tcPr>
            <w:tcW w:type="dxa" w:w="2160"/>
          </w:tcPr>
          <w:p>
            <w:pPr>
              <w:jc w:val="left"/>
            </w:pPr>
            <w:r>
              <w:rPr>
                <w:sz w:val="17"/>
              </w:rPr>
              <w:t>5.1</w:t>
            </w:r>
          </w:p>
        </w:tc>
        <w:tc>
          <w:tcPr>
            <w:tcW w:type="dxa" w:w="2160"/>
          </w:tcPr>
          <w:p>
            <w:pPr>
              <w:jc w:val="center"/>
            </w:pPr>
            <w:r>
              <w:rPr>
                <w:sz w:val="17"/>
              </w:rPr>
              <w:t>1</w:t>
            </w:r>
          </w:p>
        </w:tc>
        <w:tc>
          <w:tcPr>
            <w:tcW w:type="dxa" w:w="2160"/>
          </w:tcPr>
          <w:p>
            <w:pPr>
              <w:jc w:val="center"/>
            </w:pPr>
            <w:r>
              <w:rPr>
                <w:sz w:val="17"/>
              </w:rPr>
              <w:t>3.57%</w:t>
            </w:r>
          </w:p>
        </w:tc>
        <w:tc>
          <w:tcPr>
            <w:tcW w:type="dxa" w:w="2160"/>
          </w:tcPr>
          <w:p>
            <w:pPr>
              <w:jc w:val="center"/>
            </w:pPr>
            <w:r>
              <w:rPr>
                <w:sz w:val="17"/>
              </w:rPr>
              <w:t>96.43%</w:t>
            </w:r>
          </w:p>
        </w:tc>
      </w:tr>
    </w:tbl>
    <w:p/>
    <w:p>
      <w:pPr>
        <w:pStyle w:val="Heading2"/>
      </w:pPr>
      <w:r>
        <w:t>Insights</w:t>
      </w:r>
    </w:p>
    <w:p>
      <w:pPr>
        <w:pStyle w:val="ListBullet"/>
      </w:pPr>
      <w:r>
        <w:rPr>
          <w:b/>
          <w:sz w:val="20"/>
        </w:rPr>
        <w:t xml:space="preserve">Categoría dominante: </w:t>
      </w:r>
      <w:r>
        <w:rPr>
          <w:sz w:val="20"/>
        </w:rPr>
        <w:t>La categoría más frecuente es 'Violencia Simbólica' con 9 casos (32.14% del total válido), acumulando el 32.14% en la tabla ordenada.</w:t>
      </w:r>
    </w:p>
    <w:p>
      <w:pPr>
        <w:pStyle w:val="ListBullet"/>
      </w:pPr>
      <w:r>
        <w:rPr>
          <w:b/>
          <w:sz w:val="20"/>
        </w:rPr>
        <w:t xml:space="preserve">Concentración: </w:t>
      </w:r>
      <w:r>
        <w:rPr>
          <w:sz w:val="20"/>
        </w:rPr>
        <w:t>Las dos primeras categorías concentran el 57.14% del total válido, lo que indica una distribución moderadamente concentrada.</w:t>
      </w:r>
    </w:p>
    <w:p>
      <w:pPr>
        <w:pStyle w:val="ListBullet"/>
      </w:pPr>
      <w:r>
        <w:rPr>
          <w:b/>
          <w:sz w:val="20"/>
        </w:rPr>
        <w:t xml:space="preserve">Subdimensión líder: </w:t>
      </w:r>
      <w:r>
        <w:rPr>
          <w:sz w:val="20"/>
        </w:rPr>
        <w:t>La subdimensión más frecuente es '2.3' con 6 casos (21.43%), lo que permite identificar patrones específicos dentro de la categoría padre.</w:t>
      </w:r>
    </w:p>
    <w:p>
      <w:r>
        <w:br w:type="page"/>
      </w:r>
    </w:p>
    <w:p>
      <w:pPr>
        <w:pStyle w:val="Heading1"/>
      </w:pPr>
      <w:r>
        <w:t>3. Regla 3 — Moda</w:t>
      </w:r>
    </w:p>
    <w:p>
      <w:r>
        <w:rPr>
          <w:b w:val="0"/>
          <w:i w:val="0"/>
          <w:sz w:val="21"/>
        </w:rPr>
        <w:t>La moda es el valor que aparece con mayor frecuencia en una distribución. El sistema detecta automáticamente distribuciones unimodales (una moda), bimodales (dos modas empatadas) y multimodales (tres o más modas empatadas). Se presenta tanto a nivel de categoría como de subdimensión.</w:t>
      </w:r>
    </w:p>
    <w:p>
      <w:pPr>
        <w:pStyle w:val="Heading2"/>
      </w:pPr>
      <w:r>
        <w:t>Moda por Categoría</w:t>
      </w:r>
    </w:p>
    <w:tbl>
      <w:tblPr>
        <w:tblStyle w:val="TableGrid"/>
        <w:tblW w:type="auto" w:w="0"/>
        <w:jc w:val="center"/>
        <w:tblLook w:firstColumn="1" w:firstRow="1" w:lastColumn="0" w:lastRow="0" w:noHBand="0" w:noVBand="1" w:val="04A0"/>
      </w:tblPr>
      <w:tblGrid>
        <w:gridCol w:w="4514"/>
        <w:gridCol w:w="4514"/>
      </w:tblGrid>
      <w:tr>
        <w:tc>
          <w:tcPr>
            <w:tcW w:type="dxa" w:w="4320"/>
            <w:shd w:fill="2C3E50" w:val="clear"/>
            <w:vAlign w:val="center"/>
          </w:tcPr>
          <w:p>
            <w:pPr>
              <w:jc w:val="center"/>
            </w:pPr>
            <w:r>
              <w:rPr>
                <w:b/>
                <w:color w:val="FFFFFF"/>
                <w:sz w:val="18"/>
              </w:rPr>
              <w:t>Categoría</w:t>
            </w:r>
          </w:p>
        </w:tc>
        <w:tc>
          <w:tcPr>
            <w:tcW w:type="dxa" w:w="2160"/>
            <w:shd w:fill="2C3E50" w:val="clear"/>
            <w:vAlign w:val="center"/>
          </w:tcPr>
          <w:p>
            <w:pPr>
              <w:jc w:val="center"/>
            </w:pPr>
            <w:r>
              <w:rPr>
                <w:b/>
                <w:color w:val="FFFFFF"/>
                <w:sz w:val="18"/>
              </w:rPr>
              <w:t>Frecuencia</w:t>
            </w:r>
          </w:p>
        </w:tc>
      </w:tr>
      <w:tr>
        <w:tc>
          <w:tcPr>
            <w:tcW w:type="dxa" w:w="4320"/>
            <w:shd w:fill="ECF0F1" w:val="clear"/>
          </w:tcPr>
          <w:p>
            <w:pPr>
              <w:jc w:val="left"/>
            </w:pPr>
            <w:r>
              <w:rPr>
                <w:sz w:val="17"/>
              </w:rPr>
              <w:t>★ VDG_VIOLENCIA_SIMBOLICA</w:t>
            </w:r>
          </w:p>
        </w:tc>
        <w:tc>
          <w:tcPr>
            <w:tcW w:type="dxa" w:w="2160"/>
            <w:shd w:fill="ECF0F1" w:val="clear"/>
          </w:tcPr>
          <w:p>
            <w:pPr>
              <w:jc w:val="center"/>
            </w:pPr>
            <w:r>
              <w:rPr>
                <w:sz w:val="17"/>
              </w:rPr>
              <w:t>9</w:t>
            </w:r>
          </w:p>
        </w:tc>
      </w:tr>
      <w:tr>
        <w:tc>
          <w:tcPr>
            <w:tcW w:type="dxa" w:w="4320"/>
          </w:tcPr>
          <w:p>
            <w:pPr>
              <w:jc w:val="left"/>
            </w:pPr>
            <w:r>
              <w:rPr>
                <w:sz w:val="17"/>
              </w:rPr>
              <w:t>VDG_COSIFICACION_SLUTSHAMING</w:t>
            </w:r>
          </w:p>
        </w:tc>
        <w:tc>
          <w:tcPr>
            <w:tcW w:type="dxa" w:w="2160"/>
          </w:tcPr>
          <w:p>
            <w:pPr>
              <w:jc w:val="center"/>
            </w:pPr>
            <w:r>
              <w:rPr>
                <w:sz w:val="17"/>
              </w:rPr>
              <w:t>7</w:t>
            </w:r>
          </w:p>
        </w:tc>
      </w:tr>
      <w:tr>
        <w:tc>
          <w:tcPr>
            <w:tcW w:type="dxa" w:w="4320"/>
            <w:shd w:fill="ECF0F1" w:val="clear"/>
          </w:tcPr>
          <w:p>
            <w:pPr>
              <w:jc w:val="left"/>
            </w:pPr>
            <w:r>
              <w:rPr>
                <w:sz w:val="17"/>
              </w:rPr>
              <w:t>VDG_MANOSFERA_ANTIFEMINISMO</w:t>
            </w:r>
          </w:p>
        </w:tc>
        <w:tc>
          <w:tcPr>
            <w:tcW w:type="dxa" w:w="2160"/>
            <w:shd w:fill="ECF0F1" w:val="clear"/>
          </w:tcPr>
          <w:p>
            <w:pPr>
              <w:jc w:val="center"/>
            </w:pPr>
            <w:r>
              <w:rPr>
                <w:sz w:val="17"/>
              </w:rPr>
              <w:t>5</w:t>
            </w:r>
          </w:p>
        </w:tc>
      </w:tr>
      <w:tr>
        <w:tc>
          <w:tcPr>
            <w:tcW w:type="dxa" w:w="4320"/>
          </w:tcPr>
          <w:p>
            <w:pPr>
              <w:jc w:val="left"/>
            </w:pPr>
            <w:r>
              <w:rPr>
                <w:sz w:val="17"/>
              </w:rPr>
              <w:t>VDG_SALVAGUARDA_FALSO_POSITIVO</w:t>
            </w:r>
          </w:p>
        </w:tc>
        <w:tc>
          <w:tcPr>
            <w:tcW w:type="dxa" w:w="2160"/>
          </w:tcPr>
          <w:p>
            <w:pPr>
              <w:jc w:val="center"/>
            </w:pPr>
            <w:r>
              <w:rPr>
                <w:sz w:val="17"/>
              </w:rPr>
              <w:t>5</w:t>
            </w:r>
          </w:p>
        </w:tc>
      </w:tr>
      <w:tr>
        <w:tc>
          <w:tcPr>
            <w:tcW w:type="dxa" w:w="4320"/>
            <w:shd w:fill="ECF0F1" w:val="clear"/>
          </w:tcPr>
          <w:p>
            <w:pPr>
              <w:jc w:val="left"/>
            </w:pPr>
            <w:r>
              <w:rPr>
                <w:sz w:val="17"/>
              </w:rPr>
              <w:t>VDG_DESACREDITACION_ACTIVISTAS</w:t>
            </w:r>
          </w:p>
        </w:tc>
        <w:tc>
          <w:tcPr>
            <w:tcW w:type="dxa" w:w="2160"/>
            <w:shd w:fill="ECF0F1" w:val="clear"/>
          </w:tcPr>
          <w:p>
            <w:pPr>
              <w:jc w:val="center"/>
            </w:pPr>
            <w:r>
              <w:rPr>
                <w:sz w:val="17"/>
              </w:rPr>
              <w:t>1</w:t>
            </w:r>
          </w:p>
        </w:tc>
      </w:tr>
      <w:tr>
        <w:tc>
          <w:tcPr>
            <w:tcW w:type="dxa" w:w="4320"/>
          </w:tcPr>
          <w:p>
            <w:pPr>
              <w:jc w:val="left"/>
            </w:pPr>
            <w:r>
              <w:rPr>
                <w:sz w:val="17"/>
              </w:rPr>
              <w:t>VDG_HOSTILIDAD_FEMINICIDIO</w:t>
            </w:r>
          </w:p>
        </w:tc>
        <w:tc>
          <w:tcPr>
            <w:tcW w:type="dxa" w:w="2160"/>
          </w:tcPr>
          <w:p>
            <w:pPr>
              <w:jc w:val="center"/>
            </w:pPr>
            <w:r>
              <w:rPr>
                <w:sz w:val="17"/>
              </w:rPr>
              <w:t>1</w:t>
            </w:r>
          </w:p>
        </w:tc>
      </w:tr>
    </w:tbl>
    <w:p/>
    <w:p>
      <w:pPr>
        <w:pStyle w:val="Heading2"/>
      </w:pPr>
      <w:r>
        <w:t>Moda por Subdimensión</w:t>
      </w:r>
    </w:p>
    <w:tbl>
      <w:tblPr>
        <w:tblStyle w:val="TableGrid"/>
        <w:tblW w:type="auto" w:w="0"/>
        <w:jc w:val="center"/>
        <w:tblLook w:firstColumn="1" w:firstRow="1" w:lastColumn="0" w:lastRow="0" w:noHBand="0" w:noVBand="1" w:val="04A0"/>
      </w:tblPr>
      <w:tblGrid>
        <w:gridCol w:w="4514"/>
        <w:gridCol w:w="4514"/>
      </w:tblGrid>
      <w:tr>
        <w:tc>
          <w:tcPr>
            <w:tcW w:type="dxa" w:w="4320"/>
            <w:shd w:fill="2C3E50" w:val="clear"/>
            <w:vAlign w:val="center"/>
          </w:tcPr>
          <w:p>
            <w:pPr>
              <w:jc w:val="center"/>
            </w:pPr>
            <w:r>
              <w:rPr>
                <w:b/>
                <w:color w:val="FFFFFF"/>
                <w:sz w:val="18"/>
              </w:rPr>
              <w:t>Subdimensión</w:t>
            </w:r>
          </w:p>
        </w:tc>
        <w:tc>
          <w:tcPr>
            <w:tcW w:type="dxa" w:w="2160"/>
            <w:shd w:fill="2C3E50" w:val="clear"/>
            <w:vAlign w:val="center"/>
          </w:tcPr>
          <w:p>
            <w:pPr>
              <w:jc w:val="center"/>
            </w:pPr>
            <w:r>
              <w:rPr>
                <w:b/>
                <w:color w:val="FFFFFF"/>
                <w:sz w:val="18"/>
              </w:rPr>
              <w:t>Frecuencia</w:t>
            </w:r>
          </w:p>
        </w:tc>
      </w:tr>
      <w:tr>
        <w:tc>
          <w:tcPr>
            <w:tcW w:type="dxa" w:w="4320"/>
            <w:shd w:fill="ECF0F1" w:val="clear"/>
          </w:tcPr>
          <w:p>
            <w:pPr>
              <w:jc w:val="left"/>
            </w:pPr>
            <w:r>
              <w:rPr>
                <w:sz w:val="17"/>
              </w:rPr>
              <w:t>★ 2.3</w:t>
            </w:r>
          </w:p>
        </w:tc>
        <w:tc>
          <w:tcPr>
            <w:tcW w:type="dxa" w:w="2160"/>
            <w:shd w:fill="ECF0F1" w:val="clear"/>
          </w:tcPr>
          <w:p>
            <w:pPr>
              <w:jc w:val="center"/>
            </w:pPr>
            <w:r>
              <w:rPr>
                <w:sz w:val="17"/>
              </w:rPr>
              <w:t>6</w:t>
            </w:r>
          </w:p>
        </w:tc>
      </w:tr>
      <w:tr>
        <w:tc>
          <w:tcPr>
            <w:tcW w:type="dxa" w:w="4320"/>
          </w:tcPr>
          <w:p>
            <w:pPr>
              <w:jc w:val="left"/>
            </w:pPr>
            <w:r>
              <w:rPr>
                <w:sz w:val="17"/>
              </w:rPr>
              <w:t>1.3</w:t>
            </w:r>
          </w:p>
        </w:tc>
        <w:tc>
          <w:tcPr>
            <w:tcW w:type="dxa" w:w="2160"/>
          </w:tcPr>
          <w:p>
            <w:pPr>
              <w:jc w:val="center"/>
            </w:pPr>
            <w:r>
              <w:rPr>
                <w:sz w:val="17"/>
              </w:rPr>
              <w:t>5</w:t>
            </w:r>
          </w:p>
        </w:tc>
      </w:tr>
      <w:tr>
        <w:tc>
          <w:tcPr>
            <w:tcW w:type="dxa" w:w="4320"/>
            <w:shd w:fill="ECF0F1" w:val="clear"/>
          </w:tcPr>
          <w:p>
            <w:pPr>
              <w:jc w:val="left"/>
            </w:pPr>
            <w:r>
              <w:rPr>
                <w:sz w:val="17"/>
              </w:rPr>
              <w:t>4.3</w:t>
            </w:r>
          </w:p>
        </w:tc>
        <w:tc>
          <w:tcPr>
            <w:tcW w:type="dxa" w:w="2160"/>
            <w:shd w:fill="ECF0F1" w:val="clear"/>
          </w:tcPr>
          <w:p>
            <w:pPr>
              <w:jc w:val="center"/>
            </w:pPr>
            <w:r>
              <w:rPr>
                <w:sz w:val="17"/>
              </w:rPr>
              <w:t>4</w:t>
            </w:r>
          </w:p>
        </w:tc>
      </w:tr>
      <w:tr>
        <w:tc>
          <w:tcPr>
            <w:tcW w:type="dxa" w:w="4320"/>
          </w:tcPr>
          <w:p>
            <w:pPr>
              <w:jc w:val="left"/>
            </w:pPr>
            <w:r>
              <w:rPr>
                <w:sz w:val="17"/>
              </w:rPr>
              <w:t>6.2</w:t>
            </w:r>
          </w:p>
        </w:tc>
        <w:tc>
          <w:tcPr>
            <w:tcW w:type="dxa" w:w="2160"/>
          </w:tcPr>
          <w:p>
            <w:pPr>
              <w:jc w:val="center"/>
            </w:pPr>
            <w:r>
              <w:rPr>
                <w:sz w:val="17"/>
              </w:rPr>
              <w:t>4</w:t>
            </w:r>
          </w:p>
        </w:tc>
      </w:tr>
      <w:tr>
        <w:tc>
          <w:tcPr>
            <w:tcW w:type="dxa" w:w="4320"/>
            <w:shd w:fill="ECF0F1" w:val="clear"/>
          </w:tcPr>
          <w:p>
            <w:pPr>
              <w:jc w:val="left"/>
            </w:pPr>
            <w:r>
              <w:rPr>
                <w:sz w:val="17"/>
              </w:rPr>
              <w:t>1.1</w:t>
            </w:r>
          </w:p>
        </w:tc>
        <w:tc>
          <w:tcPr>
            <w:tcW w:type="dxa" w:w="2160"/>
            <w:shd w:fill="ECF0F1" w:val="clear"/>
          </w:tcPr>
          <w:p>
            <w:pPr>
              <w:jc w:val="center"/>
            </w:pPr>
            <w:r>
              <w:rPr>
                <w:sz w:val="17"/>
              </w:rPr>
              <w:t>3</w:t>
            </w:r>
          </w:p>
        </w:tc>
      </w:tr>
      <w:tr>
        <w:tc>
          <w:tcPr>
            <w:tcW w:type="dxa" w:w="4320"/>
          </w:tcPr>
          <w:p>
            <w:pPr>
              <w:jc w:val="left"/>
            </w:pPr>
            <w:r>
              <w:rPr>
                <w:sz w:val="17"/>
              </w:rPr>
              <w:t>4.2</w:t>
            </w:r>
          </w:p>
        </w:tc>
        <w:tc>
          <w:tcPr>
            <w:tcW w:type="dxa" w:w="2160"/>
          </w:tcPr>
          <w:p>
            <w:pPr>
              <w:jc w:val="center"/>
            </w:pPr>
            <w:r>
              <w:rPr>
                <w:sz w:val="17"/>
              </w:rPr>
              <w:t>1</w:t>
            </w:r>
          </w:p>
        </w:tc>
      </w:tr>
      <w:tr>
        <w:tc>
          <w:tcPr>
            <w:tcW w:type="dxa" w:w="4320"/>
            <w:shd w:fill="ECF0F1" w:val="clear"/>
          </w:tcPr>
          <w:p>
            <w:pPr>
              <w:jc w:val="left"/>
            </w:pPr>
            <w:r>
              <w:rPr>
                <w:sz w:val="17"/>
              </w:rPr>
              <w:t>6.1</w:t>
            </w:r>
          </w:p>
        </w:tc>
        <w:tc>
          <w:tcPr>
            <w:tcW w:type="dxa" w:w="2160"/>
            <w:shd w:fill="ECF0F1" w:val="clear"/>
          </w:tcPr>
          <w:p>
            <w:pPr>
              <w:jc w:val="center"/>
            </w:pPr>
            <w:r>
              <w:rPr>
                <w:sz w:val="17"/>
              </w:rPr>
              <w:t>1</w:t>
            </w:r>
          </w:p>
        </w:tc>
      </w:tr>
      <w:tr>
        <w:tc>
          <w:tcPr>
            <w:tcW w:type="dxa" w:w="4320"/>
          </w:tcPr>
          <w:p>
            <w:pPr>
              <w:jc w:val="left"/>
            </w:pPr>
            <w:r>
              <w:rPr>
                <w:sz w:val="17"/>
              </w:rPr>
              <w:t>5.1</w:t>
            </w:r>
          </w:p>
        </w:tc>
        <w:tc>
          <w:tcPr>
            <w:tcW w:type="dxa" w:w="2160"/>
          </w:tcPr>
          <w:p>
            <w:pPr>
              <w:jc w:val="center"/>
            </w:pPr>
            <w:r>
              <w:rPr>
                <w:sz w:val="17"/>
              </w:rPr>
              <w:t>1</w:t>
            </w:r>
          </w:p>
        </w:tc>
      </w:tr>
      <w:tr>
        <w:tc>
          <w:tcPr>
            <w:tcW w:type="dxa" w:w="4320"/>
            <w:shd w:fill="ECF0F1" w:val="clear"/>
          </w:tcPr>
          <w:p>
            <w:pPr>
              <w:jc w:val="left"/>
            </w:pPr>
            <w:r>
              <w:rPr>
                <w:sz w:val="17"/>
              </w:rPr>
              <w:t>3.2</w:t>
            </w:r>
          </w:p>
        </w:tc>
        <w:tc>
          <w:tcPr>
            <w:tcW w:type="dxa" w:w="2160"/>
            <w:shd w:fill="ECF0F1" w:val="clear"/>
          </w:tcPr>
          <w:p>
            <w:pPr>
              <w:jc w:val="center"/>
            </w:pPr>
            <w:r>
              <w:rPr>
                <w:sz w:val="17"/>
              </w:rPr>
              <w:t>1</w:t>
            </w:r>
          </w:p>
        </w:tc>
      </w:tr>
      <w:tr>
        <w:tc>
          <w:tcPr>
            <w:tcW w:type="dxa" w:w="4320"/>
          </w:tcPr>
          <w:p>
            <w:pPr>
              <w:jc w:val="left"/>
            </w:pPr>
            <w:r>
              <w:rPr>
                <w:sz w:val="17"/>
              </w:rPr>
              <w:t>2.2</w:t>
            </w:r>
          </w:p>
        </w:tc>
        <w:tc>
          <w:tcPr>
            <w:tcW w:type="dxa" w:w="2160"/>
          </w:tcPr>
          <w:p>
            <w:pPr>
              <w:jc w:val="center"/>
            </w:pPr>
            <w:r>
              <w:rPr>
                <w:sz w:val="17"/>
              </w:rPr>
              <w:t>1</w:t>
            </w:r>
          </w:p>
        </w:tc>
      </w:tr>
      <w:tr>
        <w:tc>
          <w:tcPr>
            <w:tcW w:type="dxa" w:w="4320"/>
            <w:shd w:fill="ECF0F1" w:val="clear"/>
          </w:tcPr>
          <w:p>
            <w:pPr>
              <w:jc w:val="left"/>
            </w:pPr>
            <w:r>
              <w:rPr>
                <w:sz w:val="17"/>
              </w:rPr>
              <w:t>1.2</w:t>
            </w:r>
          </w:p>
        </w:tc>
        <w:tc>
          <w:tcPr>
            <w:tcW w:type="dxa" w:w="2160"/>
            <w:shd w:fill="ECF0F1" w:val="clear"/>
          </w:tcPr>
          <w:p>
            <w:pPr>
              <w:jc w:val="center"/>
            </w:pPr>
            <w:r>
              <w:rPr>
                <w:sz w:val="17"/>
              </w:rPr>
              <w:t>1</w:t>
            </w:r>
          </w:p>
        </w:tc>
      </w:tr>
    </w:tbl>
    <w:p/>
    <w:p>
      <w:pPr>
        <w:pStyle w:val="Heading2"/>
      </w:pPr>
      <w:r>
        <w:t>Texto Descriptivo del Sistema</w:t>
      </w:r>
    </w:p>
    <w:p>
      <w:r>
        <w:rPr>
          <w:b w:val="0"/>
          <w:i/>
          <w:sz w:val="21"/>
        </w:rPr>
        <w:t>Atendiendo a los principios de la estadística descriptiva, la MODA de esta extracción es la Categoría Violencia Simbólica, lo que demuestra empíricamente que este es el patrón o táctica de ciberviolencia de género digital que predomina y rige el discurso de odio en la presente muestra (9 casos).</w:t>
      </w:r>
    </w:p>
    <w:p>
      <w:pPr>
        <w:pStyle w:val="Heading2"/>
      </w:pPr>
      <w:r>
        <w:t>Insights</w:t>
      </w:r>
    </w:p>
    <w:p>
      <w:pPr>
        <w:pStyle w:val="ListBullet"/>
      </w:pPr>
      <w:r>
        <w:rPr>
          <w:b/>
          <w:sz w:val="20"/>
        </w:rPr>
        <w:t xml:space="preserve">Distribución unimodal: </w:t>
      </w:r>
      <w:r>
        <w:rPr>
          <w:sz w:val="20"/>
        </w:rPr>
        <w:t>La distribución es unimodal con moda en 'VDG_VIOLENCIA_SIMBOLICA'. Existe un patrón dominante claro de ciberviolencia de género.</w:t>
      </w:r>
    </w:p>
    <w:p>
      <w:pPr>
        <w:pStyle w:val="ListBullet"/>
      </w:pPr>
      <w:r>
        <w:rPr>
          <w:b/>
          <w:sz w:val="20"/>
        </w:rPr>
        <w:t xml:space="preserve">Subdimensión modal: </w:t>
      </w:r>
      <w:r>
        <w:rPr>
          <w:sz w:val="20"/>
        </w:rPr>
        <w:t>A nivel de subdimensión, la moda es '2.3' con 6 casos. Esto permite identificar la variante específica más prevalente de violencia.</w:t>
      </w:r>
    </w:p>
    <w:p>
      <w:r>
        <w:br w:type="page"/>
      </w:r>
    </w:p>
    <w:p>
      <w:pPr>
        <w:pStyle w:val="Heading1"/>
      </w:pPr>
      <w:r>
        <w:t>4. Regla 4 — Análisis Bivariado (Tabulación Cruzada)</w:t>
      </w:r>
    </w:p>
    <w:p>
      <w:r>
        <w:rPr>
          <w:b w:val="0"/>
          <w:i w:val="0"/>
          <w:sz w:val="21"/>
        </w:rPr>
        <w:t>La cuarta regla cruza la categoría de violencia contra dimensiones independientes para detectar patrones de asociación. Se presentan tres cruces: categoría × subdimensión, categoría × página de Facebook y categoría × mes de publicación. Los porcentajes marginales de columna responden a la pregunta: '¿Del total de contenido que recibió la dimensión X, qué porcentaje corresponde a cada categoría de violencia?'</w:t>
      </w:r>
    </w:p>
    <w:p>
      <w:pPr>
        <w:pStyle w:val="Heading2"/>
      </w:pPr>
      <w:r>
        <w:t>Tabla Cruzada: Categoría × Subdimensión</w:t>
      </w:r>
    </w:p>
    <w:tbl>
      <w:tblPr>
        <w:tblStyle w:val="TableGrid"/>
        <w:tblW w:type="auto" w:w="0"/>
        <w:jc w:val="center"/>
        <w:tblLook w:firstColumn="1" w:firstRow="1" w:lastColumn="0" w:lastRow="0" w:noHBand="0" w:noVBand="1" w:val="04A0"/>
      </w:tblPr>
      <w:tblGrid>
        <w:gridCol w:w="451"/>
        <w:gridCol w:w="451"/>
        <w:gridCol w:w="451"/>
        <w:gridCol w:w="451"/>
        <w:gridCol w:w="451"/>
        <w:gridCol w:w="451"/>
        <w:gridCol w:w="451"/>
        <w:gridCol w:w="451"/>
        <w:gridCol w:w="451"/>
        <w:gridCol w:w="451"/>
        <w:gridCol w:w="451"/>
        <w:gridCol w:w="451"/>
        <w:gridCol w:w="451"/>
        <w:gridCol w:w="451"/>
        <w:gridCol w:w="451"/>
        <w:gridCol w:w="451"/>
        <w:gridCol w:w="451"/>
        <w:gridCol w:w="451"/>
        <w:gridCol w:w="451"/>
        <w:gridCol w:w="451"/>
      </w:tblGrid>
      <w:tr>
        <w:tc>
          <w:tcPr>
            <w:tcW w:type="dxa" w:w="451"/>
            <w:shd w:fill="2C3E50" w:val="clear"/>
            <w:vAlign w:val="center"/>
          </w:tcPr>
          <w:p>
            <w:pPr>
              <w:jc w:val="center"/>
            </w:pPr>
            <w:r>
              <w:rPr>
                <w:b/>
                <w:color w:val="FFFFFF"/>
                <w:sz w:val="18"/>
              </w:rPr>
              <w:t>Categoría</w:t>
            </w:r>
          </w:p>
        </w:tc>
        <w:tc>
          <w:tcPr>
            <w:tcW w:type="dxa" w:w="451"/>
            <w:shd w:fill="2C3E50" w:val="clear"/>
            <w:vAlign w:val="center"/>
          </w:tcPr>
          <w:p>
            <w:pPr>
              <w:jc w:val="center"/>
            </w:pPr>
            <w:r>
              <w:rPr>
                <w:b/>
                <w:color w:val="FFFFFF"/>
                <w:sz w:val="18"/>
              </w:rPr>
              <w:t>1.1</w:t>
            </w:r>
          </w:p>
        </w:tc>
        <w:tc>
          <w:tcPr>
            <w:tcW w:type="dxa" w:w="451"/>
            <w:shd w:fill="2C3E50" w:val="clear"/>
            <w:vAlign w:val="center"/>
          </w:tcPr>
          <w:p>
            <w:pPr>
              <w:jc w:val="center"/>
            </w:pPr>
            <w:r>
              <w:rPr>
                <w:b/>
                <w:color w:val="FFFFFF"/>
                <w:sz w:val="18"/>
              </w:rPr>
              <w:t>1.2</w:t>
            </w:r>
          </w:p>
        </w:tc>
        <w:tc>
          <w:tcPr>
            <w:tcW w:type="dxa" w:w="451"/>
            <w:shd w:fill="2C3E50" w:val="clear"/>
            <w:vAlign w:val="center"/>
          </w:tcPr>
          <w:p>
            <w:pPr>
              <w:jc w:val="center"/>
            </w:pPr>
            <w:r>
              <w:rPr>
                <w:b/>
                <w:color w:val="FFFFFF"/>
                <w:sz w:val="18"/>
              </w:rPr>
              <w:t>1.3</w:t>
            </w:r>
          </w:p>
        </w:tc>
        <w:tc>
          <w:tcPr>
            <w:tcW w:type="dxa" w:w="451"/>
            <w:shd w:fill="2C3E50" w:val="clear"/>
            <w:vAlign w:val="center"/>
          </w:tcPr>
          <w:p>
            <w:pPr>
              <w:jc w:val="center"/>
            </w:pPr>
            <w:r>
              <w:rPr>
                <w:b/>
                <w:color w:val="FFFFFF"/>
                <w:sz w:val="18"/>
              </w:rPr>
              <w:t>2.1</w:t>
            </w:r>
          </w:p>
        </w:tc>
        <w:tc>
          <w:tcPr>
            <w:tcW w:type="dxa" w:w="451"/>
            <w:shd w:fill="2C3E50" w:val="clear"/>
            <w:vAlign w:val="center"/>
          </w:tcPr>
          <w:p>
            <w:pPr>
              <w:jc w:val="center"/>
            </w:pPr>
            <w:r>
              <w:rPr>
                <w:b/>
                <w:color w:val="FFFFFF"/>
                <w:sz w:val="18"/>
              </w:rPr>
              <w:t>2.2</w:t>
            </w:r>
          </w:p>
        </w:tc>
        <w:tc>
          <w:tcPr>
            <w:tcW w:type="dxa" w:w="451"/>
            <w:shd w:fill="2C3E50" w:val="clear"/>
            <w:vAlign w:val="center"/>
          </w:tcPr>
          <w:p>
            <w:pPr>
              <w:jc w:val="center"/>
            </w:pPr>
            <w:r>
              <w:rPr>
                <w:b/>
                <w:color w:val="FFFFFF"/>
                <w:sz w:val="18"/>
              </w:rPr>
              <w:t>2.3</w:t>
            </w:r>
          </w:p>
        </w:tc>
        <w:tc>
          <w:tcPr>
            <w:tcW w:type="dxa" w:w="451"/>
            <w:shd w:fill="2C3E50" w:val="clear"/>
            <w:vAlign w:val="center"/>
          </w:tcPr>
          <w:p>
            <w:pPr>
              <w:jc w:val="center"/>
            </w:pPr>
            <w:r>
              <w:rPr>
                <w:b/>
                <w:color w:val="FFFFFF"/>
                <w:sz w:val="18"/>
              </w:rPr>
              <w:t>3.1</w:t>
            </w:r>
          </w:p>
        </w:tc>
        <w:tc>
          <w:tcPr>
            <w:tcW w:type="dxa" w:w="451"/>
            <w:shd w:fill="2C3E50" w:val="clear"/>
            <w:vAlign w:val="center"/>
          </w:tcPr>
          <w:p>
            <w:pPr>
              <w:jc w:val="center"/>
            </w:pPr>
            <w:r>
              <w:rPr>
                <w:b/>
                <w:color w:val="FFFFFF"/>
                <w:sz w:val="18"/>
              </w:rPr>
              <w:t>3.2</w:t>
            </w:r>
          </w:p>
        </w:tc>
        <w:tc>
          <w:tcPr>
            <w:tcW w:type="dxa" w:w="451"/>
            <w:shd w:fill="2C3E50" w:val="clear"/>
            <w:vAlign w:val="center"/>
          </w:tcPr>
          <w:p>
            <w:pPr>
              <w:jc w:val="center"/>
            </w:pPr>
            <w:r>
              <w:rPr>
                <w:b/>
                <w:color w:val="FFFFFF"/>
                <w:sz w:val="18"/>
              </w:rPr>
              <w:t>3.3</w:t>
            </w:r>
          </w:p>
        </w:tc>
        <w:tc>
          <w:tcPr>
            <w:tcW w:type="dxa" w:w="451"/>
            <w:shd w:fill="2C3E50" w:val="clear"/>
            <w:vAlign w:val="center"/>
          </w:tcPr>
          <w:p>
            <w:pPr>
              <w:jc w:val="center"/>
            </w:pPr>
            <w:r>
              <w:rPr>
                <w:b/>
                <w:color w:val="FFFFFF"/>
                <w:sz w:val="18"/>
              </w:rPr>
              <w:t>4.1</w:t>
            </w:r>
          </w:p>
        </w:tc>
        <w:tc>
          <w:tcPr>
            <w:tcW w:type="dxa" w:w="451"/>
            <w:shd w:fill="2C3E50" w:val="clear"/>
            <w:vAlign w:val="center"/>
          </w:tcPr>
          <w:p>
            <w:pPr>
              <w:jc w:val="center"/>
            </w:pPr>
            <w:r>
              <w:rPr>
                <w:b/>
                <w:color w:val="FFFFFF"/>
                <w:sz w:val="18"/>
              </w:rPr>
              <w:t>4.2</w:t>
            </w:r>
          </w:p>
        </w:tc>
        <w:tc>
          <w:tcPr>
            <w:tcW w:type="dxa" w:w="451"/>
            <w:shd w:fill="2C3E50" w:val="clear"/>
            <w:vAlign w:val="center"/>
          </w:tcPr>
          <w:p>
            <w:pPr>
              <w:jc w:val="center"/>
            </w:pPr>
            <w:r>
              <w:rPr>
                <w:b/>
                <w:color w:val="FFFFFF"/>
                <w:sz w:val="18"/>
              </w:rPr>
              <w:t>4.3</w:t>
            </w:r>
          </w:p>
        </w:tc>
        <w:tc>
          <w:tcPr>
            <w:tcW w:type="dxa" w:w="451"/>
            <w:shd w:fill="2C3E50" w:val="clear"/>
            <w:vAlign w:val="center"/>
          </w:tcPr>
          <w:p>
            <w:pPr>
              <w:jc w:val="center"/>
            </w:pPr>
            <w:r>
              <w:rPr>
                <w:b/>
                <w:color w:val="FFFFFF"/>
                <w:sz w:val="18"/>
              </w:rPr>
              <w:t>4.4</w:t>
            </w:r>
          </w:p>
        </w:tc>
        <w:tc>
          <w:tcPr>
            <w:tcW w:type="dxa" w:w="451"/>
            <w:shd w:fill="2C3E50" w:val="clear"/>
            <w:vAlign w:val="center"/>
          </w:tcPr>
          <w:p>
            <w:pPr>
              <w:jc w:val="center"/>
            </w:pPr>
            <w:r>
              <w:rPr>
                <w:b/>
                <w:color w:val="FFFFFF"/>
                <w:sz w:val="18"/>
              </w:rPr>
              <w:t>5.1</w:t>
            </w:r>
          </w:p>
        </w:tc>
        <w:tc>
          <w:tcPr>
            <w:tcW w:type="dxa" w:w="451"/>
            <w:shd w:fill="2C3E50" w:val="clear"/>
            <w:vAlign w:val="center"/>
          </w:tcPr>
          <w:p>
            <w:pPr>
              <w:jc w:val="center"/>
            </w:pPr>
            <w:r>
              <w:rPr>
                <w:b/>
                <w:color w:val="FFFFFF"/>
                <w:sz w:val="18"/>
              </w:rPr>
              <w:t>5.2</w:t>
            </w:r>
          </w:p>
        </w:tc>
        <w:tc>
          <w:tcPr>
            <w:tcW w:type="dxa" w:w="451"/>
            <w:shd w:fill="2C3E50" w:val="clear"/>
            <w:vAlign w:val="center"/>
          </w:tcPr>
          <w:p>
            <w:pPr>
              <w:jc w:val="center"/>
            </w:pPr>
            <w:r>
              <w:rPr>
                <w:b/>
                <w:color w:val="FFFFFF"/>
                <w:sz w:val="18"/>
              </w:rPr>
              <w:t>5.3</w:t>
            </w:r>
          </w:p>
        </w:tc>
        <w:tc>
          <w:tcPr>
            <w:tcW w:type="dxa" w:w="451"/>
            <w:shd w:fill="2C3E50" w:val="clear"/>
            <w:vAlign w:val="center"/>
          </w:tcPr>
          <w:p>
            <w:pPr>
              <w:jc w:val="center"/>
            </w:pPr>
            <w:r>
              <w:rPr>
                <w:b/>
                <w:color w:val="FFFFFF"/>
                <w:sz w:val="18"/>
              </w:rPr>
              <w:t>6.1</w:t>
            </w:r>
          </w:p>
        </w:tc>
        <w:tc>
          <w:tcPr>
            <w:tcW w:type="dxa" w:w="451"/>
            <w:shd w:fill="2C3E50" w:val="clear"/>
            <w:vAlign w:val="center"/>
          </w:tcPr>
          <w:p>
            <w:pPr>
              <w:jc w:val="center"/>
            </w:pPr>
            <w:r>
              <w:rPr>
                <w:b/>
                <w:color w:val="FFFFFF"/>
                <w:sz w:val="18"/>
              </w:rPr>
              <w:t>6.2</w:t>
            </w:r>
          </w:p>
        </w:tc>
        <w:tc>
          <w:tcPr>
            <w:tcW w:type="dxa" w:w="451"/>
            <w:shd w:fill="2C3E50" w:val="clear"/>
            <w:vAlign w:val="center"/>
          </w:tcPr>
          <w:p>
            <w:pPr>
              <w:jc w:val="center"/>
            </w:pPr>
            <w:r>
              <w:rPr>
                <w:b/>
                <w:color w:val="FFFFFF"/>
                <w:sz w:val="18"/>
              </w:rPr>
              <w:t>6.3</w:t>
            </w:r>
          </w:p>
        </w:tc>
      </w:tr>
      <w:tr>
        <w:tc>
          <w:tcPr>
            <w:tcW w:type="dxa" w:w="451"/>
            <w:shd w:fill="ECF0F1" w:val="clear"/>
          </w:tcPr>
          <w:p>
            <w:pPr>
              <w:jc w:val="left"/>
            </w:pPr>
            <w:r>
              <w:rPr>
                <w:sz w:val="17"/>
              </w:rPr>
              <w:t>VDG_VIOLENCIA_SIMBOLICA</w:t>
            </w:r>
          </w:p>
        </w:tc>
        <w:tc>
          <w:tcPr>
            <w:tcW w:type="dxa" w:w="451"/>
            <w:shd w:fill="ECF0F1" w:val="clear"/>
          </w:tcPr>
          <w:p>
            <w:pPr>
              <w:jc w:val="center"/>
            </w:pPr>
            <w:r>
              <w:rPr>
                <w:sz w:val="17"/>
              </w:rPr>
              <w:t>3</w:t>
            </w:r>
          </w:p>
        </w:tc>
        <w:tc>
          <w:tcPr>
            <w:tcW w:type="dxa" w:w="451"/>
            <w:shd w:fill="ECF0F1" w:val="clear"/>
          </w:tcPr>
          <w:p>
            <w:pPr>
              <w:jc w:val="center"/>
            </w:pPr>
            <w:r>
              <w:rPr>
                <w:sz w:val="17"/>
              </w:rPr>
              <w:t>1</w:t>
            </w:r>
          </w:p>
        </w:tc>
        <w:tc>
          <w:tcPr>
            <w:tcW w:type="dxa" w:w="451"/>
            <w:shd w:fill="ECF0F1" w:val="clear"/>
          </w:tcPr>
          <w:p>
            <w:pPr>
              <w:jc w:val="center"/>
            </w:pPr>
            <w:r>
              <w:rPr>
                <w:sz w:val="17"/>
              </w:rPr>
              <w:t>5</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r>
      <w:tr>
        <w:tc>
          <w:tcPr>
            <w:tcW w:type="dxa" w:w="451"/>
          </w:tcPr>
          <w:p>
            <w:pPr>
              <w:jc w:val="left"/>
            </w:pPr>
            <w:r>
              <w:rPr>
                <w:sz w:val="17"/>
              </w:rPr>
              <w:t>VDG_COSIFICACION_SLUTSHAMING</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1</w:t>
            </w:r>
          </w:p>
        </w:tc>
        <w:tc>
          <w:tcPr>
            <w:tcW w:type="dxa" w:w="451"/>
          </w:tcPr>
          <w:p>
            <w:pPr>
              <w:jc w:val="center"/>
            </w:pPr>
            <w:r>
              <w:rPr>
                <w:sz w:val="17"/>
              </w:rPr>
              <w:t>6</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r>
      <w:tr>
        <w:tc>
          <w:tcPr>
            <w:tcW w:type="dxa" w:w="451"/>
            <w:shd w:fill="ECF0F1" w:val="clear"/>
          </w:tcPr>
          <w:p>
            <w:pPr>
              <w:jc w:val="left"/>
            </w:pPr>
            <w:r>
              <w:rPr>
                <w:sz w:val="17"/>
              </w:rPr>
              <w:t>VDG_HOSTILIDAD_FEMINICIDIO</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1</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r>
      <w:tr>
        <w:tc>
          <w:tcPr>
            <w:tcW w:type="dxa" w:w="451"/>
          </w:tcPr>
          <w:p>
            <w:pPr>
              <w:jc w:val="left"/>
            </w:pPr>
            <w:r>
              <w:rPr>
                <w:sz w:val="17"/>
              </w:rPr>
              <w:t>VDG_MANOSFERA_ANTIFEMINISMO</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1</w:t>
            </w:r>
          </w:p>
        </w:tc>
        <w:tc>
          <w:tcPr>
            <w:tcW w:type="dxa" w:w="451"/>
          </w:tcPr>
          <w:p>
            <w:pPr>
              <w:jc w:val="center"/>
            </w:pPr>
            <w:r>
              <w:rPr>
                <w:sz w:val="17"/>
              </w:rPr>
              <w:t>4</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r>
      <w:tr>
        <w:tc>
          <w:tcPr>
            <w:tcW w:type="dxa" w:w="451"/>
            <w:shd w:fill="ECF0F1" w:val="clear"/>
          </w:tcPr>
          <w:p>
            <w:pPr>
              <w:jc w:val="left"/>
            </w:pPr>
            <w:r>
              <w:rPr>
                <w:sz w:val="17"/>
              </w:rPr>
              <w:t>VDG_DESACREDITACION_ACTIVISTAS</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1</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r>
      <w:tr>
        <w:tc>
          <w:tcPr>
            <w:tcW w:type="dxa" w:w="451"/>
          </w:tcPr>
          <w:p>
            <w:pPr>
              <w:jc w:val="left"/>
            </w:pPr>
            <w:r>
              <w:rPr>
                <w:sz w:val="17"/>
              </w:rPr>
              <w:t>VDG_SALVAGUARDA_FALSO_POSITIVO</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1</w:t>
            </w:r>
          </w:p>
        </w:tc>
        <w:tc>
          <w:tcPr>
            <w:tcW w:type="dxa" w:w="451"/>
          </w:tcPr>
          <w:p>
            <w:pPr>
              <w:jc w:val="center"/>
            </w:pPr>
            <w:r>
              <w:rPr>
                <w:sz w:val="17"/>
              </w:rPr>
              <w:t>4</w:t>
            </w:r>
          </w:p>
        </w:tc>
        <w:tc>
          <w:tcPr>
            <w:tcW w:type="dxa" w:w="451"/>
          </w:tcPr>
          <w:p>
            <w:pPr>
              <w:jc w:val="center"/>
            </w:pPr>
            <w:r>
              <w:rPr>
                <w:sz w:val="17"/>
              </w:rPr>
              <w:t>0</w:t>
            </w:r>
          </w:p>
        </w:tc>
      </w:tr>
    </w:tbl>
    <w:p/>
    <w:p>
      <w:pPr>
        <w:pStyle w:val="Heading2"/>
      </w:pPr>
      <w:r>
        <w:t>Porcentajes Marginales de Columna (%)</w:t>
      </w:r>
    </w:p>
    <w:tbl>
      <w:tblPr>
        <w:tblStyle w:val="TableGrid"/>
        <w:tblW w:type="auto" w:w="0"/>
        <w:jc w:val="center"/>
        <w:tblLook w:firstColumn="1" w:firstRow="1" w:lastColumn="0" w:lastRow="0" w:noHBand="0" w:noVBand="1" w:val="04A0"/>
      </w:tblPr>
      <w:tblGrid>
        <w:gridCol w:w="451"/>
        <w:gridCol w:w="451"/>
        <w:gridCol w:w="451"/>
        <w:gridCol w:w="451"/>
        <w:gridCol w:w="451"/>
        <w:gridCol w:w="451"/>
        <w:gridCol w:w="451"/>
        <w:gridCol w:w="451"/>
        <w:gridCol w:w="451"/>
        <w:gridCol w:w="451"/>
        <w:gridCol w:w="451"/>
        <w:gridCol w:w="451"/>
        <w:gridCol w:w="451"/>
        <w:gridCol w:w="451"/>
        <w:gridCol w:w="451"/>
        <w:gridCol w:w="451"/>
        <w:gridCol w:w="451"/>
        <w:gridCol w:w="451"/>
        <w:gridCol w:w="451"/>
        <w:gridCol w:w="451"/>
      </w:tblGrid>
      <w:tr>
        <w:tc>
          <w:tcPr>
            <w:tcW w:type="dxa" w:w="451"/>
            <w:shd w:fill="2C3E50" w:val="clear"/>
            <w:vAlign w:val="center"/>
          </w:tcPr>
          <w:p>
            <w:pPr>
              <w:jc w:val="center"/>
            </w:pPr>
            <w:r>
              <w:rPr>
                <w:b/>
                <w:color w:val="FFFFFF"/>
                <w:sz w:val="18"/>
              </w:rPr>
              <w:t>Categoría</w:t>
            </w:r>
          </w:p>
        </w:tc>
        <w:tc>
          <w:tcPr>
            <w:tcW w:type="dxa" w:w="451"/>
            <w:shd w:fill="2C3E50" w:val="clear"/>
            <w:vAlign w:val="center"/>
          </w:tcPr>
          <w:p>
            <w:pPr>
              <w:jc w:val="center"/>
            </w:pPr>
            <w:r>
              <w:rPr>
                <w:b/>
                <w:color w:val="FFFFFF"/>
                <w:sz w:val="18"/>
              </w:rPr>
              <w:t>1.1</w:t>
            </w:r>
          </w:p>
        </w:tc>
        <w:tc>
          <w:tcPr>
            <w:tcW w:type="dxa" w:w="451"/>
            <w:shd w:fill="2C3E50" w:val="clear"/>
            <w:vAlign w:val="center"/>
          </w:tcPr>
          <w:p>
            <w:pPr>
              <w:jc w:val="center"/>
            </w:pPr>
            <w:r>
              <w:rPr>
                <w:b/>
                <w:color w:val="FFFFFF"/>
                <w:sz w:val="18"/>
              </w:rPr>
              <w:t>1.2</w:t>
            </w:r>
          </w:p>
        </w:tc>
        <w:tc>
          <w:tcPr>
            <w:tcW w:type="dxa" w:w="451"/>
            <w:shd w:fill="2C3E50" w:val="clear"/>
            <w:vAlign w:val="center"/>
          </w:tcPr>
          <w:p>
            <w:pPr>
              <w:jc w:val="center"/>
            </w:pPr>
            <w:r>
              <w:rPr>
                <w:b/>
                <w:color w:val="FFFFFF"/>
                <w:sz w:val="18"/>
              </w:rPr>
              <w:t>1.3</w:t>
            </w:r>
          </w:p>
        </w:tc>
        <w:tc>
          <w:tcPr>
            <w:tcW w:type="dxa" w:w="451"/>
            <w:shd w:fill="2C3E50" w:val="clear"/>
            <w:vAlign w:val="center"/>
          </w:tcPr>
          <w:p>
            <w:pPr>
              <w:jc w:val="center"/>
            </w:pPr>
            <w:r>
              <w:rPr>
                <w:b/>
                <w:color w:val="FFFFFF"/>
                <w:sz w:val="18"/>
              </w:rPr>
              <w:t>2.1</w:t>
            </w:r>
          </w:p>
        </w:tc>
        <w:tc>
          <w:tcPr>
            <w:tcW w:type="dxa" w:w="451"/>
            <w:shd w:fill="2C3E50" w:val="clear"/>
            <w:vAlign w:val="center"/>
          </w:tcPr>
          <w:p>
            <w:pPr>
              <w:jc w:val="center"/>
            </w:pPr>
            <w:r>
              <w:rPr>
                <w:b/>
                <w:color w:val="FFFFFF"/>
                <w:sz w:val="18"/>
              </w:rPr>
              <w:t>2.2</w:t>
            </w:r>
          </w:p>
        </w:tc>
        <w:tc>
          <w:tcPr>
            <w:tcW w:type="dxa" w:w="451"/>
            <w:shd w:fill="2C3E50" w:val="clear"/>
            <w:vAlign w:val="center"/>
          </w:tcPr>
          <w:p>
            <w:pPr>
              <w:jc w:val="center"/>
            </w:pPr>
            <w:r>
              <w:rPr>
                <w:b/>
                <w:color w:val="FFFFFF"/>
                <w:sz w:val="18"/>
              </w:rPr>
              <w:t>2.3</w:t>
            </w:r>
          </w:p>
        </w:tc>
        <w:tc>
          <w:tcPr>
            <w:tcW w:type="dxa" w:w="451"/>
            <w:shd w:fill="2C3E50" w:val="clear"/>
            <w:vAlign w:val="center"/>
          </w:tcPr>
          <w:p>
            <w:pPr>
              <w:jc w:val="center"/>
            </w:pPr>
            <w:r>
              <w:rPr>
                <w:b/>
                <w:color w:val="FFFFFF"/>
                <w:sz w:val="18"/>
              </w:rPr>
              <w:t>3.1</w:t>
            </w:r>
          </w:p>
        </w:tc>
        <w:tc>
          <w:tcPr>
            <w:tcW w:type="dxa" w:w="451"/>
            <w:shd w:fill="2C3E50" w:val="clear"/>
            <w:vAlign w:val="center"/>
          </w:tcPr>
          <w:p>
            <w:pPr>
              <w:jc w:val="center"/>
            </w:pPr>
            <w:r>
              <w:rPr>
                <w:b/>
                <w:color w:val="FFFFFF"/>
                <w:sz w:val="18"/>
              </w:rPr>
              <w:t>3.2</w:t>
            </w:r>
          </w:p>
        </w:tc>
        <w:tc>
          <w:tcPr>
            <w:tcW w:type="dxa" w:w="451"/>
            <w:shd w:fill="2C3E50" w:val="clear"/>
            <w:vAlign w:val="center"/>
          </w:tcPr>
          <w:p>
            <w:pPr>
              <w:jc w:val="center"/>
            </w:pPr>
            <w:r>
              <w:rPr>
                <w:b/>
                <w:color w:val="FFFFFF"/>
                <w:sz w:val="18"/>
              </w:rPr>
              <w:t>3.3</w:t>
            </w:r>
          </w:p>
        </w:tc>
        <w:tc>
          <w:tcPr>
            <w:tcW w:type="dxa" w:w="451"/>
            <w:shd w:fill="2C3E50" w:val="clear"/>
            <w:vAlign w:val="center"/>
          </w:tcPr>
          <w:p>
            <w:pPr>
              <w:jc w:val="center"/>
            </w:pPr>
            <w:r>
              <w:rPr>
                <w:b/>
                <w:color w:val="FFFFFF"/>
                <w:sz w:val="18"/>
              </w:rPr>
              <w:t>4.1</w:t>
            </w:r>
          </w:p>
        </w:tc>
        <w:tc>
          <w:tcPr>
            <w:tcW w:type="dxa" w:w="451"/>
            <w:shd w:fill="2C3E50" w:val="clear"/>
            <w:vAlign w:val="center"/>
          </w:tcPr>
          <w:p>
            <w:pPr>
              <w:jc w:val="center"/>
            </w:pPr>
            <w:r>
              <w:rPr>
                <w:b/>
                <w:color w:val="FFFFFF"/>
                <w:sz w:val="18"/>
              </w:rPr>
              <w:t>4.2</w:t>
            </w:r>
          </w:p>
        </w:tc>
        <w:tc>
          <w:tcPr>
            <w:tcW w:type="dxa" w:w="451"/>
            <w:shd w:fill="2C3E50" w:val="clear"/>
            <w:vAlign w:val="center"/>
          </w:tcPr>
          <w:p>
            <w:pPr>
              <w:jc w:val="center"/>
            </w:pPr>
            <w:r>
              <w:rPr>
                <w:b/>
                <w:color w:val="FFFFFF"/>
                <w:sz w:val="18"/>
              </w:rPr>
              <w:t>4.3</w:t>
            </w:r>
          </w:p>
        </w:tc>
        <w:tc>
          <w:tcPr>
            <w:tcW w:type="dxa" w:w="451"/>
            <w:shd w:fill="2C3E50" w:val="clear"/>
            <w:vAlign w:val="center"/>
          </w:tcPr>
          <w:p>
            <w:pPr>
              <w:jc w:val="center"/>
            </w:pPr>
            <w:r>
              <w:rPr>
                <w:b/>
                <w:color w:val="FFFFFF"/>
                <w:sz w:val="18"/>
              </w:rPr>
              <w:t>4.4</w:t>
            </w:r>
          </w:p>
        </w:tc>
        <w:tc>
          <w:tcPr>
            <w:tcW w:type="dxa" w:w="451"/>
            <w:shd w:fill="2C3E50" w:val="clear"/>
            <w:vAlign w:val="center"/>
          </w:tcPr>
          <w:p>
            <w:pPr>
              <w:jc w:val="center"/>
            </w:pPr>
            <w:r>
              <w:rPr>
                <w:b/>
                <w:color w:val="FFFFFF"/>
                <w:sz w:val="18"/>
              </w:rPr>
              <w:t>5.1</w:t>
            </w:r>
          </w:p>
        </w:tc>
        <w:tc>
          <w:tcPr>
            <w:tcW w:type="dxa" w:w="451"/>
            <w:shd w:fill="2C3E50" w:val="clear"/>
            <w:vAlign w:val="center"/>
          </w:tcPr>
          <w:p>
            <w:pPr>
              <w:jc w:val="center"/>
            </w:pPr>
            <w:r>
              <w:rPr>
                <w:b/>
                <w:color w:val="FFFFFF"/>
                <w:sz w:val="18"/>
              </w:rPr>
              <w:t>5.2</w:t>
            </w:r>
          </w:p>
        </w:tc>
        <w:tc>
          <w:tcPr>
            <w:tcW w:type="dxa" w:w="451"/>
            <w:shd w:fill="2C3E50" w:val="clear"/>
            <w:vAlign w:val="center"/>
          </w:tcPr>
          <w:p>
            <w:pPr>
              <w:jc w:val="center"/>
            </w:pPr>
            <w:r>
              <w:rPr>
                <w:b/>
                <w:color w:val="FFFFFF"/>
                <w:sz w:val="18"/>
              </w:rPr>
              <w:t>5.3</w:t>
            </w:r>
          </w:p>
        </w:tc>
        <w:tc>
          <w:tcPr>
            <w:tcW w:type="dxa" w:w="451"/>
            <w:shd w:fill="2C3E50" w:val="clear"/>
            <w:vAlign w:val="center"/>
          </w:tcPr>
          <w:p>
            <w:pPr>
              <w:jc w:val="center"/>
            </w:pPr>
            <w:r>
              <w:rPr>
                <w:b/>
                <w:color w:val="FFFFFF"/>
                <w:sz w:val="18"/>
              </w:rPr>
              <w:t>6.1</w:t>
            </w:r>
          </w:p>
        </w:tc>
        <w:tc>
          <w:tcPr>
            <w:tcW w:type="dxa" w:w="451"/>
            <w:shd w:fill="2C3E50" w:val="clear"/>
            <w:vAlign w:val="center"/>
          </w:tcPr>
          <w:p>
            <w:pPr>
              <w:jc w:val="center"/>
            </w:pPr>
            <w:r>
              <w:rPr>
                <w:b/>
                <w:color w:val="FFFFFF"/>
                <w:sz w:val="18"/>
              </w:rPr>
              <w:t>6.2</w:t>
            </w:r>
          </w:p>
        </w:tc>
        <w:tc>
          <w:tcPr>
            <w:tcW w:type="dxa" w:w="451"/>
            <w:shd w:fill="2C3E50" w:val="clear"/>
            <w:vAlign w:val="center"/>
          </w:tcPr>
          <w:p>
            <w:pPr>
              <w:jc w:val="center"/>
            </w:pPr>
            <w:r>
              <w:rPr>
                <w:b/>
                <w:color w:val="FFFFFF"/>
                <w:sz w:val="18"/>
              </w:rPr>
              <w:t>6.3</w:t>
            </w:r>
          </w:p>
        </w:tc>
      </w:tr>
      <w:tr>
        <w:tc>
          <w:tcPr>
            <w:tcW w:type="dxa" w:w="451"/>
            <w:shd w:fill="ECF0F1" w:val="clear"/>
          </w:tcPr>
          <w:p>
            <w:pPr>
              <w:jc w:val="left"/>
            </w:pPr>
            <w:r>
              <w:rPr>
                <w:sz w:val="17"/>
              </w:rPr>
              <w:t>VDG_VIOLENCIA_SIMBOLICA</w:t>
            </w:r>
          </w:p>
        </w:tc>
        <w:tc>
          <w:tcPr>
            <w:tcW w:type="dxa" w:w="451"/>
            <w:shd w:fill="ECF0F1" w:val="clear"/>
          </w:tcPr>
          <w:p>
            <w:pPr>
              <w:jc w:val="center"/>
            </w:pPr>
            <w:r>
              <w:rPr>
                <w:sz w:val="17"/>
              </w:rPr>
              <w:t>100.0%</w:t>
            </w:r>
          </w:p>
        </w:tc>
        <w:tc>
          <w:tcPr>
            <w:tcW w:type="dxa" w:w="451"/>
            <w:shd w:fill="ECF0F1" w:val="clear"/>
          </w:tcPr>
          <w:p>
            <w:pPr>
              <w:jc w:val="center"/>
            </w:pPr>
            <w:r>
              <w:rPr>
                <w:sz w:val="17"/>
              </w:rPr>
              <w:t>100.0%</w:t>
            </w:r>
          </w:p>
        </w:tc>
        <w:tc>
          <w:tcPr>
            <w:tcW w:type="dxa" w:w="451"/>
            <w:shd w:fill="ECF0F1" w:val="clear"/>
          </w:tcPr>
          <w:p>
            <w:pPr>
              <w:jc w:val="center"/>
            </w:pPr>
            <w:r>
              <w:rPr>
                <w:sz w:val="17"/>
              </w:rPr>
              <w:t>100.0%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r>
      <w:tr>
        <w:tc>
          <w:tcPr>
            <w:tcW w:type="dxa" w:w="451"/>
          </w:tcPr>
          <w:p>
            <w:pPr>
              <w:jc w:val="left"/>
            </w:pPr>
            <w:r>
              <w:rPr>
                <w:sz w:val="17"/>
              </w:rPr>
              <w:t>VDG_COSIFICACION_SLUTSHAMING</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100.0%</w:t>
            </w:r>
          </w:p>
        </w:tc>
        <w:tc>
          <w:tcPr>
            <w:tcW w:type="dxa" w:w="451"/>
          </w:tcPr>
          <w:p>
            <w:pPr>
              <w:jc w:val="center"/>
            </w:pPr>
            <w:r>
              <w:rPr>
                <w:sz w:val="17"/>
              </w:rPr>
              <w:t>100.0%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r>
      <w:tr>
        <w:tc>
          <w:tcPr>
            <w:tcW w:type="dxa" w:w="451"/>
            <w:shd w:fill="ECF0F1" w:val="clear"/>
          </w:tcPr>
          <w:p>
            <w:pPr>
              <w:jc w:val="left"/>
            </w:pPr>
            <w:r>
              <w:rPr>
                <w:sz w:val="17"/>
              </w:rPr>
              <w:t>VDG_HOSTILIDAD_FEMINICIDIO</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100.0%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r>
      <w:tr>
        <w:tc>
          <w:tcPr>
            <w:tcW w:type="dxa" w:w="451"/>
          </w:tcPr>
          <w:p>
            <w:pPr>
              <w:jc w:val="left"/>
            </w:pPr>
            <w:r>
              <w:rPr>
                <w:sz w:val="17"/>
              </w:rPr>
              <w:t>VDG_MANOSFERA_ANTIFEMINISMO</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100.0%</w:t>
            </w:r>
          </w:p>
        </w:tc>
        <w:tc>
          <w:tcPr>
            <w:tcW w:type="dxa" w:w="451"/>
          </w:tcPr>
          <w:p>
            <w:pPr>
              <w:jc w:val="center"/>
            </w:pPr>
            <w:r>
              <w:rPr>
                <w:sz w:val="17"/>
              </w:rPr>
              <w:t>100.0%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r>
      <w:tr>
        <w:tc>
          <w:tcPr>
            <w:tcW w:type="dxa" w:w="451"/>
            <w:shd w:fill="ECF0F1" w:val="clear"/>
          </w:tcPr>
          <w:p>
            <w:pPr>
              <w:jc w:val="left"/>
            </w:pPr>
            <w:r>
              <w:rPr>
                <w:sz w:val="17"/>
              </w:rPr>
              <w:t>VDG_DESACREDITACION_ACTIVISTAS</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100.0%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r>
      <w:tr>
        <w:tc>
          <w:tcPr>
            <w:tcW w:type="dxa" w:w="451"/>
          </w:tcPr>
          <w:p>
            <w:pPr>
              <w:jc w:val="left"/>
            </w:pPr>
            <w:r>
              <w:rPr>
                <w:sz w:val="17"/>
              </w:rPr>
              <w:t>VDG_SALVAGUARDA_FALSO_POSITIVO</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100.0%</w:t>
            </w:r>
          </w:p>
        </w:tc>
        <w:tc>
          <w:tcPr>
            <w:tcW w:type="dxa" w:w="451"/>
          </w:tcPr>
          <w:p>
            <w:pPr>
              <w:jc w:val="center"/>
            </w:pPr>
            <w:r>
              <w:rPr>
                <w:sz w:val="17"/>
              </w:rPr>
              <w:t>100.0%</w:t>
            </w:r>
          </w:p>
        </w:tc>
        <w:tc>
          <w:tcPr>
            <w:tcW w:type="dxa" w:w="451"/>
          </w:tcPr>
          <w:p>
            <w:pPr>
              <w:jc w:val="center"/>
            </w:pPr>
            <w:r>
              <w:rPr>
                <w:sz w:val="17"/>
              </w:rPr>
              <w:t>0.0%</w:t>
            </w:r>
          </w:p>
        </w:tc>
      </w:tr>
    </w:tbl>
    <w:p/>
    <w:p>
      <w:pPr>
        <w:pStyle w:val="Heading2"/>
      </w:pPr>
      <w:r>
        <w:t>Alerta de Patrón Detectado</w:t>
      </w:r>
    </w:p>
    <w:p>
      <w:r>
        <w:rPr>
          <w:b w:val="0"/>
          <w:i/>
          <w:sz w:val="21"/>
        </w:rPr>
        <w:t>Al ejecutar la tabulación cruzada, el sistema detecta que la subdimensión 1.1 detona principalmente la categoría de Violencia Simbólica (100.0% de los casos válidos de esa columna, n=3), evidenciando un patrón de comportamiento relacional en la muestra.</w:t>
      </w:r>
    </w:p>
    <w:p>
      <w:pPr>
        <w:pStyle w:val="Heading2"/>
      </w:pPr>
      <w:r>
        <w:t>Tabla Cruzada: Categoría × Página</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fill="2C3E50" w:val="clear"/>
            <w:vAlign w:val="center"/>
          </w:tcPr>
          <w:p>
            <w:pPr>
              <w:jc w:val="center"/>
            </w:pPr>
            <w:r>
              <w:rPr>
                <w:b/>
                <w:color w:val="FFFFFF"/>
                <w:sz w:val="18"/>
              </w:rPr>
              <w:t>Categoría</w:t>
            </w:r>
          </w:p>
        </w:tc>
        <w:tc>
          <w:tcPr>
            <w:tcW w:type="dxa" w:w="2257"/>
            <w:shd w:fill="2C3E50" w:val="clear"/>
            <w:vAlign w:val="center"/>
          </w:tcPr>
          <w:p>
            <w:pPr>
              <w:jc w:val="center"/>
            </w:pPr>
            <w:r>
              <w:rPr>
                <w:b/>
                <w:color w:val="FFFFFF"/>
                <w:sz w:val="18"/>
              </w:rPr>
              <w:t>0432b42700c12b1b</w:t>
            </w:r>
          </w:p>
        </w:tc>
        <w:tc>
          <w:tcPr>
            <w:tcW w:type="dxa" w:w="2257"/>
            <w:shd w:fill="2C3E50" w:val="clear"/>
            <w:vAlign w:val="center"/>
          </w:tcPr>
          <w:p>
            <w:pPr>
              <w:jc w:val="center"/>
            </w:pPr>
            <w:r>
              <w:rPr>
                <w:b/>
                <w:color w:val="FFFFFF"/>
                <w:sz w:val="18"/>
              </w:rPr>
              <w:t>0f3e884a8a124fd1</w:t>
            </w:r>
          </w:p>
        </w:tc>
        <w:tc>
          <w:tcPr>
            <w:tcW w:type="dxa" w:w="2257"/>
            <w:shd w:fill="2C3E50" w:val="clear"/>
            <w:vAlign w:val="center"/>
          </w:tcPr>
          <w:p>
            <w:pPr>
              <w:jc w:val="center"/>
            </w:pPr>
            <w:r>
              <w:rPr>
                <w:b/>
                <w:color w:val="FFFFFF"/>
                <w:sz w:val="18"/>
              </w:rPr>
              <w:t>Sin página</w:t>
            </w:r>
          </w:p>
        </w:tc>
      </w:tr>
      <w:tr>
        <w:tc>
          <w:tcPr>
            <w:tcW w:type="dxa" w:w="2257"/>
            <w:shd w:fill="ECF0F1" w:val="clear"/>
          </w:tcPr>
          <w:p>
            <w:pPr>
              <w:jc w:val="left"/>
            </w:pPr>
            <w:r>
              <w:rPr>
                <w:sz w:val="17"/>
              </w:rPr>
              <w:t>VDG_VIOLENCIA_SIMBOLICA</w:t>
            </w:r>
          </w:p>
        </w:tc>
        <w:tc>
          <w:tcPr>
            <w:tcW w:type="dxa" w:w="2257"/>
            <w:shd w:fill="ECF0F1" w:val="clear"/>
          </w:tcPr>
          <w:p>
            <w:pPr>
              <w:jc w:val="center"/>
            </w:pPr>
            <w:r>
              <w:rPr>
                <w:sz w:val="17"/>
              </w:rPr>
              <w:t>6</w:t>
            </w:r>
          </w:p>
        </w:tc>
        <w:tc>
          <w:tcPr>
            <w:tcW w:type="dxa" w:w="2257"/>
            <w:shd w:fill="ECF0F1" w:val="clear"/>
          </w:tcPr>
          <w:p>
            <w:pPr>
              <w:jc w:val="center"/>
            </w:pPr>
            <w:r>
              <w:rPr>
                <w:sz w:val="17"/>
              </w:rPr>
              <w:t>2</w:t>
            </w:r>
          </w:p>
        </w:tc>
        <w:tc>
          <w:tcPr>
            <w:tcW w:type="dxa" w:w="2257"/>
            <w:shd w:fill="ECF0F1" w:val="clear"/>
          </w:tcPr>
          <w:p>
            <w:pPr>
              <w:jc w:val="center"/>
            </w:pPr>
            <w:r>
              <w:rPr>
                <w:sz w:val="17"/>
              </w:rPr>
              <w:t>1</w:t>
            </w:r>
          </w:p>
        </w:tc>
      </w:tr>
      <w:tr>
        <w:tc>
          <w:tcPr>
            <w:tcW w:type="dxa" w:w="2257"/>
          </w:tcPr>
          <w:p>
            <w:pPr>
              <w:jc w:val="left"/>
            </w:pPr>
            <w:r>
              <w:rPr>
                <w:sz w:val="17"/>
              </w:rPr>
              <w:t>VDG_COSIFICACION_SLUTSHAMING</w:t>
            </w:r>
          </w:p>
        </w:tc>
        <w:tc>
          <w:tcPr>
            <w:tcW w:type="dxa" w:w="2257"/>
          </w:tcPr>
          <w:p>
            <w:pPr>
              <w:jc w:val="center"/>
            </w:pPr>
            <w:r>
              <w:rPr>
                <w:sz w:val="17"/>
              </w:rPr>
              <w:t>4</w:t>
            </w:r>
          </w:p>
        </w:tc>
        <w:tc>
          <w:tcPr>
            <w:tcW w:type="dxa" w:w="2257"/>
          </w:tcPr>
          <w:p>
            <w:pPr>
              <w:jc w:val="center"/>
            </w:pPr>
            <w:r>
              <w:rPr>
                <w:sz w:val="17"/>
              </w:rPr>
              <w:t>1</w:t>
            </w:r>
          </w:p>
        </w:tc>
        <w:tc>
          <w:tcPr>
            <w:tcW w:type="dxa" w:w="2257"/>
          </w:tcPr>
          <w:p>
            <w:pPr>
              <w:jc w:val="center"/>
            </w:pPr>
            <w:r>
              <w:rPr>
                <w:sz w:val="17"/>
              </w:rPr>
              <w:t>2</w:t>
            </w:r>
          </w:p>
        </w:tc>
      </w:tr>
      <w:tr>
        <w:tc>
          <w:tcPr>
            <w:tcW w:type="dxa" w:w="2257"/>
            <w:shd w:fill="ECF0F1" w:val="clear"/>
          </w:tcPr>
          <w:p>
            <w:pPr>
              <w:jc w:val="left"/>
            </w:pPr>
            <w:r>
              <w:rPr>
                <w:sz w:val="17"/>
              </w:rPr>
              <w:t>VDG_SALVAGUARDA_FALSO_POSITIVO</w:t>
            </w:r>
          </w:p>
        </w:tc>
        <w:tc>
          <w:tcPr>
            <w:tcW w:type="dxa" w:w="2257"/>
            <w:shd w:fill="ECF0F1" w:val="clear"/>
          </w:tcPr>
          <w:p>
            <w:pPr>
              <w:jc w:val="center"/>
            </w:pPr>
            <w:r>
              <w:rPr>
                <w:sz w:val="17"/>
              </w:rPr>
              <w:t>2</w:t>
            </w:r>
          </w:p>
        </w:tc>
        <w:tc>
          <w:tcPr>
            <w:tcW w:type="dxa" w:w="2257"/>
            <w:shd w:fill="ECF0F1" w:val="clear"/>
          </w:tcPr>
          <w:p>
            <w:pPr>
              <w:jc w:val="center"/>
            </w:pPr>
            <w:r>
              <w:rPr>
                <w:sz w:val="17"/>
              </w:rPr>
              <w:t>0</w:t>
            </w:r>
          </w:p>
        </w:tc>
        <w:tc>
          <w:tcPr>
            <w:tcW w:type="dxa" w:w="2257"/>
            <w:shd w:fill="ECF0F1" w:val="clear"/>
          </w:tcPr>
          <w:p>
            <w:pPr>
              <w:jc w:val="center"/>
            </w:pPr>
            <w:r>
              <w:rPr>
                <w:sz w:val="17"/>
              </w:rPr>
              <w:t>3</w:t>
            </w:r>
          </w:p>
        </w:tc>
      </w:tr>
      <w:tr>
        <w:tc>
          <w:tcPr>
            <w:tcW w:type="dxa" w:w="2257"/>
          </w:tcPr>
          <w:p>
            <w:pPr>
              <w:jc w:val="left"/>
            </w:pPr>
            <w:r>
              <w:rPr>
                <w:sz w:val="17"/>
              </w:rPr>
              <w:t>VDG_MANOSFERA_ANTIFEMINISMO</w:t>
            </w:r>
          </w:p>
        </w:tc>
        <w:tc>
          <w:tcPr>
            <w:tcW w:type="dxa" w:w="2257"/>
          </w:tcPr>
          <w:p>
            <w:pPr>
              <w:jc w:val="center"/>
            </w:pPr>
            <w:r>
              <w:rPr>
                <w:sz w:val="17"/>
              </w:rPr>
              <w:t>4</w:t>
            </w:r>
          </w:p>
        </w:tc>
        <w:tc>
          <w:tcPr>
            <w:tcW w:type="dxa" w:w="2257"/>
          </w:tcPr>
          <w:p>
            <w:pPr>
              <w:jc w:val="center"/>
            </w:pPr>
            <w:r>
              <w:rPr>
                <w:sz w:val="17"/>
              </w:rPr>
              <w:t>1</w:t>
            </w:r>
          </w:p>
        </w:tc>
        <w:tc>
          <w:tcPr>
            <w:tcW w:type="dxa" w:w="2257"/>
          </w:tcPr>
          <w:p>
            <w:pPr>
              <w:jc w:val="center"/>
            </w:pPr>
            <w:r>
              <w:rPr>
                <w:sz w:val="17"/>
              </w:rPr>
              <w:t>0</w:t>
            </w:r>
          </w:p>
        </w:tc>
      </w:tr>
      <w:tr>
        <w:tc>
          <w:tcPr>
            <w:tcW w:type="dxa" w:w="2257"/>
            <w:shd w:fill="ECF0F1" w:val="clear"/>
          </w:tcPr>
          <w:p>
            <w:pPr>
              <w:jc w:val="left"/>
            </w:pPr>
            <w:r>
              <w:rPr>
                <w:sz w:val="17"/>
              </w:rPr>
              <w:t>VDG_HOSTILIDAD_FEMINICIDIO</w:t>
            </w:r>
          </w:p>
        </w:tc>
        <w:tc>
          <w:tcPr>
            <w:tcW w:type="dxa" w:w="2257"/>
            <w:shd w:fill="ECF0F1" w:val="clear"/>
          </w:tcPr>
          <w:p>
            <w:pPr>
              <w:jc w:val="center"/>
            </w:pPr>
            <w:r>
              <w:rPr>
                <w:sz w:val="17"/>
              </w:rPr>
              <w:t>1</w:t>
            </w:r>
          </w:p>
        </w:tc>
        <w:tc>
          <w:tcPr>
            <w:tcW w:type="dxa" w:w="2257"/>
            <w:shd w:fill="ECF0F1" w:val="clear"/>
          </w:tcPr>
          <w:p>
            <w:pPr>
              <w:jc w:val="center"/>
            </w:pPr>
            <w:r>
              <w:rPr>
                <w:sz w:val="17"/>
              </w:rPr>
              <w:t>0</w:t>
            </w:r>
          </w:p>
        </w:tc>
        <w:tc>
          <w:tcPr>
            <w:tcW w:type="dxa" w:w="2257"/>
            <w:shd w:fill="ECF0F1" w:val="clear"/>
          </w:tcPr>
          <w:p>
            <w:pPr>
              <w:jc w:val="center"/>
            </w:pPr>
            <w:r>
              <w:rPr>
                <w:sz w:val="17"/>
              </w:rPr>
              <w:t>0</w:t>
            </w:r>
          </w:p>
        </w:tc>
      </w:tr>
      <w:tr>
        <w:tc>
          <w:tcPr>
            <w:tcW w:type="dxa" w:w="2257"/>
          </w:tcPr>
          <w:p>
            <w:pPr>
              <w:jc w:val="left"/>
            </w:pPr>
            <w:r>
              <w:rPr>
                <w:sz w:val="17"/>
              </w:rPr>
              <w:t>VDG_DESACREDITACION_ACTIVISTAS</w:t>
            </w:r>
          </w:p>
        </w:tc>
        <w:tc>
          <w:tcPr>
            <w:tcW w:type="dxa" w:w="2257"/>
          </w:tcPr>
          <w:p>
            <w:pPr>
              <w:jc w:val="center"/>
            </w:pPr>
            <w:r>
              <w:rPr>
                <w:sz w:val="17"/>
              </w:rPr>
              <w:t>1</w:t>
            </w:r>
          </w:p>
        </w:tc>
        <w:tc>
          <w:tcPr>
            <w:tcW w:type="dxa" w:w="2257"/>
          </w:tcPr>
          <w:p>
            <w:pPr>
              <w:jc w:val="center"/>
            </w:pPr>
            <w:r>
              <w:rPr>
                <w:sz w:val="17"/>
              </w:rPr>
              <w:t>0</w:t>
            </w:r>
          </w:p>
        </w:tc>
        <w:tc>
          <w:tcPr>
            <w:tcW w:type="dxa" w:w="2257"/>
          </w:tcPr>
          <w:p>
            <w:pPr>
              <w:jc w:val="center"/>
            </w:pPr>
            <w:r>
              <w:rPr>
                <w:sz w:val="17"/>
              </w:rPr>
              <w:t>0</w:t>
            </w:r>
          </w:p>
        </w:tc>
      </w:tr>
    </w:tbl>
    <w:p/>
    <w:p>
      <w:pPr>
        <w:pStyle w:val="Heading2"/>
      </w:pPr>
      <w:r>
        <w:t>Tabla Cruzada: Categoría × Mes</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2C3E50" w:val="clear"/>
            <w:vAlign w:val="center"/>
          </w:tcPr>
          <w:p>
            <w:pPr>
              <w:jc w:val="center"/>
            </w:pPr>
            <w:r>
              <w:rPr>
                <w:b/>
                <w:color w:val="FFFFFF"/>
                <w:sz w:val="18"/>
              </w:rPr>
              <w:t>Categoría</w:t>
            </w:r>
          </w:p>
        </w:tc>
        <w:tc>
          <w:tcPr>
            <w:tcW w:type="dxa" w:w="3010"/>
            <w:shd w:fill="2C3E50" w:val="clear"/>
            <w:vAlign w:val="center"/>
          </w:tcPr>
          <w:p>
            <w:pPr>
              <w:jc w:val="center"/>
            </w:pPr>
            <w:r>
              <w:rPr>
                <w:b/>
                <w:color w:val="FFFFFF"/>
                <w:sz w:val="18"/>
              </w:rPr>
              <w:t>2026-06</w:t>
            </w:r>
          </w:p>
        </w:tc>
        <w:tc>
          <w:tcPr>
            <w:tcW w:type="dxa" w:w="3010"/>
            <w:shd w:fill="2C3E50" w:val="clear"/>
            <w:vAlign w:val="center"/>
          </w:tcPr>
          <w:p>
            <w:pPr>
              <w:jc w:val="center"/>
            </w:pPr>
            <w:r>
              <w:rPr>
                <w:b/>
                <w:color w:val="FFFFFF"/>
                <w:sz w:val="18"/>
              </w:rPr>
              <w:t>Sin fecha</w:t>
            </w:r>
          </w:p>
        </w:tc>
      </w:tr>
      <w:tr>
        <w:tc>
          <w:tcPr>
            <w:tcW w:type="dxa" w:w="3010"/>
            <w:shd w:fill="ECF0F1" w:val="clear"/>
          </w:tcPr>
          <w:p>
            <w:pPr>
              <w:jc w:val="left"/>
            </w:pPr>
            <w:r>
              <w:rPr>
                <w:sz w:val="17"/>
              </w:rPr>
              <w:t>VDG_VIOLENCIA_SIMBOLICA</w:t>
            </w:r>
          </w:p>
        </w:tc>
        <w:tc>
          <w:tcPr>
            <w:tcW w:type="dxa" w:w="3010"/>
            <w:shd w:fill="ECF0F1" w:val="clear"/>
          </w:tcPr>
          <w:p>
            <w:pPr>
              <w:jc w:val="center"/>
            </w:pPr>
            <w:r>
              <w:rPr>
                <w:sz w:val="17"/>
              </w:rPr>
              <w:t>8</w:t>
            </w:r>
          </w:p>
        </w:tc>
        <w:tc>
          <w:tcPr>
            <w:tcW w:type="dxa" w:w="3010"/>
            <w:shd w:fill="ECF0F1" w:val="clear"/>
          </w:tcPr>
          <w:p>
            <w:pPr>
              <w:jc w:val="center"/>
            </w:pPr>
            <w:r>
              <w:rPr>
                <w:sz w:val="17"/>
              </w:rPr>
              <w:t>1</w:t>
            </w:r>
          </w:p>
        </w:tc>
      </w:tr>
      <w:tr>
        <w:tc>
          <w:tcPr>
            <w:tcW w:type="dxa" w:w="3010"/>
          </w:tcPr>
          <w:p>
            <w:pPr>
              <w:jc w:val="left"/>
            </w:pPr>
            <w:r>
              <w:rPr>
                <w:sz w:val="17"/>
              </w:rPr>
              <w:t>VDG_COSIFICACION_SLUTSHAMING</w:t>
            </w:r>
          </w:p>
        </w:tc>
        <w:tc>
          <w:tcPr>
            <w:tcW w:type="dxa" w:w="3010"/>
          </w:tcPr>
          <w:p>
            <w:pPr>
              <w:jc w:val="center"/>
            </w:pPr>
            <w:r>
              <w:rPr>
                <w:sz w:val="17"/>
              </w:rPr>
              <w:t>5</w:t>
            </w:r>
          </w:p>
        </w:tc>
        <w:tc>
          <w:tcPr>
            <w:tcW w:type="dxa" w:w="3010"/>
          </w:tcPr>
          <w:p>
            <w:pPr>
              <w:jc w:val="center"/>
            </w:pPr>
            <w:r>
              <w:rPr>
                <w:sz w:val="17"/>
              </w:rPr>
              <w:t>2</w:t>
            </w:r>
          </w:p>
        </w:tc>
      </w:tr>
      <w:tr>
        <w:tc>
          <w:tcPr>
            <w:tcW w:type="dxa" w:w="3010"/>
            <w:shd w:fill="ECF0F1" w:val="clear"/>
          </w:tcPr>
          <w:p>
            <w:pPr>
              <w:jc w:val="left"/>
            </w:pPr>
            <w:r>
              <w:rPr>
                <w:sz w:val="17"/>
              </w:rPr>
              <w:t>VDG_SALVAGUARDA_FALSO_POSITIVO</w:t>
            </w:r>
          </w:p>
        </w:tc>
        <w:tc>
          <w:tcPr>
            <w:tcW w:type="dxa" w:w="3010"/>
            <w:shd w:fill="ECF0F1" w:val="clear"/>
          </w:tcPr>
          <w:p>
            <w:pPr>
              <w:jc w:val="center"/>
            </w:pPr>
            <w:r>
              <w:rPr>
                <w:sz w:val="17"/>
              </w:rPr>
              <w:t>2</w:t>
            </w:r>
          </w:p>
        </w:tc>
        <w:tc>
          <w:tcPr>
            <w:tcW w:type="dxa" w:w="3010"/>
            <w:shd w:fill="ECF0F1" w:val="clear"/>
          </w:tcPr>
          <w:p>
            <w:pPr>
              <w:jc w:val="center"/>
            </w:pPr>
            <w:r>
              <w:rPr>
                <w:sz w:val="17"/>
              </w:rPr>
              <w:t>3</w:t>
            </w:r>
          </w:p>
        </w:tc>
      </w:tr>
      <w:tr>
        <w:tc>
          <w:tcPr>
            <w:tcW w:type="dxa" w:w="3010"/>
          </w:tcPr>
          <w:p>
            <w:pPr>
              <w:jc w:val="left"/>
            </w:pPr>
            <w:r>
              <w:rPr>
                <w:sz w:val="17"/>
              </w:rPr>
              <w:t>VDG_MANOSFERA_ANTIFEMINISMO</w:t>
            </w:r>
          </w:p>
        </w:tc>
        <w:tc>
          <w:tcPr>
            <w:tcW w:type="dxa" w:w="3010"/>
          </w:tcPr>
          <w:p>
            <w:pPr>
              <w:jc w:val="center"/>
            </w:pPr>
            <w:r>
              <w:rPr>
                <w:sz w:val="17"/>
              </w:rPr>
              <w:t>5</w:t>
            </w:r>
          </w:p>
        </w:tc>
        <w:tc>
          <w:tcPr>
            <w:tcW w:type="dxa" w:w="3010"/>
          </w:tcPr>
          <w:p>
            <w:pPr>
              <w:jc w:val="center"/>
            </w:pPr>
            <w:r>
              <w:rPr>
                <w:sz w:val="17"/>
              </w:rPr>
              <w:t>0</w:t>
            </w:r>
          </w:p>
        </w:tc>
      </w:tr>
      <w:tr>
        <w:tc>
          <w:tcPr>
            <w:tcW w:type="dxa" w:w="3010"/>
            <w:shd w:fill="ECF0F1" w:val="clear"/>
          </w:tcPr>
          <w:p>
            <w:pPr>
              <w:jc w:val="left"/>
            </w:pPr>
            <w:r>
              <w:rPr>
                <w:sz w:val="17"/>
              </w:rPr>
              <w:t>VDG_HOSTILIDAD_FEMINICIDIO</w:t>
            </w:r>
          </w:p>
        </w:tc>
        <w:tc>
          <w:tcPr>
            <w:tcW w:type="dxa" w:w="3010"/>
            <w:shd w:fill="ECF0F1" w:val="clear"/>
          </w:tcPr>
          <w:p>
            <w:pPr>
              <w:jc w:val="center"/>
            </w:pPr>
            <w:r>
              <w:rPr>
                <w:sz w:val="17"/>
              </w:rPr>
              <w:t>1</w:t>
            </w:r>
          </w:p>
        </w:tc>
        <w:tc>
          <w:tcPr>
            <w:tcW w:type="dxa" w:w="3010"/>
            <w:shd w:fill="ECF0F1" w:val="clear"/>
          </w:tcPr>
          <w:p>
            <w:pPr>
              <w:jc w:val="center"/>
            </w:pPr>
            <w:r>
              <w:rPr>
                <w:sz w:val="17"/>
              </w:rPr>
              <w:t>0</w:t>
            </w:r>
          </w:p>
        </w:tc>
      </w:tr>
      <w:tr>
        <w:tc>
          <w:tcPr>
            <w:tcW w:type="dxa" w:w="3010"/>
          </w:tcPr>
          <w:p>
            <w:pPr>
              <w:jc w:val="left"/>
            </w:pPr>
            <w:r>
              <w:rPr>
                <w:sz w:val="17"/>
              </w:rPr>
              <w:t>VDG_DESACREDITACION_ACTIVISTAS</w:t>
            </w:r>
          </w:p>
        </w:tc>
        <w:tc>
          <w:tcPr>
            <w:tcW w:type="dxa" w:w="3010"/>
          </w:tcPr>
          <w:p>
            <w:pPr>
              <w:jc w:val="center"/>
            </w:pPr>
            <w:r>
              <w:rPr>
                <w:sz w:val="17"/>
              </w:rPr>
              <w:t>1</w:t>
            </w:r>
          </w:p>
        </w:tc>
        <w:tc>
          <w:tcPr>
            <w:tcW w:type="dxa" w:w="3010"/>
          </w:tcPr>
          <w:p>
            <w:pPr>
              <w:jc w:val="center"/>
            </w:pPr>
            <w:r>
              <w:rPr>
                <w:sz w:val="17"/>
              </w:rPr>
              <w:t>0</w:t>
            </w:r>
          </w:p>
        </w:tc>
      </w:tr>
    </w:tbl>
    <w:p/>
    <w:p>
      <w:pPr>
        <w:pStyle w:val="Heading2"/>
      </w:pPr>
      <w:r>
        <w:t>Insights</w:t>
      </w:r>
    </w:p>
    <w:p>
      <w:pPr>
        <w:pStyle w:val="ListBullet"/>
      </w:pPr>
      <w:r>
        <w:rPr>
          <w:b/>
          <w:sz w:val="20"/>
        </w:rPr>
        <w:t xml:space="preserve">Patrón detectado: </w:t>
      </w:r>
      <w:r>
        <w:rPr>
          <w:sz w:val="20"/>
        </w:rPr>
        <w:t>Al ejecutar la tabulación cruzada, el sistema detecta que la subdimensión 1.1 detona principalmente la categoría de Violencia Simbólica (100.0% de los casos válidos de esa columna, n=3), evidenciando un patrón de comportamiento relacional en la muestra.</w:t>
      </w:r>
    </w:p>
    <w:p>
      <w:pPr>
        <w:pStyle w:val="ListBullet"/>
      </w:pPr>
      <w:r>
        <w:rPr>
          <w:b/>
          <w:sz w:val="20"/>
        </w:rPr>
        <w:t xml:space="preserve">Por página: </w:t>
      </w:r>
      <w:r>
        <w:rPr>
          <w:sz w:val="20"/>
        </w:rPr>
        <w:t>Al ejecutar la tabulación cruzada, el sistema detecta que la página 0f3e884a8a124fd1 detona principalmente la categoría de Violencia Simbólica (50.0% de los casos válidos de esa columna, n=2), evidenciando un patrón de comportamiento relacional en la muestra.</w:t>
      </w:r>
    </w:p>
    <w:p>
      <w:pPr>
        <w:pStyle w:val="ListBullet"/>
      </w:pPr>
      <w:r>
        <w:rPr>
          <w:b/>
          <w:sz w:val="20"/>
        </w:rPr>
        <w:t xml:space="preserve">Temporal: </w:t>
      </w:r>
      <w:r>
        <w:rPr>
          <w:sz w:val="20"/>
        </w:rPr>
        <w:t>Al ejecutar la tabulación cruzada, el sistema detecta que el mes Sin fecha detona principalmente la categoría de Salvaguarda (Falso Positivo) (50.0% de los casos válidos de esa columna, n=3), evidenciando un patrón de comportamiento relacional en la muestra.</w:t>
      </w:r>
    </w:p>
    <w:p>
      <w:r>
        <w:br w:type="page"/>
      </w:r>
    </w:p>
    <w:p>
      <w:pPr>
        <w:pStyle w:val="Heading1"/>
      </w:pPr>
      <w:r>
        <w:t>5. Regla 5 — Dashboard (Visualización)</w:t>
      </w:r>
    </w:p>
    <w:p>
      <w:r>
        <w:rPr>
          <w:b w:val="0"/>
          <w:i w:val="0"/>
          <w:sz w:val="21"/>
        </w:rPr>
        <w:t>La quinta regla presenta los indicadores clave de forma visual. El dashboard incluye un gráfico de pastel (distribución violento/no violento), un gráfico de barras (distribución por categoría) y la tabla de frecuencias ubicada debajo de las visualizaciones.</w:t>
      </w:r>
    </w:p>
    <w:p>
      <w:pPr>
        <w:pStyle w:val="Heading2"/>
      </w:pPr>
      <w:r>
        <w:t>Distribución: Con/Sin Violencia</w:t>
      </w:r>
    </w:p>
    <w:tbl>
      <w:tblPr>
        <w:tblStyle w:val="TableGrid"/>
        <w:tblW w:type="auto" w:w="0"/>
        <w:jc w:val="center"/>
        <w:tblLook w:firstColumn="1" w:firstRow="1" w:lastColumn="0" w:lastRow="0" w:noHBand="0" w:noVBand="1" w:val="04A0"/>
      </w:tblPr>
      <w:tblGrid>
        <w:gridCol w:w="3010"/>
        <w:gridCol w:w="3010"/>
        <w:gridCol w:w="3010"/>
      </w:tblGrid>
      <w:tr>
        <w:tc>
          <w:tcPr>
            <w:tcW w:type="dxa" w:w="2880"/>
            <w:shd w:fill="2C3E50" w:val="clear"/>
            <w:vAlign w:val="center"/>
          </w:tcPr>
          <w:p>
            <w:pPr>
              <w:jc w:val="center"/>
            </w:pPr>
            <w:r>
              <w:rPr>
                <w:b/>
                <w:color w:val="FFFFFF"/>
                <w:sz w:val="18"/>
              </w:rPr>
              <w:t>Estado</w:t>
            </w:r>
          </w:p>
        </w:tc>
        <w:tc>
          <w:tcPr>
            <w:tcW w:type="dxa" w:w="2160"/>
            <w:shd w:fill="2C3E50" w:val="clear"/>
            <w:vAlign w:val="center"/>
          </w:tcPr>
          <w:p>
            <w:pPr>
              <w:jc w:val="center"/>
            </w:pPr>
            <w:r>
              <w:rPr>
                <w:b/>
                <w:color w:val="FFFFFF"/>
                <w:sz w:val="18"/>
              </w:rPr>
              <w:t>Cantidad</w:t>
            </w:r>
          </w:p>
        </w:tc>
        <w:tc>
          <w:tcPr>
            <w:tcW w:type="dxa" w:w="2160"/>
            <w:shd w:fill="2C3E50" w:val="clear"/>
            <w:vAlign w:val="center"/>
          </w:tcPr>
          <w:p>
            <w:pPr>
              <w:jc w:val="center"/>
            </w:pPr>
            <w:r>
              <w:rPr>
                <w:b/>
                <w:color w:val="FFFFFF"/>
                <w:sz w:val="18"/>
              </w:rPr>
              <w:t>Porcentaje</w:t>
            </w:r>
          </w:p>
        </w:tc>
      </w:tr>
      <w:tr>
        <w:tc>
          <w:tcPr>
            <w:tcW w:type="dxa" w:w="2880"/>
            <w:shd w:fill="ECF0F1" w:val="clear"/>
          </w:tcPr>
          <w:p>
            <w:pPr>
              <w:jc w:val="left"/>
            </w:pPr>
            <w:r>
              <w:rPr>
                <w:sz w:val="17"/>
              </w:rPr>
              <w:t>Con violencia</w:t>
            </w:r>
          </w:p>
        </w:tc>
        <w:tc>
          <w:tcPr>
            <w:tcW w:type="dxa" w:w="2160"/>
            <w:shd w:fill="ECF0F1" w:val="clear"/>
          </w:tcPr>
          <w:p>
            <w:pPr>
              <w:jc w:val="center"/>
            </w:pPr>
            <w:r>
              <w:rPr>
                <w:sz w:val="17"/>
              </w:rPr>
              <w:t>13</w:t>
            </w:r>
          </w:p>
        </w:tc>
        <w:tc>
          <w:tcPr>
            <w:tcW w:type="dxa" w:w="2160"/>
            <w:shd w:fill="ECF0F1" w:val="clear"/>
          </w:tcPr>
          <w:p>
            <w:pPr>
              <w:jc w:val="center"/>
            </w:pPr>
            <w:r>
              <w:rPr>
                <w:sz w:val="17"/>
              </w:rPr>
              <w:t>23.6%</w:t>
            </w:r>
          </w:p>
        </w:tc>
      </w:tr>
      <w:tr>
        <w:tc>
          <w:tcPr>
            <w:tcW w:type="dxa" w:w="2880"/>
          </w:tcPr>
          <w:p>
            <w:pPr>
              <w:jc w:val="left"/>
            </w:pPr>
            <w:r>
              <w:rPr>
                <w:sz w:val="17"/>
              </w:rPr>
              <w:t>Sin violencia</w:t>
            </w:r>
          </w:p>
        </w:tc>
        <w:tc>
          <w:tcPr>
            <w:tcW w:type="dxa" w:w="2160"/>
          </w:tcPr>
          <w:p>
            <w:pPr>
              <w:jc w:val="center"/>
            </w:pPr>
            <w:r>
              <w:rPr>
                <w:sz w:val="17"/>
              </w:rPr>
              <w:t>42</w:t>
            </w:r>
          </w:p>
        </w:tc>
        <w:tc>
          <w:tcPr>
            <w:tcW w:type="dxa" w:w="2160"/>
          </w:tcPr>
          <w:p>
            <w:pPr>
              <w:jc w:val="center"/>
            </w:pPr>
            <w:r>
              <w:rPr>
                <w:sz w:val="17"/>
              </w:rPr>
              <w:t>76.4%</w:t>
            </w:r>
          </w:p>
        </w:tc>
      </w:tr>
    </w:tbl>
    <w:p/>
    <w:p>
      <w:pPr>
        <w:pStyle w:val="Heading2"/>
      </w:pPr>
      <w:r>
        <w:t>Distribución por Categoría (Contenido Violento)</w:t>
      </w:r>
    </w:p>
    <w:tbl>
      <w:tblPr>
        <w:tblStyle w:val="TableGrid"/>
        <w:tblW w:type="auto" w:w="0"/>
        <w:jc w:val="center"/>
        <w:tblLook w:firstColumn="1" w:firstRow="1" w:lastColumn="0" w:lastRow="0" w:noHBand="0" w:noVBand="1" w:val="04A0"/>
      </w:tblPr>
      <w:tblGrid>
        <w:gridCol w:w="3010"/>
        <w:gridCol w:w="3010"/>
        <w:gridCol w:w="3010"/>
      </w:tblGrid>
      <w:tr>
        <w:tc>
          <w:tcPr>
            <w:tcW w:type="dxa" w:w="3600"/>
            <w:shd w:fill="2C3E50" w:val="clear"/>
            <w:vAlign w:val="center"/>
          </w:tcPr>
          <w:p>
            <w:pPr>
              <w:jc w:val="center"/>
            </w:pPr>
            <w:r>
              <w:rPr>
                <w:b/>
                <w:color w:val="FFFFFF"/>
                <w:sz w:val="18"/>
              </w:rPr>
              <w:t>Categoría</w:t>
            </w:r>
          </w:p>
        </w:tc>
        <w:tc>
          <w:tcPr>
            <w:tcW w:type="dxa" w:w="1728"/>
            <w:shd w:fill="2C3E50" w:val="clear"/>
            <w:vAlign w:val="center"/>
          </w:tcPr>
          <w:p>
            <w:pPr>
              <w:jc w:val="center"/>
            </w:pPr>
            <w:r>
              <w:rPr>
                <w:b/>
                <w:color w:val="FFFFFF"/>
                <w:sz w:val="18"/>
              </w:rPr>
              <w:t>Cantidad</w:t>
            </w:r>
          </w:p>
        </w:tc>
        <w:tc>
          <w:tcPr>
            <w:tcW w:type="dxa" w:w="1728"/>
            <w:shd w:fill="2C3E50" w:val="clear"/>
            <w:vAlign w:val="center"/>
          </w:tcPr>
          <w:p>
            <w:pPr>
              <w:jc w:val="center"/>
            </w:pPr>
            <w:r>
              <w:rPr>
                <w:b/>
                <w:color w:val="FFFFFF"/>
                <w:sz w:val="18"/>
              </w:rPr>
              <w:t>Porcentaje</w:t>
            </w:r>
          </w:p>
        </w:tc>
      </w:tr>
      <w:tr>
        <w:tc>
          <w:tcPr>
            <w:tcW w:type="dxa" w:w="3600"/>
            <w:shd w:fill="ECF0F1" w:val="clear"/>
          </w:tcPr>
          <w:p>
            <w:pPr>
              <w:jc w:val="left"/>
            </w:pPr>
            <w:r>
              <w:rPr>
                <w:sz w:val="17"/>
              </w:rPr>
              <w:t>Violencia Simbólica</w:t>
            </w:r>
          </w:p>
        </w:tc>
        <w:tc>
          <w:tcPr>
            <w:tcW w:type="dxa" w:w="1728"/>
            <w:shd w:fill="ECF0F1" w:val="clear"/>
          </w:tcPr>
          <w:p>
            <w:pPr>
              <w:jc w:val="center"/>
            </w:pPr>
            <w:r>
              <w:rPr>
                <w:sz w:val="17"/>
              </w:rPr>
              <w:t>9</w:t>
            </w:r>
          </w:p>
        </w:tc>
        <w:tc>
          <w:tcPr>
            <w:tcW w:type="dxa" w:w="1728"/>
            <w:shd w:fill="ECF0F1" w:val="clear"/>
          </w:tcPr>
          <w:p>
            <w:pPr>
              <w:jc w:val="center"/>
            </w:pPr>
            <w:r>
              <w:rPr>
                <w:sz w:val="17"/>
              </w:rPr>
              <w:t>32.1%</w:t>
            </w:r>
          </w:p>
        </w:tc>
      </w:tr>
      <w:tr>
        <w:tc>
          <w:tcPr>
            <w:tcW w:type="dxa" w:w="3600"/>
          </w:tcPr>
          <w:p>
            <w:pPr>
              <w:jc w:val="left"/>
            </w:pPr>
            <w:r>
              <w:rPr>
                <w:sz w:val="17"/>
              </w:rPr>
              <w:t>Mercantilización Corporal</w:t>
            </w:r>
          </w:p>
        </w:tc>
        <w:tc>
          <w:tcPr>
            <w:tcW w:type="dxa" w:w="1728"/>
          </w:tcPr>
          <w:p>
            <w:pPr>
              <w:jc w:val="center"/>
            </w:pPr>
            <w:r>
              <w:rPr>
                <w:sz w:val="17"/>
              </w:rPr>
              <w:t>7</w:t>
            </w:r>
          </w:p>
        </w:tc>
        <w:tc>
          <w:tcPr>
            <w:tcW w:type="dxa" w:w="1728"/>
          </w:tcPr>
          <w:p>
            <w:pPr>
              <w:jc w:val="center"/>
            </w:pPr>
            <w:r>
              <w:rPr>
                <w:sz w:val="17"/>
              </w:rPr>
              <w:t>25.0%</w:t>
            </w:r>
          </w:p>
        </w:tc>
      </w:tr>
      <w:tr>
        <w:tc>
          <w:tcPr>
            <w:tcW w:type="dxa" w:w="3600"/>
            <w:shd w:fill="ECF0F1" w:val="clear"/>
          </w:tcPr>
          <w:p>
            <w:pPr>
              <w:jc w:val="left"/>
            </w:pPr>
            <w:r>
              <w:rPr>
                <w:sz w:val="17"/>
              </w:rPr>
              <w:t>Hostilidad / Feminicidio</w:t>
            </w:r>
          </w:p>
        </w:tc>
        <w:tc>
          <w:tcPr>
            <w:tcW w:type="dxa" w:w="1728"/>
            <w:shd w:fill="ECF0F1" w:val="clear"/>
          </w:tcPr>
          <w:p>
            <w:pPr>
              <w:jc w:val="center"/>
            </w:pPr>
            <w:r>
              <w:rPr>
                <w:sz w:val="17"/>
              </w:rPr>
              <w:t>1</w:t>
            </w:r>
          </w:p>
        </w:tc>
        <w:tc>
          <w:tcPr>
            <w:tcW w:type="dxa" w:w="1728"/>
            <w:shd w:fill="ECF0F1" w:val="clear"/>
          </w:tcPr>
          <w:p>
            <w:pPr>
              <w:jc w:val="center"/>
            </w:pPr>
            <w:r>
              <w:rPr>
                <w:sz w:val="17"/>
              </w:rPr>
              <w:t>3.6%</w:t>
            </w:r>
          </w:p>
        </w:tc>
      </w:tr>
      <w:tr>
        <w:tc>
          <w:tcPr>
            <w:tcW w:type="dxa" w:w="3600"/>
          </w:tcPr>
          <w:p>
            <w:pPr>
              <w:jc w:val="left"/>
            </w:pPr>
            <w:r>
              <w:rPr>
                <w:sz w:val="17"/>
              </w:rPr>
              <w:t>Manosfera / Antifeminismo</w:t>
            </w:r>
          </w:p>
        </w:tc>
        <w:tc>
          <w:tcPr>
            <w:tcW w:type="dxa" w:w="1728"/>
          </w:tcPr>
          <w:p>
            <w:pPr>
              <w:jc w:val="center"/>
            </w:pPr>
            <w:r>
              <w:rPr>
                <w:sz w:val="17"/>
              </w:rPr>
              <w:t>5</w:t>
            </w:r>
          </w:p>
        </w:tc>
        <w:tc>
          <w:tcPr>
            <w:tcW w:type="dxa" w:w="1728"/>
          </w:tcPr>
          <w:p>
            <w:pPr>
              <w:jc w:val="center"/>
            </w:pPr>
            <w:r>
              <w:rPr>
                <w:sz w:val="17"/>
              </w:rPr>
              <w:t>17.9%</w:t>
            </w:r>
          </w:p>
        </w:tc>
      </w:tr>
      <w:tr>
        <w:tc>
          <w:tcPr>
            <w:tcW w:type="dxa" w:w="3600"/>
            <w:shd w:fill="ECF0F1" w:val="clear"/>
          </w:tcPr>
          <w:p>
            <w:pPr>
              <w:jc w:val="left"/>
            </w:pPr>
            <w:r>
              <w:rPr>
                <w:sz w:val="17"/>
              </w:rPr>
              <w:t>Castigo Del Empoderamiento Femenino</w:t>
            </w:r>
          </w:p>
        </w:tc>
        <w:tc>
          <w:tcPr>
            <w:tcW w:type="dxa" w:w="1728"/>
            <w:shd w:fill="ECF0F1" w:val="clear"/>
          </w:tcPr>
          <w:p>
            <w:pPr>
              <w:jc w:val="center"/>
            </w:pPr>
            <w:r>
              <w:rPr>
                <w:sz w:val="17"/>
              </w:rPr>
              <w:t>1</w:t>
            </w:r>
          </w:p>
        </w:tc>
        <w:tc>
          <w:tcPr>
            <w:tcW w:type="dxa" w:w="1728"/>
            <w:shd w:fill="ECF0F1" w:val="clear"/>
          </w:tcPr>
          <w:p>
            <w:pPr>
              <w:jc w:val="center"/>
            </w:pPr>
            <w:r>
              <w:rPr>
                <w:sz w:val="17"/>
              </w:rPr>
              <w:t>3.6%</w:t>
            </w:r>
          </w:p>
        </w:tc>
      </w:tr>
      <w:tr>
        <w:tc>
          <w:tcPr>
            <w:tcW w:type="dxa" w:w="3600"/>
          </w:tcPr>
          <w:p>
            <w:pPr>
              <w:jc w:val="left"/>
            </w:pPr>
            <w:r>
              <w:rPr>
                <w:sz w:val="17"/>
              </w:rPr>
              <w:t>Salvaguarda (Falso Positivo)</w:t>
            </w:r>
          </w:p>
        </w:tc>
        <w:tc>
          <w:tcPr>
            <w:tcW w:type="dxa" w:w="1728"/>
          </w:tcPr>
          <w:p>
            <w:pPr>
              <w:jc w:val="center"/>
            </w:pPr>
            <w:r>
              <w:rPr>
                <w:sz w:val="17"/>
              </w:rPr>
              <w:t>5</w:t>
            </w:r>
          </w:p>
        </w:tc>
        <w:tc>
          <w:tcPr>
            <w:tcW w:type="dxa" w:w="1728"/>
          </w:tcPr>
          <w:p>
            <w:pPr>
              <w:jc w:val="center"/>
            </w:pPr>
            <w:r>
              <w:rPr>
                <w:sz w:val="17"/>
              </w:rPr>
              <w:t>17.9%</w:t>
            </w:r>
          </w:p>
        </w:tc>
      </w:tr>
    </w:tbl>
    <w:p/>
    <w:p>
      <w:pPr>
        <w:pStyle w:val="Heading2"/>
      </w:pPr>
      <w:r>
        <w:t>Insights</w:t>
      </w:r>
    </w:p>
    <w:p>
      <w:pPr>
        <w:pStyle w:val="ListBullet"/>
      </w:pPr>
      <w:r>
        <w:rPr>
          <w:b/>
          <w:sz w:val="20"/>
        </w:rPr>
        <w:t xml:space="preserve">Distribución general: </w:t>
      </w:r>
      <w:r>
        <w:rPr>
          <w:sz w:val="20"/>
        </w:rPr>
        <w:t>De 55 registros válidos, 13 (21.7%) contienen violencia de género y 42 no. La proporción violento/no violento es de 1:0.31.</w:t>
      </w:r>
    </w:p>
    <w:p>
      <w:pPr>
        <w:pStyle w:val="ListBullet"/>
      </w:pPr>
      <w:r>
        <w:rPr>
          <w:b/>
          <w:sz w:val="20"/>
        </w:rPr>
        <w:t xml:space="preserve">Categorías principales: </w:t>
      </w:r>
      <w:r>
        <w:rPr>
          <w:sz w:val="20"/>
        </w:rPr>
        <w:t>'Violencia Simbólica' domina con 9 casos (32.1% del contenido violento), seguida por 'Mercantilización Corporal' (7 casos, 25.0%).</w:t>
      </w:r>
    </w:p>
    <w:p>
      <w:r>
        <w:br w:type="page"/>
      </w:r>
    </w:p>
    <w:p>
      <w:pPr>
        <w:pStyle w:val="Heading1"/>
      </w:pPr>
      <w:r>
        <w:t>6. Regla 6 — Métricas de Fiabilidad y Validez de la IA</w:t>
      </w:r>
    </w:p>
    <w:p>
      <w:r>
        <w:rPr>
          <w:b w:val="0"/>
          <w:i w:val="0"/>
          <w:sz w:val="21"/>
        </w:rPr>
        <w:t>La sexta regla evalúa la calidad del clasificador automático comparando sus predicciones contra el ground truth proporcionado por los revisores humanos. Se construye una matriz de confusión binaria (violencia vs. no violencia) y se calculan Precisión, Sensibilidad (Recall) y F1-Score.</w:t>
      </w:r>
    </w:p>
    <w:p>
      <w:pPr>
        <w:pStyle w:val="Heading2"/>
      </w:pPr>
      <w:r>
        <w:t>Matriz de Confusión</w:t>
      </w:r>
    </w:p>
    <w:tbl>
      <w:tblPr>
        <w:tblStyle w:val="TableGrid"/>
        <w:tblW w:type="auto" w:w="0"/>
        <w:jc w:val="center"/>
        <w:tblLook w:firstColumn="1" w:firstRow="1" w:lastColumn="0" w:lastRow="0" w:noHBand="0" w:noVBand="1" w:val="04A0"/>
      </w:tblPr>
      <w:tblGrid>
        <w:gridCol w:w="3010"/>
        <w:gridCol w:w="3010"/>
        <w:gridCol w:w="3010"/>
      </w:tblGrid>
      <w:tr>
        <w:tc>
          <w:tcPr>
            <w:tcW w:type="dxa" w:w="2880"/>
            <w:shd w:fill="2C3E50" w:val="clear"/>
            <w:vAlign w:val="center"/>
          </w:tcPr>
          <w:p>
            <w:pPr>
              <w:jc w:val="center"/>
            </w:pPr>
            <w:r>
              <w:rPr>
                <w:b/>
                <w:color w:val="FFFFFF"/>
                <w:sz w:val="18"/>
              </w:rPr>
            </w:r>
          </w:p>
        </w:tc>
        <w:tc>
          <w:tcPr>
            <w:tcW w:type="dxa" w:w="2160"/>
            <w:shd w:fill="2C3E50" w:val="clear"/>
            <w:vAlign w:val="center"/>
          </w:tcPr>
          <w:p>
            <w:pPr>
              <w:jc w:val="center"/>
            </w:pPr>
            <w:r>
              <w:rPr>
                <w:b/>
                <w:color w:val="FFFFFF"/>
                <w:sz w:val="18"/>
              </w:rPr>
              <w:t>Real: Violencia</w:t>
            </w:r>
          </w:p>
        </w:tc>
        <w:tc>
          <w:tcPr>
            <w:tcW w:type="dxa" w:w="2160"/>
            <w:shd w:fill="2C3E50" w:val="clear"/>
            <w:vAlign w:val="center"/>
          </w:tcPr>
          <w:p>
            <w:pPr>
              <w:jc w:val="center"/>
            </w:pPr>
            <w:r>
              <w:rPr>
                <w:b/>
                <w:color w:val="FFFFFF"/>
                <w:sz w:val="18"/>
              </w:rPr>
              <w:t>Real: No Violencia</w:t>
            </w:r>
          </w:p>
        </w:tc>
      </w:tr>
      <w:tr>
        <w:tc>
          <w:tcPr>
            <w:tcW w:type="dxa" w:w="2880"/>
            <w:shd w:fill="ECF0F1" w:val="clear"/>
          </w:tcPr>
          <w:p>
            <w:pPr>
              <w:jc w:val="left"/>
            </w:pPr>
            <w:r>
              <w:rPr>
                <w:sz w:val="17"/>
              </w:rPr>
              <w:t>Predicho: Violencia</w:t>
            </w:r>
          </w:p>
        </w:tc>
        <w:tc>
          <w:tcPr>
            <w:tcW w:type="dxa" w:w="2160"/>
            <w:shd w:fill="ECF0F1" w:val="clear"/>
          </w:tcPr>
          <w:p>
            <w:pPr>
              <w:jc w:val="center"/>
            </w:pPr>
            <w:r>
              <w:rPr>
                <w:sz w:val="17"/>
              </w:rPr>
              <w:t>9</w:t>
            </w:r>
          </w:p>
        </w:tc>
        <w:tc>
          <w:tcPr>
            <w:tcW w:type="dxa" w:w="2160"/>
            <w:shd w:fill="ECF0F1" w:val="clear"/>
          </w:tcPr>
          <w:p>
            <w:pPr>
              <w:jc w:val="center"/>
            </w:pPr>
            <w:r>
              <w:rPr>
                <w:sz w:val="17"/>
              </w:rPr>
              <w:t>4</w:t>
            </w:r>
          </w:p>
        </w:tc>
      </w:tr>
      <w:tr>
        <w:tc>
          <w:tcPr>
            <w:tcW w:type="dxa" w:w="2880"/>
          </w:tcPr>
          <w:p>
            <w:pPr>
              <w:jc w:val="left"/>
            </w:pPr>
            <w:r>
              <w:rPr>
                <w:sz w:val="17"/>
              </w:rPr>
              <w:t>Predicho: No Violencia</w:t>
            </w:r>
          </w:p>
        </w:tc>
        <w:tc>
          <w:tcPr>
            <w:tcW w:type="dxa" w:w="2160"/>
          </w:tcPr>
          <w:p>
            <w:pPr>
              <w:jc w:val="center"/>
            </w:pPr>
            <w:r>
              <w:rPr>
                <w:sz w:val="17"/>
              </w:rPr>
              <w:t>10</w:t>
            </w:r>
          </w:p>
        </w:tc>
        <w:tc>
          <w:tcPr>
            <w:tcW w:type="dxa" w:w="2160"/>
          </w:tcPr>
          <w:p>
            <w:pPr>
              <w:jc w:val="center"/>
            </w:pPr>
            <w:r>
              <w:rPr>
                <w:sz w:val="17"/>
              </w:rPr>
              <w:t>35</w:t>
            </w:r>
          </w:p>
        </w:tc>
      </w:tr>
    </w:tbl>
    <w:p/>
    <w:p>
      <w:pPr>
        <w:pStyle w:val="Heading2"/>
      </w:pPr>
      <w:r>
        <w:t>Métricas de Clasificación</w:t>
      </w:r>
    </w:p>
    <w:tbl>
      <w:tblPr>
        <w:tblStyle w:val="TableGrid"/>
        <w:tblW w:type="auto" w:w="0"/>
        <w:jc w:val="center"/>
        <w:tblLook w:firstColumn="1" w:firstRow="1" w:lastColumn="0" w:lastRow="0" w:noHBand="0" w:noVBand="1" w:val="04A0"/>
      </w:tblPr>
      <w:tblGrid>
        <w:gridCol w:w="3010"/>
        <w:gridCol w:w="3010"/>
        <w:gridCol w:w="3010"/>
      </w:tblGrid>
      <w:tr>
        <w:tc>
          <w:tcPr>
            <w:tcW w:type="dxa" w:w="3168"/>
            <w:shd w:fill="2C3E50" w:val="clear"/>
            <w:vAlign w:val="center"/>
          </w:tcPr>
          <w:p>
            <w:pPr>
              <w:jc w:val="center"/>
            </w:pPr>
            <w:r>
              <w:rPr>
                <w:b/>
                <w:color w:val="FFFFFF"/>
                <w:sz w:val="18"/>
              </w:rPr>
              <w:t>Métrica</w:t>
            </w:r>
          </w:p>
        </w:tc>
        <w:tc>
          <w:tcPr>
            <w:tcW w:type="dxa" w:w="1440"/>
            <w:shd w:fill="2C3E50" w:val="clear"/>
            <w:vAlign w:val="center"/>
          </w:tcPr>
          <w:p>
            <w:pPr>
              <w:jc w:val="center"/>
            </w:pPr>
            <w:r>
              <w:rPr>
                <w:b/>
                <w:color w:val="FFFFFF"/>
                <w:sz w:val="18"/>
              </w:rPr>
              <w:t>Valor</w:t>
            </w:r>
          </w:p>
        </w:tc>
        <w:tc>
          <w:tcPr>
            <w:tcW w:type="dxa" w:w="4320"/>
            <w:shd w:fill="2C3E50" w:val="clear"/>
            <w:vAlign w:val="center"/>
          </w:tcPr>
          <w:p>
            <w:pPr>
              <w:jc w:val="center"/>
            </w:pPr>
            <w:r>
              <w:rPr>
                <w:b/>
                <w:color w:val="FFFFFF"/>
                <w:sz w:val="18"/>
              </w:rPr>
              <w:t>Descripción</w:t>
            </w:r>
          </w:p>
        </w:tc>
      </w:tr>
      <w:tr>
        <w:tc>
          <w:tcPr>
            <w:tcW w:type="dxa" w:w="3168"/>
            <w:shd w:fill="ECF0F1" w:val="clear"/>
          </w:tcPr>
          <w:p>
            <w:pPr>
              <w:jc w:val="left"/>
            </w:pPr>
            <w:r>
              <w:rPr>
                <w:sz w:val="17"/>
              </w:rPr>
              <w:t>Verdaderos Positivos (VP)</w:t>
            </w:r>
          </w:p>
        </w:tc>
        <w:tc>
          <w:tcPr>
            <w:tcW w:type="dxa" w:w="1440"/>
            <w:shd w:fill="ECF0F1" w:val="clear"/>
          </w:tcPr>
          <w:p>
            <w:pPr>
              <w:jc w:val="center"/>
            </w:pPr>
            <w:r>
              <w:rPr>
                <w:sz w:val="17"/>
              </w:rPr>
              <w:t>9</w:t>
            </w:r>
          </w:p>
        </w:tc>
        <w:tc>
          <w:tcPr>
            <w:tcW w:type="dxa" w:w="4320"/>
            <w:shd w:fill="ECF0F1" w:val="clear"/>
          </w:tcPr>
          <w:p>
            <w:pPr>
              <w:jc w:val="center"/>
            </w:pPr>
            <w:r>
              <w:rPr>
                <w:sz w:val="17"/>
              </w:rPr>
              <w:t>IA dice violencia, humano confirma</w:t>
            </w:r>
          </w:p>
        </w:tc>
      </w:tr>
      <w:tr>
        <w:tc>
          <w:tcPr>
            <w:tcW w:type="dxa" w:w="3168"/>
          </w:tcPr>
          <w:p>
            <w:pPr>
              <w:jc w:val="left"/>
            </w:pPr>
            <w:r>
              <w:rPr>
                <w:sz w:val="17"/>
              </w:rPr>
              <w:t>Verdaderos Negativos (VN)</w:t>
            </w:r>
          </w:p>
        </w:tc>
        <w:tc>
          <w:tcPr>
            <w:tcW w:type="dxa" w:w="1440"/>
          </w:tcPr>
          <w:p>
            <w:pPr>
              <w:jc w:val="center"/>
            </w:pPr>
            <w:r>
              <w:rPr>
                <w:sz w:val="17"/>
              </w:rPr>
              <w:t>35</w:t>
            </w:r>
          </w:p>
        </w:tc>
        <w:tc>
          <w:tcPr>
            <w:tcW w:type="dxa" w:w="4320"/>
          </w:tcPr>
          <w:p>
            <w:pPr>
              <w:jc w:val="center"/>
            </w:pPr>
            <w:r>
              <w:rPr>
                <w:sz w:val="17"/>
              </w:rPr>
              <w:t>IA dice no violencia, humano confirma</w:t>
            </w:r>
          </w:p>
        </w:tc>
      </w:tr>
      <w:tr>
        <w:tc>
          <w:tcPr>
            <w:tcW w:type="dxa" w:w="3168"/>
            <w:shd w:fill="ECF0F1" w:val="clear"/>
          </w:tcPr>
          <w:p>
            <w:pPr>
              <w:jc w:val="left"/>
            </w:pPr>
            <w:r>
              <w:rPr>
                <w:sz w:val="17"/>
              </w:rPr>
              <w:t>Falsos Positivos (FP)</w:t>
            </w:r>
          </w:p>
        </w:tc>
        <w:tc>
          <w:tcPr>
            <w:tcW w:type="dxa" w:w="1440"/>
            <w:shd w:fill="ECF0F1" w:val="clear"/>
          </w:tcPr>
          <w:p>
            <w:pPr>
              <w:jc w:val="center"/>
            </w:pPr>
            <w:r>
              <w:rPr>
                <w:sz w:val="17"/>
              </w:rPr>
              <w:t>4</w:t>
            </w:r>
          </w:p>
        </w:tc>
        <w:tc>
          <w:tcPr>
            <w:tcW w:type="dxa" w:w="4320"/>
            <w:shd w:fill="ECF0F1" w:val="clear"/>
          </w:tcPr>
          <w:p>
            <w:pPr>
              <w:jc w:val="center"/>
            </w:pPr>
            <w:r>
              <w:rPr>
                <w:sz w:val="17"/>
              </w:rPr>
              <w:t>IA dice violencia, humano dice no</w:t>
            </w:r>
          </w:p>
        </w:tc>
      </w:tr>
      <w:tr>
        <w:tc>
          <w:tcPr>
            <w:tcW w:type="dxa" w:w="3168"/>
          </w:tcPr>
          <w:p>
            <w:pPr>
              <w:jc w:val="left"/>
            </w:pPr>
            <w:r>
              <w:rPr>
                <w:sz w:val="17"/>
              </w:rPr>
              <w:t>Falsos Negativos (FN)</w:t>
            </w:r>
          </w:p>
        </w:tc>
        <w:tc>
          <w:tcPr>
            <w:tcW w:type="dxa" w:w="1440"/>
          </w:tcPr>
          <w:p>
            <w:pPr>
              <w:jc w:val="center"/>
            </w:pPr>
            <w:r>
              <w:rPr>
                <w:sz w:val="17"/>
              </w:rPr>
              <w:t>10</w:t>
            </w:r>
          </w:p>
        </w:tc>
        <w:tc>
          <w:tcPr>
            <w:tcW w:type="dxa" w:w="4320"/>
          </w:tcPr>
          <w:p>
            <w:pPr>
              <w:jc w:val="center"/>
            </w:pPr>
            <w:r>
              <w:rPr>
                <w:sz w:val="17"/>
              </w:rPr>
              <w:t>IA dice no violencia, humano dice sí</w:t>
            </w:r>
          </w:p>
        </w:tc>
      </w:tr>
      <w:tr>
        <w:tc>
          <w:tcPr>
            <w:tcW w:type="dxa" w:w="3168"/>
            <w:shd w:fill="ECF0F1" w:val="clear"/>
          </w:tcPr>
          <w:p>
            <w:pPr>
              <w:jc w:val="left"/>
            </w:pPr>
            <w:r>
              <w:rPr>
                <w:sz w:val="17"/>
              </w:rPr>
              <w:t>Total evaluado</w:t>
            </w:r>
          </w:p>
        </w:tc>
        <w:tc>
          <w:tcPr>
            <w:tcW w:type="dxa" w:w="1440"/>
            <w:shd w:fill="ECF0F1" w:val="clear"/>
          </w:tcPr>
          <w:p>
            <w:pPr>
              <w:jc w:val="center"/>
            </w:pPr>
            <w:r>
              <w:rPr>
                <w:sz w:val="17"/>
              </w:rPr>
              <w:t>58</w:t>
            </w:r>
          </w:p>
        </w:tc>
        <w:tc>
          <w:tcPr>
            <w:tcW w:type="dxa" w:w="4320"/>
            <w:shd w:fill="ECF0F1" w:val="clear"/>
          </w:tcPr>
          <w:p>
            <w:pPr>
              <w:jc w:val="center"/>
            </w:pPr>
            <w:r>
              <w:rPr>
                <w:sz w:val="17"/>
              </w:rPr>
              <w:t>Soporte de la evaluación</w:t>
            </w:r>
          </w:p>
        </w:tc>
      </w:tr>
    </w:tbl>
    <w:p/>
    <w:p>
      <w:pPr>
        <w:pStyle w:val="Heading2"/>
      </w:pPr>
      <w:r>
        <w:t>Indicadores de Rendimiento</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592"/>
            <w:shd w:fill="2C3E50" w:val="clear"/>
            <w:vAlign w:val="center"/>
          </w:tcPr>
          <w:p>
            <w:pPr>
              <w:jc w:val="center"/>
            </w:pPr>
            <w:r>
              <w:rPr>
                <w:b/>
                <w:color w:val="FFFFFF"/>
                <w:sz w:val="18"/>
              </w:rPr>
              <w:t>Indicador</w:t>
            </w:r>
          </w:p>
        </w:tc>
        <w:tc>
          <w:tcPr>
            <w:tcW w:type="dxa" w:w="1440"/>
            <w:shd w:fill="2C3E50" w:val="clear"/>
            <w:vAlign w:val="center"/>
          </w:tcPr>
          <w:p>
            <w:pPr>
              <w:jc w:val="center"/>
            </w:pPr>
            <w:r>
              <w:rPr>
                <w:b/>
                <w:color w:val="FFFFFF"/>
                <w:sz w:val="18"/>
              </w:rPr>
              <w:t>Valor</w:t>
            </w:r>
          </w:p>
        </w:tc>
        <w:tc>
          <w:tcPr>
            <w:tcW w:type="dxa" w:w="1440"/>
            <w:shd w:fill="2C3E50" w:val="clear"/>
            <w:vAlign w:val="center"/>
          </w:tcPr>
          <w:p>
            <w:pPr>
              <w:jc w:val="center"/>
            </w:pPr>
            <w:r>
              <w:rPr>
                <w:b/>
                <w:color w:val="FFFFFF"/>
                <w:sz w:val="18"/>
              </w:rPr>
              <w:t>Porcentaje</w:t>
            </w:r>
          </w:p>
        </w:tc>
        <w:tc>
          <w:tcPr>
            <w:tcW w:type="dxa" w:w="4320"/>
            <w:shd w:fill="2C3E50" w:val="clear"/>
            <w:vAlign w:val="center"/>
          </w:tcPr>
          <w:p>
            <w:pPr>
              <w:jc w:val="center"/>
            </w:pPr>
            <w:r>
              <w:rPr>
                <w:b/>
                <w:color w:val="FFFFFF"/>
                <w:sz w:val="18"/>
              </w:rPr>
              <w:t>Interpretación</w:t>
            </w:r>
          </w:p>
        </w:tc>
      </w:tr>
      <w:tr>
        <w:tc>
          <w:tcPr>
            <w:tcW w:type="dxa" w:w="2592"/>
            <w:shd w:fill="ECF0F1" w:val="clear"/>
          </w:tcPr>
          <w:p>
            <w:pPr>
              <w:jc w:val="left"/>
            </w:pPr>
            <w:r>
              <w:rPr>
                <w:sz w:val="17"/>
              </w:rPr>
              <w:t>Precisión</w:t>
            </w:r>
          </w:p>
        </w:tc>
        <w:tc>
          <w:tcPr>
            <w:tcW w:type="dxa" w:w="1440"/>
            <w:shd w:fill="ECF0F1" w:val="clear"/>
          </w:tcPr>
          <w:p>
            <w:pPr>
              <w:jc w:val="center"/>
            </w:pPr>
            <w:r>
              <w:rPr>
                <w:sz w:val="17"/>
              </w:rPr>
              <w:t>0.6923</w:t>
            </w:r>
          </w:p>
        </w:tc>
        <w:tc>
          <w:tcPr>
            <w:tcW w:type="dxa" w:w="1440"/>
            <w:shd w:fill="ECF0F1" w:val="clear"/>
          </w:tcPr>
          <w:p>
            <w:pPr>
              <w:jc w:val="center"/>
            </w:pPr>
            <w:r>
              <w:rPr>
                <w:sz w:val="17"/>
              </w:rPr>
              <w:t>69.2%</w:t>
            </w:r>
          </w:p>
        </w:tc>
        <w:tc>
          <w:tcPr>
            <w:tcW w:type="dxa" w:w="4320"/>
            <w:shd w:fill="ECF0F1" w:val="clear"/>
          </w:tcPr>
          <w:p>
            <w:pPr>
              <w:jc w:val="center"/>
            </w:pPr>
            <w:r>
              <w:rPr>
                <w:sz w:val="17"/>
              </w:rPr>
              <w:t>De los que la IA marca como violentos, cuántos realmente lo son</w:t>
            </w:r>
          </w:p>
        </w:tc>
      </w:tr>
      <w:tr>
        <w:tc>
          <w:tcPr>
            <w:tcW w:type="dxa" w:w="2592"/>
          </w:tcPr>
          <w:p>
            <w:pPr>
              <w:jc w:val="left"/>
            </w:pPr>
            <w:r>
              <w:rPr>
                <w:sz w:val="17"/>
              </w:rPr>
              <w:t>Sensibilidad (Recall)</w:t>
            </w:r>
          </w:p>
        </w:tc>
        <w:tc>
          <w:tcPr>
            <w:tcW w:type="dxa" w:w="1440"/>
          </w:tcPr>
          <w:p>
            <w:pPr>
              <w:jc w:val="center"/>
            </w:pPr>
            <w:r>
              <w:rPr>
                <w:sz w:val="17"/>
              </w:rPr>
              <w:t>0.4737</w:t>
            </w:r>
          </w:p>
        </w:tc>
        <w:tc>
          <w:tcPr>
            <w:tcW w:type="dxa" w:w="1440"/>
          </w:tcPr>
          <w:p>
            <w:pPr>
              <w:jc w:val="center"/>
            </w:pPr>
            <w:r>
              <w:rPr>
                <w:sz w:val="17"/>
              </w:rPr>
              <w:t>47.4%</w:t>
            </w:r>
          </w:p>
        </w:tc>
        <w:tc>
          <w:tcPr>
            <w:tcW w:type="dxa" w:w="4320"/>
          </w:tcPr>
          <w:p>
            <w:pPr>
              <w:jc w:val="center"/>
            </w:pPr>
            <w:r>
              <w:rPr>
                <w:sz w:val="17"/>
              </w:rPr>
              <w:t>De los violentos reales, cuántos detecta la IA</w:t>
            </w:r>
          </w:p>
        </w:tc>
      </w:tr>
      <w:tr>
        <w:tc>
          <w:tcPr>
            <w:tcW w:type="dxa" w:w="2592"/>
            <w:shd w:fill="ECF0F1" w:val="clear"/>
          </w:tcPr>
          <w:p>
            <w:pPr>
              <w:jc w:val="left"/>
            </w:pPr>
            <w:r>
              <w:rPr>
                <w:sz w:val="17"/>
              </w:rPr>
              <w:t>F1-Score</w:t>
            </w:r>
          </w:p>
        </w:tc>
        <w:tc>
          <w:tcPr>
            <w:tcW w:type="dxa" w:w="1440"/>
            <w:shd w:fill="ECF0F1" w:val="clear"/>
          </w:tcPr>
          <w:p>
            <w:pPr>
              <w:jc w:val="center"/>
            </w:pPr>
            <w:r>
              <w:rPr>
                <w:sz w:val="17"/>
              </w:rPr>
              <w:t>0.5625</w:t>
            </w:r>
          </w:p>
        </w:tc>
        <w:tc>
          <w:tcPr>
            <w:tcW w:type="dxa" w:w="1440"/>
            <w:shd w:fill="ECF0F1" w:val="clear"/>
          </w:tcPr>
          <w:p>
            <w:pPr>
              <w:jc w:val="center"/>
            </w:pPr>
            <w:r>
              <w:rPr>
                <w:sz w:val="17"/>
              </w:rPr>
              <w:t>56.2%</w:t>
            </w:r>
          </w:p>
        </w:tc>
        <w:tc>
          <w:tcPr>
            <w:tcW w:type="dxa" w:w="4320"/>
            <w:shd w:fill="ECF0F1" w:val="clear"/>
          </w:tcPr>
          <w:p>
            <w:pPr>
              <w:jc w:val="center"/>
            </w:pPr>
            <w:r>
              <w:rPr>
                <w:sz w:val="17"/>
              </w:rPr>
              <w:t>Media armónicaPrecisión y Sensibilidad</w:t>
            </w:r>
          </w:p>
        </w:tc>
      </w:tr>
      <w:tr>
        <w:tc>
          <w:tcPr>
            <w:tcW w:type="dxa" w:w="2592"/>
          </w:tcPr>
          <w:p>
            <w:pPr>
              <w:jc w:val="left"/>
            </w:pPr>
            <w:r>
              <w:rPr>
                <w:sz w:val="17"/>
              </w:rPr>
              <w:t>Soporte</w:t>
            </w:r>
          </w:p>
        </w:tc>
        <w:tc>
          <w:tcPr>
            <w:tcW w:type="dxa" w:w="1440"/>
          </w:tcPr>
          <w:p>
            <w:pPr>
              <w:jc w:val="center"/>
            </w:pPr>
            <w:r>
              <w:rPr>
                <w:sz w:val="17"/>
              </w:rPr>
              <w:t>58</w:t>
            </w:r>
          </w:p>
        </w:tc>
        <w:tc>
          <w:tcPr>
            <w:tcW w:type="dxa" w:w="1440"/>
          </w:tcPr>
          <w:p>
            <w:pPr>
              <w:jc w:val="center"/>
            </w:pPr>
            <w:r>
              <w:rPr>
                <w:sz w:val="17"/>
              </w:rPr>
              <w:t>—</w:t>
            </w:r>
          </w:p>
        </w:tc>
        <w:tc>
          <w:tcPr>
            <w:tcW w:type="dxa" w:w="4320"/>
          </w:tcPr>
          <w:p>
            <w:pPr>
              <w:jc w:val="center"/>
            </w:pPr>
            <w:r>
              <w:rPr>
                <w:sz w:val="17"/>
              </w:rPr>
              <w:t>Total de casos evaluados</w:t>
            </w:r>
          </w:p>
        </w:tc>
      </w:tr>
    </w:tbl>
    <w:p/>
    <w:p>
      <w:pPr>
        <w:pStyle w:val="Heading2"/>
      </w:pPr>
      <w:r>
        <w:t>Insights</w:t>
      </w:r>
    </w:p>
    <w:p>
      <w:pPr>
        <w:pStyle w:val="ListBullet"/>
      </w:pPr>
      <w:r>
        <w:rPr>
          <w:b/>
          <w:sz w:val="20"/>
        </w:rPr>
        <w:t xml:space="preserve">Precisión baja: </w:t>
      </w:r>
      <w:r>
        <w:rPr>
          <w:sz w:val="20"/>
        </w:rPr>
        <w:t>La precisión del 69.2% indica que la IA genera una cantidad significativa de falsos positivos (4 de 13). Se recomienda calibrar el umbral de clasificación.</w:t>
      </w:r>
    </w:p>
    <w:p>
      <w:pPr>
        <w:pStyle w:val="ListBullet"/>
      </w:pPr>
      <w:r>
        <w:rPr>
          <w:b/>
          <w:sz w:val="20"/>
        </w:rPr>
        <w:t xml:space="preserve">Sensibilidad baja: </w:t>
      </w:r>
      <w:r>
        <w:rPr>
          <w:sz w:val="20"/>
        </w:rPr>
        <w:t>La sensibilidad del 47.4% es baja: la IA deja pasar 10 casos de violencia real (10 falsos negativos). Esto es preocupante porque significa contenido violento no detectado.</w:t>
      </w:r>
    </w:p>
    <w:p>
      <w:pPr>
        <w:pStyle w:val="ListBullet"/>
      </w:pPr>
      <w:r>
        <w:rPr>
          <w:b/>
          <w:sz w:val="20"/>
        </w:rPr>
        <w:t xml:space="preserve">F1-Score: </w:t>
      </w:r>
      <w:r>
        <w:rPr>
          <w:sz w:val="20"/>
        </w:rPr>
        <w:t>El F1-Score de 56.2% representa el equilibrio entre precisión y sensibilidad. Se recomienda mejorar el modelo o ajustar los prompts de clasificación.</w:t>
      </w:r>
    </w:p>
    <w:p>
      <w:r>
        <w:br w:type="page"/>
      </w:r>
    </w:p>
    <w:p>
      <w:pPr>
        <w:pStyle w:val="Heading1"/>
      </w:pPr>
      <w:r>
        <w:t>7. Validación Humana (Human-in-the-Loop)</w:t>
      </w:r>
    </w:p>
    <w:p>
      <w:r>
        <w:rPr>
          <w:b w:val="0"/>
          <w:i w:val="0"/>
          <w:sz w:val="21"/>
        </w:rPr>
        <w:t>El sistema incorpora un ciclo de validación humana donde los revisores pueden estar o no de acuerdo con la clasificación automática. Las correcciones se almacenan en SQLite (fuente de verdad) y las correcciones con desacuerdo se indexan en ChromaDB como ejemplos few-shot para el clasificador RAG.</w:t>
      </w:r>
    </w:p>
    <w:p>
      <w:pPr>
        <w:pStyle w:val="Heading2"/>
      </w:pPr>
      <w:r>
        <w:t>Breakdown de Validación</w:t>
      </w:r>
    </w:p>
    <w:tbl>
      <w:tblPr>
        <w:tblStyle w:val="TableGrid"/>
        <w:tblW w:type="auto" w:w="0"/>
        <w:jc w:val="center"/>
        <w:tblLook w:firstColumn="1" w:firstRow="1" w:lastColumn="0" w:lastRow="0" w:noHBand="0" w:noVBand="1" w:val="04A0"/>
      </w:tblPr>
      <w:tblGrid>
        <w:gridCol w:w="4514"/>
        <w:gridCol w:w="4514"/>
      </w:tblGrid>
      <w:tr>
        <w:tc>
          <w:tcPr>
            <w:tcW w:type="dxa" w:w="4320"/>
            <w:shd w:fill="2C3E50" w:val="clear"/>
            <w:vAlign w:val="center"/>
          </w:tcPr>
          <w:p>
            <w:pPr>
              <w:jc w:val="center"/>
            </w:pPr>
            <w:r>
              <w:rPr>
                <w:b/>
                <w:color w:val="FFFFFF"/>
                <w:sz w:val="18"/>
              </w:rPr>
              <w:t>Métrica</w:t>
            </w:r>
          </w:p>
        </w:tc>
        <w:tc>
          <w:tcPr>
            <w:tcW w:type="dxa" w:w="2880"/>
            <w:shd w:fill="2C3E50" w:val="clear"/>
            <w:vAlign w:val="center"/>
          </w:tcPr>
          <w:p>
            <w:pPr>
              <w:jc w:val="center"/>
            </w:pPr>
            <w:r>
              <w:rPr>
                <w:b/>
                <w:color w:val="FFFFFF"/>
                <w:sz w:val="18"/>
              </w:rPr>
              <w:t>Valor</w:t>
            </w:r>
          </w:p>
        </w:tc>
      </w:tr>
      <w:tr>
        <w:tc>
          <w:tcPr>
            <w:tcW w:type="dxa" w:w="4320"/>
            <w:shd w:fill="ECF0F1" w:val="clear"/>
          </w:tcPr>
          <w:p>
            <w:pPr>
              <w:jc w:val="left"/>
            </w:pPr>
            <w:r>
              <w:rPr>
                <w:sz w:val="17"/>
              </w:rPr>
              <w:t>Total analizable (neto)</w:t>
            </w:r>
          </w:p>
        </w:tc>
        <w:tc>
          <w:tcPr>
            <w:tcW w:type="dxa" w:w="2880"/>
            <w:shd w:fill="ECF0F1" w:val="clear"/>
          </w:tcPr>
          <w:p>
            <w:pPr>
              <w:jc w:val="center"/>
            </w:pPr>
            <w:r>
              <w:rPr>
                <w:sz w:val="17"/>
              </w:rPr>
              <w:t>55</w:t>
            </w:r>
          </w:p>
        </w:tc>
      </w:tr>
      <w:tr>
        <w:tc>
          <w:tcPr>
            <w:tcW w:type="dxa" w:w="4320"/>
          </w:tcPr>
          <w:p>
            <w:pPr>
              <w:jc w:val="left"/>
            </w:pPr>
            <w:r>
              <w:rPr>
                <w:sz w:val="17"/>
              </w:rPr>
              <w:t>Validados (acuerdo + desacuerdo)</w:t>
            </w:r>
          </w:p>
        </w:tc>
        <w:tc>
          <w:tcPr>
            <w:tcW w:type="dxa" w:w="2880"/>
          </w:tcPr>
          <w:p>
            <w:pPr>
              <w:jc w:val="center"/>
            </w:pPr>
            <w:r>
              <w:rPr>
                <w:sz w:val="17"/>
              </w:rPr>
              <w:t>55 (100.0%)</w:t>
            </w:r>
          </w:p>
        </w:tc>
      </w:tr>
      <w:tr>
        <w:tc>
          <w:tcPr>
            <w:tcW w:type="dxa" w:w="4320"/>
            <w:shd w:fill="ECF0F1" w:val="clear"/>
          </w:tcPr>
          <w:p>
            <w:pPr>
              <w:jc w:val="left"/>
            </w:pPr>
            <w:r>
              <w:rPr>
                <w:sz w:val="17"/>
              </w:rPr>
              <w:t xml:space="preserve">  Acuerdo (AI = humano)</w:t>
            </w:r>
          </w:p>
        </w:tc>
        <w:tc>
          <w:tcPr>
            <w:tcW w:type="dxa" w:w="2880"/>
            <w:shd w:fill="ECF0F1" w:val="clear"/>
          </w:tcPr>
          <w:p>
            <w:pPr>
              <w:jc w:val="center"/>
            </w:pPr>
            <w:r>
              <w:rPr>
                <w:sz w:val="17"/>
              </w:rPr>
              <w:t>34</w:t>
            </w:r>
          </w:p>
        </w:tc>
      </w:tr>
      <w:tr>
        <w:tc>
          <w:tcPr>
            <w:tcW w:type="dxa" w:w="4320"/>
          </w:tcPr>
          <w:p>
            <w:pPr>
              <w:jc w:val="left"/>
            </w:pPr>
            <w:r>
              <w:rPr>
                <w:sz w:val="17"/>
              </w:rPr>
              <w:t xml:space="preserve">  Desacuerdo (humano corrige)</w:t>
            </w:r>
          </w:p>
        </w:tc>
        <w:tc>
          <w:tcPr>
            <w:tcW w:type="dxa" w:w="2880"/>
          </w:tcPr>
          <w:p>
            <w:pPr>
              <w:jc w:val="center"/>
            </w:pPr>
            <w:r>
              <w:rPr>
                <w:sz w:val="17"/>
              </w:rPr>
              <w:t>21</w:t>
            </w:r>
          </w:p>
        </w:tc>
      </w:tr>
      <w:tr>
        <w:tc>
          <w:tcPr>
            <w:tcW w:type="dxa" w:w="4320"/>
            <w:shd w:fill="ECF0F1" w:val="clear"/>
          </w:tcPr>
          <w:p>
            <w:pPr>
              <w:jc w:val="left"/>
            </w:pPr>
            <w:r>
              <w:rPr>
                <w:sz w:val="17"/>
              </w:rPr>
              <w:t>Pendientes de revisión</w:t>
            </w:r>
          </w:p>
        </w:tc>
        <w:tc>
          <w:tcPr>
            <w:tcW w:type="dxa" w:w="2880"/>
            <w:shd w:fill="ECF0F1" w:val="clear"/>
          </w:tcPr>
          <w:p>
            <w:pPr>
              <w:jc w:val="center"/>
            </w:pPr>
            <w:r>
              <w:rPr>
                <w:sz w:val="17"/>
              </w:rPr>
              <w:t>0 (0.0%)</w:t>
            </w:r>
          </w:p>
        </w:tc>
      </w:tr>
      <w:tr>
        <w:tc>
          <w:tcPr>
            <w:tcW w:type="dxa" w:w="4320"/>
          </w:tcPr>
          <w:p>
            <w:pPr>
              <w:jc w:val="left"/>
            </w:pPr>
            <w:r>
              <w:rPr>
                <w:sz w:val="17"/>
              </w:rPr>
              <w:t>Total original (con excluidos)</w:t>
            </w:r>
          </w:p>
        </w:tc>
        <w:tc>
          <w:tcPr>
            <w:tcW w:type="dxa" w:w="2880"/>
          </w:tcPr>
          <w:p>
            <w:pPr>
              <w:jc w:val="center"/>
            </w:pPr>
            <w:r>
              <w:rPr>
                <w:sz w:val="17"/>
              </w:rPr>
              <w:t>69</w:t>
            </w:r>
          </w:p>
        </w:tc>
      </w:tr>
    </w:tbl>
    <w:p/>
    <w:p>
      <w:pPr>
        <w:pStyle w:val="Heading2"/>
      </w:pPr>
      <w:r>
        <w:t>Breakdown de Ajustes</w:t>
      </w:r>
    </w:p>
    <w:tbl>
      <w:tblPr>
        <w:tblStyle w:val="TableGrid"/>
        <w:tblW w:type="auto" w:w="0"/>
        <w:jc w:val="center"/>
        <w:tblLook w:firstColumn="1" w:firstRow="1" w:lastColumn="0" w:lastRow="0" w:noHBand="0" w:noVBand="1" w:val="04A0"/>
      </w:tblPr>
      <w:tblGrid>
        <w:gridCol w:w="4514"/>
        <w:gridCol w:w="4514"/>
      </w:tblGrid>
      <w:tr>
        <w:tc>
          <w:tcPr>
            <w:tcW w:type="dxa" w:w="4320"/>
            <w:shd w:fill="2C3E50" w:val="clear"/>
            <w:vAlign w:val="center"/>
          </w:tcPr>
          <w:p>
            <w:pPr>
              <w:jc w:val="center"/>
            </w:pPr>
            <w:r>
              <w:rPr>
                <w:b/>
                <w:color w:val="FFFFFF"/>
                <w:sz w:val="18"/>
              </w:rPr>
              <w:t>Categoría</w:t>
            </w:r>
          </w:p>
        </w:tc>
        <w:tc>
          <w:tcPr>
            <w:tcW w:type="dxa" w:w="2880"/>
            <w:shd w:fill="2C3E50" w:val="clear"/>
            <w:vAlign w:val="center"/>
          </w:tcPr>
          <w:p>
            <w:pPr>
              <w:jc w:val="center"/>
            </w:pPr>
            <w:r>
              <w:rPr>
                <w:b/>
                <w:color w:val="FFFFFF"/>
                <w:sz w:val="18"/>
              </w:rPr>
              <w:t>Valor</w:t>
            </w:r>
          </w:p>
        </w:tc>
      </w:tr>
      <w:tr>
        <w:tc>
          <w:tcPr>
            <w:tcW w:type="dxa" w:w="4320"/>
            <w:shd w:fill="ECF0F1" w:val="clear"/>
          </w:tcPr>
          <w:p>
            <w:pPr>
              <w:jc w:val="left"/>
            </w:pPr>
            <w:r>
              <w:rPr>
                <w:sz w:val="17"/>
              </w:rPr>
              <w:t>Contenidos autónomos (AI correcta)</w:t>
            </w:r>
          </w:p>
        </w:tc>
        <w:tc>
          <w:tcPr>
            <w:tcW w:type="dxa" w:w="2880"/>
            <w:shd w:fill="ECF0F1" w:val="clear"/>
          </w:tcPr>
          <w:p>
            <w:pPr>
              <w:jc w:val="center"/>
            </w:pPr>
            <w:r>
              <w:rPr>
                <w:sz w:val="17"/>
              </w:rPr>
              <w:t>48 (69.6%)</w:t>
            </w:r>
          </w:p>
        </w:tc>
      </w:tr>
      <w:tr>
        <w:tc>
          <w:tcPr>
            <w:tcW w:type="dxa" w:w="4320"/>
          </w:tcPr>
          <w:p>
            <w:pPr>
              <w:jc w:val="left"/>
            </w:pPr>
            <w:r>
              <w:rPr>
                <w:sz w:val="17"/>
              </w:rPr>
              <w:t>Contenidos ajustados por humano</w:t>
            </w:r>
          </w:p>
        </w:tc>
        <w:tc>
          <w:tcPr>
            <w:tcW w:type="dxa" w:w="2880"/>
          </w:tcPr>
          <w:p>
            <w:pPr>
              <w:jc w:val="center"/>
            </w:pPr>
            <w:r>
              <w:rPr>
                <w:sz w:val="17"/>
              </w:rPr>
              <w:t>21 (30.4%)</w:t>
            </w:r>
          </w:p>
        </w:tc>
      </w:tr>
      <w:tr>
        <w:tc>
          <w:tcPr>
            <w:tcW w:type="dxa" w:w="4320"/>
            <w:shd w:fill="ECF0F1" w:val="clear"/>
          </w:tcPr>
          <w:p>
            <w:pPr>
              <w:jc w:val="left"/>
            </w:pPr>
            <w:r>
              <w:rPr>
                <w:sz w:val="17"/>
              </w:rPr>
              <w:t>Total</w:t>
            </w:r>
          </w:p>
        </w:tc>
        <w:tc>
          <w:tcPr>
            <w:tcW w:type="dxa" w:w="2880"/>
            <w:shd w:fill="ECF0F1" w:val="clear"/>
          </w:tcPr>
          <w:p>
            <w:pPr>
              <w:jc w:val="center"/>
            </w:pPr>
            <w:r>
              <w:rPr>
                <w:sz w:val="17"/>
              </w:rPr>
              <w:t>69</w:t>
            </w:r>
          </w:p>
        </w:tc>
      </w:tr>
    </w:tbl>
    <w:p/>
    <w:p>
      <w:pPr>
        <w:pStyle w:val="Heading2"/>
      </w:pPr>
      <w:r>
        <w:t>Insights</w:t>
      </w:r>
    </w:p>
    <w:p>
      <w:pPr>
        <w:pStyle w:val="ListBullet"/>
      </w:pPr>
      <w:r>
        <w:rPr>
          <w:b/>
          <w:sz w:val="20"/>
        </w:rPr>
        <w:t xml:space="preserve">Cobertura completa: </w:t>
      </w:r>
      <w:r>
        <w:rPr>
          <w:sz w:val="20"/>
        </w:rPr>
        <w:t>El 100% de los registros analizables han sido revisados por humanos. Esto proporciona un ground truth completo para evaluar al clasificador.</w:t>
      </w:r>
    </w:p>
    <w:p>
      <w:pPr>
        <w:pStyle w:val="ListBullet"/>
      </w:pPr>
      <w:r>
        <w:rPr>
          <w:b/>
          <w:sz w:val="20"/>
        </w:rPr>
        <w:t xml:space="preserve">Tasa de acuerdo: </w:t>
      </w:r>
      <w:r>
        <w:rPr>
          <w:sz w:val="20"/>
        </w:rPr>
        <w:t>El 61.8% de las revisiones terminaron en acuerdo, lo que indica margen de mejora en la calibración del clasificador.</w:t>
      </w:r>
    </w:p>
    <w:p>
      <w:pPr>
        <w:pStyle w:val="ListBullet"/>
      </w:pPr>
      <w:r>
        <w:rPr>
          <w:b/>
          <w:sz w:val="20"/>
        </w:rPr>
        <w:t xml:space="preserve">Intervención humana: </w:t>
      </w:r>
      <w:r>
        <w:rPr>
          <w:sz w:val="20"/>
        </w:rPr>
        <w:t>El 30.4% de los contenidos requirió corrección humana. Estos 21 casos son los que se indexan en ChromaDB como ejemplos few-shot para mejorar futuras clasificaciones.</w:t>
      </w:r>
    </w:p>
    <w:p>
      <w:r>
        <w:br w:type="page"/>
      </w:r>
    </w:p>
    <w:p>
      <w:pPr>
        <w:pStyle w:val="Heading1"/>
      </w:pPr>
      <w:r>
        <w:t>8. Conclusiones y Recomendaciones</w:t>
      </w:r>
    </w:p>
    <w:p>
      <w:r>
        <w:rPr>
          <w:b/>
          <w:i w:val="0"/>
          <w:sz w:val="21"/>
        </w:rPr>
        <w:t>Hallazgos clave del análisis estadístico:</w:t>
      </w:r>
    </w:p>
    <w:p>
      <w:pPr>
        <w:pStyle w:val="ListBullet"/>
      </w:pPr>
      <w:r>
        <w:rPr>
          <w:sz w:val="20"/>
        </w:rPr>
        <w:t>El dataset contiene 69 registros de los cuales 21.7% son violentos. La categoría dominante es 'Violencia Simbólica'.</w:t>
      </w:r>
    </w:p>
    <w:p>
      <w:pPr>
        <w:pStyle w:val="ListBullet"/>
      </w:pPr>
      <w:r>
        <w:rPr>
          <w:sz w:val="20"/>
        </w:rPr>
        <w:t>La fiabilidad de datos es CRÍTICA (17.39% de basura digital). El scraper necesita revisión para reducir la captura de contenido vacío.</w:t>
      </w:r>
    </w:p>
    <w:p>
      <w:pPr>
        <w:pStyle w:val="ListBullet"/>
      </w:pPr>
      <w:r>
        <w:rPr>
          <w:sz w:val="20"/>
        </w:rPr>
        <w:t>El clasificador RAG tiene una precisión del 69.2% y una sensibilidad del 47.4%. El F1-Score de 56.2% indica necesidad de calibración.</w:t>
      </w:r>
    </w:p>
    <w:p>
      <w:pPr>
        <w:pStyle w:val="ListBullet"/>
      </w:pPr>
      <w:r>
        <w:rPr>
          <w:sz w:val="20"/>
        </w:rPr>
        <w:t>El 100.0% del dataset ha sido validado por humanos, con una tasa de acuerdo del 61.8%. El 30.4% de contenidos requirió corrección.</w:t>
      </w:r>
    </w:p>
    <w:p>
      <w:pPr>
        <w:pStyle w:val="Heading2"/>
      </w:pPr>
      <w:r>
        <w:t>Recomendaciones</w:t>
      </w:r>
    </w:p>
    <w:p>
      <w:pPr>
        <w:pStyle w:val="ListBullet"/>
      </w:pPr>
      <w:r>
        <w:rPr>
          <w:b/>
          <w:sz w:val="20"/>
        </w:rPr>
        <w:t xml:space="preserve">Mejora del scraper: </w:t>
      </w:r>
      <w:r>
        <w:rPr>
          <w:sz w:val="20"/>
        </w:rPr>
        <w:t>Revisar la configuración del scraper para filtrar contenido multimedia sin texto antes de persistirlo (COND_1_VACIO).</w:t>
      </w:r>
    </w:p>
    <w:p>
      <w:pPr>
        <w:pStyle w:val="ListBullet"/>
      </w:pPr>
      <w:r>
        <w:rPr>
          <w:b/>
          <w:sz w:val="20"/>
        </w:rPr>
        <w:t xml:space="preserve">Calibración del modelo: </w:t>
      </w:r>
      <w:r>
        <w:rPr>
          <w:sz w:val="20"/>
        </w:rPr>
        <w:t>Calibrar el clasificador para reducir falsos negativos (10 casos) — priorizar recall sobre precisión dado el dominio de aplicación (detección de violencia).</w:t>
      </w:r>
    </w:p>
    <w:p>
      <w:pPr>
        <w:pStyle w:val="ListBullet"/>
      </w:pPr>
      <w:r>
        <w:rPr>
          <w:b/>
          <w:sz w:val="20"/>
        </w:rPr>
        <w:t xml:space="preserve">Retroalimentación RAG: </w:t>
      </w:r>
      <w:r>
        <w:rPr>
          <w:sz w:val="20"/>
        </w:rPr>
        <w:t>Indexar los 21 desacuerdos en ChromaDB para enriquecer los ejemplos few-shot del RAGClassifier.</w:t>
      </w:r>
    </w:p>
    <w:p>
      <w:pPr>
        <w:pStyle w:val="ListBullet"/>
      </w:pPr>
      <w:r>
        <w:rPr>
          <w:b/>
          <w:sz w:val="20"/>
        </w:rPr>
        <w:t xml:space="preserve">Cobertura de validación: </w:t>
      </w:r>
      <w:r>
        <w:rPr>
          <w:sz w:val="20"/>
        </w:rPr>
        <w:t>Continuar con el proceso de validación humana hasta alcanzar al menos el 80% de cobertura del dataset.</w:t>
      </w:r>
    </w:p>
    <w:sectPr w:rsidR="00FC693F" w:rsidRPr="0006063C" w:rsidSect="00034616">
      <w:pgSz w:w="11909" w:h="16834"/>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