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6B4E71"/>
          <w:sz w:val="72"/>
        </w:rPr>
        <w:t>Manual de Uso</w:t>
      </w:r>
    </w:p>
    <w:p>
      <w:pPr>
        <w:jc w:val="center"/>
      </w:pPr>
      <w:r>
        <w:rPr>
          <w:rFonts w:ascii="Calibri" w:hAnsi="Calibri"/>
          <w:color w:val="C08497"/>
          <w:sz w:val="48"/>
        </w:rPr>
        <w:t>Enola Investigadora Digital</w:t>
      </w:r>
    </w:p>
    <w:p/>
    <w:p>
      <w:pPr>
        <w:spacing w:after="160"/>
        <w:jc w:val="center"/>
      </w:pPr>
      <w:r>
        <w:rPr>
          <w:rFonts w:ascii="Calibri" w:hAnsi="Calibri"/>
          <w:color w:val="6B5E73"/>
          <w:sz w:val="26"/>
        </w:rPr>
        <w:t>Plataforma de detección de violencia de género digital</w:t>
        <w:br/>
        <w:t>basada en RAG (Retrieval-Augmented Generation)</w:t>
      </w:r>
    </w:p>
    <w:p/>
    <w:p/>
    <w:p>
      <w:pPr>
        <w:jc w:val="center"/>
      </w:pPr>
      <w:r>
        <w:rPr>
          <w:rFonts w:ascii="Calibri" w:hAnsi="Calibri"/>
          <w:color w:val="6B5E73"/>
          <w:sz w:val="22"/>
        </w:rPr>
        <w:t>Universidad de Granada — Máster en Cultura de Paz y DDHH</w:t>
        <w:br/>
        <w:t>TFM 2026</w:t>
      </w:r>
    </w:p>
    <w:p>
      <w:pPr>
        <w:jc w:val="center"/>
      </w:pPr>
      <w:r>
        <w:rPr>
          <w:rFonts w:ascii="Calibri" w:hAnsi="Calibri"/>
          <w:color w:val="6B5E73"/>
          <w:sz w:val="20"/>
        </w:rPr>
        <w:t>Investigadora: Kimberly Michell Luna Eraso</w:t>
        <w:br/>
        <w:t>Tutora: María del Mar García Vita</w:t>
      </w:r>
    </w:p>
    <w:p>
      <w:r>
        <w:br w:type="page"/>
      </w:r>
    </w:p>
    <w:p>
      <w:pPr>
        <w:pStyle w:val="Heading1"/>
      </w:pPr>
      <w:r>
        <w:rPr>
          <w:color w:val="6B4E71"/>
        </w:rPr>
        <w:t>Tabla de Contenidos</w:t>
      </w:r>
    </w:p>
    <w:p>
      <w:pPr>
        <w:spacing w:after="80"/>
      </w:pPr>
      <w:r>
        <w:rPr>
          <w:rFonts w:ascii="Calibri" w:hAnsi="Calibri"/>
          <w:b/>
          <w:color w:val="6B4E71"/>
          <w:sz w:val="24"/>
        </w:rPr>
        <w:t xml:space="preserve">1.  </w:t>
      </w:r>
      <w:r>
        <w:rPr>
          <w:rFonts w:ascii="Calibri" w:hAnsi="Calibri"/>
          <w:color w:val="3A3142"/>
          <w:sz w:val="24"/>
        </w:rPr>
        <w:t>Introducción</w:t>
      </w:r>
    </w:p>
    <w:p>
      <w:pPr>
        <w:spacing w:after="80"/>
      </w:pPr>
      <w:r>
        <w:rPr>
          <w:rFonts w:ascii="Calibri" w:hAnsi="Calibri"/>
          <w:b/>
          <w:color w:val="6B4E71"/>
          <w:sz w:val="24"/>
        </w:rPr>
        <w:t xml:space="preserve">2.  </w:t>
      </w:r>
      <w:r>
        <w:rPr>
          <w:rFonts w:ascii="Calibri" w:hAnsi="Calibri"/>
          <w:color w:val="3A3142"/>
          <w:sz w:val="24"/>
        </w:rPr>
        <w:t>Acceso a la Plataforma</w:t>
      </w:r>
    </w:p>
    <w:p>
      <w:pPr>
        <w:spacing w:after="80"/>
      </w:pPr>
      <w:r>
        <w:rPr>
          <w:rFonts w:ascii="Calibri" w:hAnsi="Calibri"/>
          <w:b/>
          <w:color w:val="6B4E71"/>
          <w:sz w:val="24"/>
        </w:rPr>
        <w:t xml:space="preserve">3.  </w:t>
      </w:r>
      <w:r>
        <w:rPr>
          <w:rFonts w:ascii="Calibri" w:hAnsi="Calibri"/>
          <w:color w:val="3A3142"/>
          <w:sz w:val="24"/>
        </w:rPr>
        <w:t>Panel de Inicio (Dashboard)</w:t>
      </w:r>
    </w:p>
    <w:p>
      <w:pPr>
        <w:spacing w:after="80"/>
      </w:pPr>
      <w:r>
        <w:rPr>
          <w:rFonts w:ascii="Calibri" w:hAnsi="Calibri"/>
          <w:b/>
          <w:color w:val="6B4E71"/>
          <w:sz w:val="24"/>
        </w:rPr>
        <w:t xml:space="preserve">4.  </w:t>
      </w:r>
      <w:r>
        <w:rPr>
          <w:rFonts w:ascii="Calibri" w:hAnsi="Calibri"/>
          <w:color w:val="3A3142"/>
          <w:sz w:val="24"/>
        </w:rPr>
        <w:t>Página de Validación Humana</w:t>
      </w:r>
    </w:p>
    <w:p>
      <w:pPr>
        <w:spacing w:after="80"/>
      </w:pPr>
      <w:r>
        <w:rPr>
          <w:rFonts w:ascii="Calibri" w:hAnsi="Calibri"/>
          <w:b/>
          <w:color w:val="6B4E71"/>
          <w:sz w:val="24"/>
        </w:rPr>
        <w:t xml:space="preserve">5.  </w:t>
      </w:r>
      <w:r>
        <w:rPr>
          <w:rFonts w:ascii="Calibri" w:hAnsi="Calibri"/>
          <w:color w:val="3A3142"/>
          <w:sz w:val="24"/>
        </w:rPr>
        <w:t>Módulo de Estadística</w:t>
      </w:r>
    </w:p>
    <w:p>
      <w:pPr>
        <w:spacing w:after="80"/>
      </w:pPr>
      <w:r>
        <w:rPr>
          <w:rFonts w:ascii="Calibri" w:hAnsi="Calibri"/>
          <w:b/>
          <w:color w:val="6B4E71"/>
          <w:sz w:val="24"/>
        </w:rPr>
        <w:t xml:space="preserve">6.  </w:t>
      </w:r>
      <w:r>
        <w:rPr>
          <w:rFonts w:ascii="Calibri" w:hAnsi="Calibri"/>
          <w:color w:val="3A3142"/>
          <w:sz w:val="24"/>
        </w:rPr>
        <w:t>Módulo de IA y Confiabilidad</w:t>
      </w:r>
    </w:p>
    <w:p>
      <w:pPr>
        <w:spacing w:after="80"/>
      </w:pPr>
      <w:r>
        <w:rPr>
          <w:rFonts w:ascii="Calibri" w:hAnsi="Calibri"/>
          <w:b/>
          <w:color w:val="6B4E71"/>
          <w:sz w:val="24"/>
        </w:rPr>
        <w:t xml:space="preserve">7.  </w:t>
      </w:r>
      <w:r>
        <w:rPr>
          <w:rFonts w:ascii="Calibri" w:hAnsi="Calibri"/>
          <w:color w:val="3A3142"/>
          <w:sz w:val="24"/>
        </w:rPr>
        <w:t>Inspector de Contenido</w:t>
      </w:r>
    </w:p>
    <w:p>
      <w:pPr>
        <w:spacing w:after="80"/>
      </w:pPr>
      <w:r>
        <w:rPr>
          <w:rFonts w:ascii="Calibri" w:hAnsi="Calibri"/>
          <w:b/>
          <w:color w:val="6B4E71"/>
          <w:sz w:val="24"/>
        </w:rPr>
        <w:t xml:space="preserve">8.  </w:t>
      </w:r>
      <w:r>
        <w:rPr>
          <w:rFonts w:ascii="Calibri" w:hAnsi="Calibri"/>
          <w:color w:val="3A3142"/>
          <w:sz w:val="24"/>
        </w:rPr>
        <w:t>Base de Conocimiento</w:t>
      </w:r>
    </w:p>
    <w:p>
      <w:pPr>
        <w:spacing w:after="80"/>
      </w:pPr>
      <w:r>
        <w:rPr>
          <w:rFonts w:ascii="Calibri" w:hAnsi="Calibri"/>
          <w:b/>
          <w:color w:val="6B4E71"/>
          <w:sz w:val="24"/>
        </w:rPr>
        <w:t xml:space="preserve">9.  </w:t>
      </w:r>
      <w:r>
        <w:rPr>
          <w:rFonts w:ascii="Calibri" w:hAnsi="Calibri"/>
          <w:color w:val="3A3142"/>
          <w:sz w:val="24"/>
        </w:rPr>
        <w:t>Chat con Enola (RAG)</w:t>
      </w:r>
    </w:p>
    <w:p>
      <w:pPr>
        <w:spacing w:after="80"/>
      </w:pPr>
      <w:r>
        <w:rPr>
          <w:rFonts w:ascii="Calibri" w:hAnsi="Calibri"/>
          <w:b/>
          <w:color w:val="6B4E71"/>
          <w:sz w:val="24"/>
        </w:rPr>
        <w:t xml:space="preserve">10.  </w:t>
      </w:r>
      <w:r>
        <w:rPr>
          <w:rFonts w:ascii="Calibri" w:hAnsi="Calibri"/>
          <w:color w:val="3A3142"/>
          <w:sz w:val="24"/>
        </w:rPr>
        <w:t>Modo Oscuro</w:t>
      </w:r>
    </w:p>
    <w:p>
      <w:pPr>
        <w:spacing w:after="80"/>
      </w:pPr>
      <w:r>
        <w:rPr>
          <w:rFonts w:ascii="Calibri" w:hAnsi="Calibri"/>
          <w:b/>
          <w:color w:val="6B4E71"/>
          <w:sz w:val="24"/>
        </w:rPr>
        <w:t xml:space="preserve">11.  </w:t>
      </w:r>
      <w:r>
        <w:rPr>
          <w:rFonts w:ascii="Calibri" w:hAnsi="Calibri"/>
          <w:color w:val="3A3142"/>
          <w:sz w:val="24"/>
        </w:rPr>
        <w:t>Glosario</w:t>
      </w:r>
    </w:p>
    <w:p>
      <w:r>
        <w:br w:type="page"/>
      </w:r>
    </w:p>
    <w:p>
      <w:pPr>
        <w:pStyle w:val="Heading1"/>
      </w:pPr>
      <w:r>
        <w:rPr>
          <w:color w:val="6B4E71"/>
        </w:rPr>
        <w:t>1. Introducción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Enola Investigadora Digital es una plataforma académica diseñada para detectar contenido de violencia de género en publicaciones de Facebook. Utiliza técnicas de RAG (Retrieval-Augmented Generation) combinando un modelo de lenguaje local (Ollama) con una base de conocimiento indexada en ChromaDB.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La plataforma permite a investigadores y revisores analizar, validar y generar reportes estadísticos sobre la incidencia de violencia de género digital, siguiendo una taxonomía de 6 categorías principales con 19 subdimensiones.</w:t>
      </w:r>
    </w:p>
    <w:p>
      <w:pPr>
        <w:pStyle w:val="Heading2"/>
      </w:pPr>
      <w:r>
        <w:rPr>
          <w:color w:val="6B4E71"/>
        </w:rPr>
        <w:t>Stack Tecnológico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Python 3.12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NiceGUI (interface web)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Ollama (modelos de lenguaje locales)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ChromaDB (base de vectores para RAG)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LangChain (orquestación LLM)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SQLite (almacenamiento de análisis y feedback)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Captura de datos de Facebook</w:t>
      </w:r>
    </w:p>
    <w:p>
      <w:pPr>
        <w:pStyle w:val="Heading2"/>
      </w:pPr>
      <w:r>
        <w:rPr>
          <w:color w:val="6B4E71"/>
        </w:rPr>
        <w:t>Categorías de Violencia de Género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La plataforma clasifica el contenido en 6 categorías principales:</w:t>
      </w:r>
    </w:p>
    <w:p>
      <w:pPr>
        <w:pStyle w:val="ListBullet"/>
      </w:pPr>
      <w:r>
        <w:rPr>
          <w:rFonts w:ascii="Calibri" w:hAnsi="Calibri"/>
          <w:b/>
          <w:color w:val="3A3142"/>
          <w:sz w:val="22"/>
        </w:rPr>
        <w:t xml:space="preserve">1. </w:t>
      </w:r>
      <w:r>
        <w:rPr>
          <w:rFonts w:ascii="Calibri" w:hAnsi="Calibri"/>
          <w:color w:val="3A3142"/>
          <w:sz w:val="22"/>
        </w:rPr>
        <w:t xml:space="preserve"> Violencia simbólica</w:t>
      </w:r>
    </w:p>
    <w:p>
      <w:pPr>
        <w:pStyle w:val="ListBullet"/>
      </w:pPr>
      <w:r>
        <w:rPr>
          <w:rFonts w:ascii="Calibri" w:hAnsi="Calibri"/>
          <w:b/>
          <w:color w:val="3A3142"/>
          <w:sz w:val="22"/>
        </w:rPr>
        <w:t xml:space="preserve">2. </w:t>
      </w:r>
      <w:r>
        <w:rPr>
          <w:rFonts w:ascii="Calibri" w:hAnsi="Calibri"/>
          <w:color w:val="3A3142"/>
          <w:sz w:val="22"/>
        </w:rPr>
        <w:t xml:space="preserve"> Cosificación / Slut-shaming</w:t>
      </w:r>
    </w:p>
    <w:p>
      <w:pPr>
        <w:pStyle w:val="ListBullet"/>
      </w:pPr>
      <w:r>
        <w:rPr>
          <w:rFonts w:ascii="Calibri" w:hAnsi="Calibri"/>
          <w:b/>
          <w:color w:val="3A3142"/>
          <w:sz w:val="22"/>
        </w:rPr>
        <w:t xml:space="preserve">3. </w:t>
      </w:r>
      <w:r>
        <w:rPr>
          <w:rFonts w:ascii="Calibri" w:hAnsi="Calibri"/>
          <w:color w:val="3A3142"/>
          <w:sz w:val="22"/>
        </w:rPr>
        <w:t xml:space="preserve"> Hostilidad / Feminicidio</w:t>
      </w:r>
    </w:p>
    <w:p>
      <w:pPr>
        <w:pStyle w:val="ListBullet"/>
      </w:pPr>
      <w:r>
        <w:rPr>
          <w:rFonts w:ascii="Calibri" w:hAnsi="Calibri"/>
          <w:b/>
          <w:color w:val="3A3142"/>
          <w:sz w:val="22"/>
        </w:rPr>
        <w:t xml:space="preserve">4. </w:t>
      </w:r>
      <w:r>
        <w:rPr>
          <w:rFonts w:ascii="Calibri" w:hAnsi="Calibri"/>
          <w:color w:val="3A3142"/>
          <w:sz w:val="22"/>
        </w:rPr>
        <w:t xml:space="preserve"> Manosfera / Antifeminismo</w:t>
      </w:r>
    </w:p>
    <w:p>
      <w:pPr>
        <w:pStyle w:val="ListBullet"/>
      </w:pPr>
      <w:r>
        <w:rPr>
          <w:rFonts w:ascii="Calibri" w:hAnsi="Calibri"/>
          <w:b/>
          <w:color w:val="3A3142"/>
          <w:sz w:val="22"/>
        </w:rPr>
        <w:t xml:space="preserve">5. </w:t>
      </w:r>
      <w:r>
        <w:rPr>
          <w:rFonts w:ascii="Calibri" w:hAnsi="Calibri"/>
          <w:color w:val="3A3142"/>
          <w:sz w:val="22"/>
        </w:rPr>
        <w:t xml:space="preserve"> Desacreditación de activistas</w:t>
      </w:r>
    </w:p>
    <w:p>
      <w:pPr>
        <w:pStyle w:val="ListBullet"/>
      </w:pPr>
      <w:r>
        <w:rPr>
          <w:rFonts w:ascii="Calibri" w:hAnsi="Calibri"/>
          <w:b/>
          <w:color w:val="3A3142"/>
          <w:sz w:val="22"/>
        </w:rPr>
        <w:t xml:space="preserve">6. </w:t>
      </w:r>
      <w:r>
        <w:rPr>
          <w:rFonts w:ascii="Calibri" w:hAnsi="Calibri"/>
          <w:color w:val="3A3142"/>
          <w:sz w:val="22"/>
        </w:rPr>
        <w:t xml:space="preserve"> Falso positivo / Salvaguarda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Además, implementa un filtro de exclusión para detectar basura digital (CÓDIGO 99) y violencia común, que se separan del análisis principal.</w:t>
      </w:r>
    </w:p>
    <w:p>
      <w:r>
        <w:br w:type="page"/>
      </w:r>
    </w:p>
    <w:p>
      <w:pPr>
        <w:pStyle w:val="Heading1"/>
      </w:pPr>
      <w:r>
        <w:rPr>
          <w:color w:val="6B4E71"/>
        </w:rPr>
        <w:t>2. Acceso a la Plataforma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Para acceder a Enola Investigadora Digital, abra su navegador web y diríjase a la dirección del servidor (por ejemplo, http://localhost:8080). La página de inicio se carga automáticamente.</w:t>
      </w:r>
    </w:p>
    <w:p>
      <w:pPr>
        <w:pStyle w:val="Heading2"/>
      </w:pPr>
      <w:r>
        <w:rPr>
          <w:color w:val="6B4E71"/>
        </w:rPr>
        <w:t>Inicio de Sesión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Al acceder a páginas que requieren autenticación (como Validación, Estadística o Inspector), el sistema lo redirigirá automáticamente a la página de login.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Ingrese su nombre de usuario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Ingrese su contraseña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Haga clic en «Iniciar sesión»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E3E3"/>
          </w:tcPr>
          <w:p>
            <w:r/>
            <w:r>
              <w:rPr>
                <w:rFonts w:ascii="Calibri" w:hAnsi="Calibri"/>
                <w:b/>
                <w:color w:val="6B4E71"/>
                <w:sz w:val="20"/>
              </w:rPr>
              <w:t>💡 Tip</w:t>
            </w:r>
          </w:p>
          <w:p>
            <w:r>
              <w:rPr>
                <w:rFonts w:ascii="Calibri" w:hAnsi="Calibri"/>
                <w:color w:val="3A3142"/>
                <w:sz w:val="20"/>
              </w:rPr>
              <w:t>Si no tiene cuenta, contacte al administrador de la plataforma. No existe registro público.</w:t>
            </w:r>
          </w:p>
        </w:tc>
      </w:tr>
    </w:tbl>
    <w:p/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B5E73"/>
          <w:sz w:val="18"/>
        </w:rPr>
        <w:t>Figura 1: Pantalla de inicio de sesión</w:t>
      </w:r>
    </w:p>
    <w:p>
      <w:pPr>
        <w:pStyle w:val="Heading2"/>
      </w:pPr>
      <w:r>
        <w:rPr>
          <w:color w:val="6B4E71"/>
        </w:rPr>
        <w:t>Roles de Usuario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La plataforma maneja dos roles principales: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Permisos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Acceso total: crear/bloquear usuarios, cargar conocimiento, validar, ver estadísticas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reviewer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Validar análisis, ver estadísticas, usar el inspector</w:t>
            </w:r>
          </w:p>
        </w:tc>
      </w:tr>
    </w:tbl>
    <w:p>
      <w:pPr>
        <w:spacing w:after="120"/>
        <w:jc w:val="left"/>
      </w:pPr>
      <w:r>
        <w:rPr>
          <w:rFonts w:ascii="Calibri" w:hAnsi="Calibri"/>
          <w:b w:val="0"/>
          <w:color w:val="3A3142"/>
          <w:sz w:val="12"/>
        </w:rPr>
      </w:r>
    </w:p>
    <w:p>
      <w:pPr>
        <w:pStyle w:val="Heading2"/>
      </w:pPr>
      <w:r>
        <w:rPr>
          <w:color w:val="6B4E71"/>
        </w:rPr>
        <w:t>Cerrar Sesión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Haga clic en «Salir» junto a su nombre de usuario en la barra superior. Al cerrar la pestaña del navegador, la sesión se cierra automáticamente.</w:t>
      </w:r>
    </w:p>
    <w:p>
      <w:r>
        <w:br w:type="page"/>
      </w:r>
    </w:p>
    <w:p>
      <w:pPr>
        <w:pStyle w:val="Heading1"/>
      </w:pPr>
      <w:r>
        <w:rPr>
          <w:color w:val="6B4E71"/>
        </w:rPr>
        <w:t>3. Panel de Inicio (Dashboard)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El panel de inicio es la página principal de la plataforma. Muestra un resumen general del estado del análisis de contenido, incluyendo indicadores clave de rendimiento (KPIs).</w:t>
      </w:r>
    </w:p>
    <w:p>
      <w:pPr>
        <w:pStyle w:val="Heading2"/>
      </w:pPr>
      <w:r>
        <w:rPr>
          <w:color w:val="6B4E71"/>
        </w:rPr>
        <w:t>Elementos del Dashboard</w:t>
      </w:r>
    </w:p>
    <w:p>
      <w:pPr>
        <w:pStyle w:val="Heading3"/>
      </w:pPr>
      <w:r>
        <w:rPr>
          <w:color w:val="6B4E71"/>
        </w:rPr>
        <w:t>Banner de Bienvenida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En la parte superior se muestra el banner de Enola con la ilustración de la investigadora y una breve descripción de la plataforma.</w:t>
      </w:r>
    </w:p>
    <w:p>
      <w:pPr>
        <w:pStyle w:val="Heading3"/>
      </w:pPr>
      <w:r>
        <w:rPr>
          <w:color w:val="6B4E71"/>
        </w:rPr>
        <w:t>Indicadores Clave (KPIs)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Los KPIs muestran información resumida del análisis: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Total de publicaciones analizadas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Total de comentarios analizados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Porcentaje de contenido violento detectado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Total de validaciones realizadas</w:t>
      </w:r>
    </w:p>
    <w:p>
      <w:pPr>
        <w:pStyle w:val="Heading3"/>
      </w:pPr>
      <w:r>
        <w:rPr>
          <w:color w:val="6B4E71"/>
        </w:rPr>
        <w:t>Banner de Fiabilidad (Regla 1)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Se muestra un banner con el nivel de fiabilidad del análisis, indicando la proporción de basura digital detectada:</w:t>
      </w:r>
    </w:p>
    <w:p>
      <w:pPr>
        <w:pStyle w:val="ListBullet"/>
      </w:pPr>
      <w:r>
        <w:rPr>
          <w:rFonts w:ascii="Calibri" w:hAnsi="Calibri"/>
          <w:b/>
          <w:color w:val="3A3142"/>
          <w:sz w:val="22"/>
        </w:rPr>
        <w:t xml:space="preserve">🟢 </w:t>
      </w:r>
      <w:r>
        <w:rPr>
          <w:rFonts w:ascii="Calibri" w:hAnsi="Calibri"/>
          <w:color w:val="3A3142"/>
          <w:sz w:val="22"/>
        </w:rPr>
        <w:t xml:space="preserve"> Nivel OK: menos del 5% de basura digital</w:t>
      </w:r>
    </w:p>
    <w:p>
      <w:pPr>
        <w:pStyle w:val="ListBullet"/>
      </w:pPr>
      <w:r>
        <w:rPr>
          <w:rFonts w:ascii="Calibri" w:hAnsi="Calibri"/>
          <w:b/>
          <w:color w:val="3A3142"/>
          <w:sz w:val="22"/>
        </w:rPr>
        <w:t xml:space="preserve">🟡 </w:t>
      </w:r>
      <w:r>
        <w:rPr>
          <w:rFonts w:ascii="Calibri" w:hAnsi="Calibri"/>
          <w:color w:val="3A3142"/>
          <w:sz w:val="22"/>
        </w:rPr>
        <w:t xml:space="preserve"> Nivel Preventivo: entre 5% y 10%</w:t>
      </w:r>
    </w:p>
    <w:p>
      <w:pPr>
        <w:pStyle w:val="ListBullet"/>
      </w:pPr>
      <w:r>
        <w:rPr>
          <w:rFonts w:ascii="Calibri" w:hAnsi="Calibri"/>
          <w:b/>
          <w:color w:val="3A3142"/>
          <w:sz w:val="22"/>
        </w:rPr>
        <w:t xml:space="preserve">🔴 </w:t>
      </w:r>
      <w:r>
        <w:rPr>
          <w:rFonts w:ascii="Calibri" w:hAnsi="Calibri"/>
          <w:color w:val="3A3142"/>
          <w:sz w:val="22"/>
        </w:rPr>
        <w:t xml:space="preserve"> Nivel Crítico: más del 10%</w:t>
      </w:r>
    </w:p>
    <w:p>
      <w:pPr>
        <w:pStyle w:val="Heading3"/>
      </w:pPr>
      <w:r>
        <w:rPr>
          <w:color w:val="6B4E71"/>
        </w:rPr>
        <w:t>Chat con Enola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En la parte inferior del dashboard se encuentra el chat interactivo con Enola, que responde preguntas sobre la taxonomía y el análisis utilizando RAG.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40543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05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B5E73"/>
          <w:sz w:val="18"/>
        </w:rPr>
        <w:t>Figura 2: Panel de inicio con KPIs y chat</w:t>
      </w:r>
    </w:p>
    <w:p>
      <w:r>
        <w:br w:type="page"/>
      </w:r>
    </w:p>
    <w:p>
      <w:pPr>
        <w:pStyle w:val="Heading1"/>
      </w:pPr>
      <w:r>
        <w:rPr>
          <w:color w:val="6B4E71"/>
        </w:rPr>
        <w:t>4. Página de Validación Humana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La validación humana es una de las funcionalidades centrales de la plataforma. Permite a los revisores corroborar o corregir los análisis realizados por la IA.</w:t>
      </w:r>
    </w:p>
    <w:p>
      <w:pPr>
        <w:pStyle w:val="Heading2"/>
      </w:pPr>
      <w:r>
        <w:rPr>
          <w:color w:val="6B4E71"/>
        </w:rPr>
        <w:t>Panel de KPIs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En la parte superior se muestra un resumen: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Análisis pendientes de revisión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Total de revisiones realizadas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Porcentaje de acuerdo con la IA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Correcciones realizadas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Correcciones indexadas en ChromaDB</w:t>
      </w:r>
    </w:p>
    <w:p>
      <w:pPr>
        <w:pStyle w:val="Heading2"/>
      </w:pPr>
      <w:r>
        <w:rPr>
          <w:color w:val="6B4E71"/>
        </w:rPr>
        <w:t>Filtros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Puede filtrar los análisis por: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Tipo: posts, comentarios, o todos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Estado: todos, pendientes, acuerdo, corregidos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Solo violentos: mostrar únicamente contenido clasificado como violento</w:t>
      </w:r>
    </w:p>
    <w:p>
      <w:pPr>
        <w:pStyle w:val="Heading2"/>
      </w:pPr>
      <w:r>
        <w:rPr>
          <w:color w:val="6B4E71"/>
        </w:rPr>
        <w:t>Revisión de Análisis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Cada análisis muestra: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El texto original del post o comentario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La clasificación de la IA (categoría, dimensión, severidad)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La justificación y evidencia de la clasificación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Los marcadores lingüísticos detectados</w:t>
      </w:r>
    </w:p>
    <w:p>
      <w:pPr>
        <w:pStyle w:val="Heading3"/>
      </w:pPr>
      <w:r>
        <w:rPr>
          <w:color w:val="6B4E71"/>
        </w:rPr>
        <w:t>Formulario Multi-etiqueta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Un mismo contenido puede carry hasta 5 etiquetas de clasificación. El formulario permite: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Agree (estoy de acuerdo con la IA)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Disagree (no estoy de acuerdo)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Agregar/quitar etiquetas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Modificar categoría, dimensión, severidad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Agregar justificación y evidencia</w:t>
      </w:r>
    </w:p>
    <w:p>
      <w:pPr>
        <w:pStyle w:val="Heading3"/>
      </w:pPr>
      <w:r>
        <w:rPr>
          <w:color w:val="6B4E71"/>
        </w:rPr>
        <w:t>Opciones de Guardado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Guardar: solo guarda en SQLite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Guardar e indexar: guarda en SQLite y envía las correcciones a ChromaDB para mejorar futuros análisis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E3E3"/>
          </w:tcPr>
          <w:p>
            <w:r/>
            <w:r>
              <w:rPr>
                <w:rFonts w:ascii="Calibri" w:hAnsi="Calibri"/>
                <w:b/>
                <w:color w:val="6B4E71"/>
                <w:sz w:val="20"/>
              </w:rPr>
              <w:t>🔄 Retroalimentación</w:t>
            </w:r>
          </w:p>
          <w:p>
            <w:r>
              <w:rPr>
                <w:rFonts w:ascii="Calibri" w:hAnsi="Calibri"/>
                <w:color w:val="3A3142"/>
                <w:sz w:val="20"/>
              </w:rPr>
              <w:t>Las correcciones indexadas en ChromaDB se inyectan como ejemplos few-shot en el prompt del LLM, mejorando progresivamente la calidad de las clasificaciones.</w:t>
            </w:r>
          </w:p>
        </w:tc>
      </w:tr>
    </w:tbl>
    <w:p/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7814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alid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1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B5E73"/>
          <w:sz w:val="18"/>
        </w:rPr>
        <w:t>Figura 3: Página de validación humana</w:t>
      </w:r>
    </w:p>
    <w:p>
      <w:r>
        <w:br w:type="page"/>
      </w:r>
    </w:p>
    <w:p>
      <w:pPr>
        <w:pStyle w:val="Heading1"/>
      </w:pPr>
      <w:r>
        <w:rPr>
          <w:color w:val="6B4E71"/>
        </w:rPr>
        <w:t>5. Módulo de Estadística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El módulo de estadística genera reportes basados en las reglas metodológicas del protocolo de investigación.</w:t>
      </w:r>
    </w:p>
    <w:p>
      <w:pPr>
        <w:pStyle w:val="Heading2"/>
      </w:pPr>
      <w:r>
        <w:rPr>
          <w:color w:val="6B4E71"/>
        </w:rPr>
        <w:t>Regla 2: Distribución de Frecuencias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Presenta una tabla con exactamente 4 columnas: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Categoría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Frecuencia Absoluta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Porcentaje Válido (excluye basura digital y violencia común)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Porcentaje Acumulado (llega al 100%)</w:t>
      </w:r>
    </w:p>
    <w:p>
      <w:pPr>
        <w:pStyle w:val="Heading2"/>
      </w:pPr>
      <w:r>
        <w:rPr>
          <w:color w:val="6B4E71"/>
        </w:rPr>
        <w:t>Regla 3: Moda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Identifica la categoría con mayor frecuencia. Detecta distribuciones bimodales o multimodales cuando dos o más categorías comparten la frecuencia máxima.</w:t>
      </w:r>
    </w:p>
    <w:p>
      <w:pPr>
        <w:pStyle w:val="Heading2"/>
      </w:pPr>
      <w:r>
        <w:rPr>
          <w:color w:val="6B4E71"/>
        </w:rPr>
        <w:t>Regla 4: Análisis Bivariado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Tablas de contingencia cruzando categoría contra: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Subdimensión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Página de Facebook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Fecha</w:t>
      </w:r>
    </w:p>
    <w:p>
      <w:pPr>
        <w:pStyle w:val="Heading2"/>
      </w:pPr>
      <w:r>
        <w:rPr>
          <w:color w:val="6B4E71"/>
        </w:rPr>
        <w:t>Gráficos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Gráfico de torta (distribución por categoría)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Gráfico de barras (ordenado de mayor a menor)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Tabla de frecuencias debajo de los gráficos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9649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stadist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64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B5E73"/>
          <w:sz w:val="18"/>
        </w:rPr>
        <w:t>Figura 4: Módulo de estadística</w:t>
      </w:r>
    </w:p>
    <w:p>
      <w:r>
        <w:br w:type="page"/>
      </w:r>
    </w:p>
    <w:p>
      <w:pPr>
        <w:pStyle w:val="Heading1"/>
      </w:pPr>
      <w:r>
        <w:rPr>
          <w:color w:val="6B4E71"/>
        </w:rPr>
        <w:t>6. Módulo de IA y Confiabilidad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Este módulo presenta las métricas de rendimiento del sistema de clasificación automática (Regla 6).</w:t>
      </w:r>
    </w:p>
    <w:p>
      <w:pPr>
        <w:pStyle w:val="Heading2"/>
      </w:pPr>
      <w:r>
        <w:rPr>
          <w:color w:val="6B4E71"/>
        </w:rPr>
        <w:t>Métricas Principales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Precisión: proporción de predicciones correctas sobre el total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Sensibilidad (Recall): proporción de positivos reales detectados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F1-Score: media armónica entre precisión y sensibilidad</w:t>
      </w:r>
    </w:p>
    <w:p>
      <w:pPr>
        <w:pStyle w:val="Heading2"/>
      </w:pPr>
      <w:r>
        <w:rPr>
          <w:color w:val="6B4E71"/>
        </w:rPr>
        <w:t>Matriz de Confusión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Presenta los valores: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Verdaderos Positivos (VP): contenido violento correctamente detectado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Verdaderos Negativos (VN): contenido no violento correctamente identificado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Falsos Positivos (FP): contenido no violento marcado como violento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Falsos Negativos (FN): contenido violento no detectado</w:t>
      </w:r>
    </w:p>
    <w:p>
      <w:pPr>
        <w:pStyle w:val="Heading2"/>
      </w:pPr>
      <w:r>
        <w:rPr>
          <w:color w:val="6B4E71"/>
        </w:rPr>
        <w:t>Interpretación de Métricas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Las métricas se calculan a partir del feedback de los revisores. Cada vez que un revisor valida o corrige un análisis, las métricas se actualizan automáticamente.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E3E3"/>
          </w:tcPr>
          <w:p>
            <w:r/>
            <w:r>
              <w:rPr>
                <w:rFonts w:ascii="Calibri" w:hAnsi="Calibri"/>
                <w:b/>
                <w:color w:val="6B4E71"/>
                <w:sz w:val="20"/>
              </w:rPr>
              <w:t>📊 Dato importante</w:t>
            </w:r>
          </w:p>
          <w:p>
            <w:r>
              <w:rPr>
                <w:rFonts w:ascii="Calibri" w:hAnsi="Calibri"/>
                <w:color w:val="3A3142"/>
                <w:sz w:val="20"/>
              </w:rPr>
              <w:t>Las métricas se calculan usando scikit-learn y se actualizan en tiempo real a medida que se reciben validaciones.</w:t>
            </w:r>
          </w:p>
        </w:tc>
      </w:tr>
    </w:tbl>
    <w:p/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88502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850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B5E73"/>
          <w:sz w:val="18"/>
        </w:rPr>
        <w:t>Figura 5: Módulo de IA y Confiabilidad</w:t>
      </w:r>
    </w:p>
    <w:p>
      <w:r>
        <w:br w:type="page"/>
      </w:r>
    </w:p>
    <w:p>
      <w:pPr>
        <w:pStyle w:val="Heading1"/>
      </w:pPr>
      <w:r>
        <w:rPr>
          <w:color w:val="6B4E71"/>
        </w:rPr>
        <w:t>7. Inspector de Contenido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El inspector permite explorar y buscar en el contenido analizado. Es una herramienta para investigadores que necesitan examinar publicaciones específicas.</w:t>
      </w:r>
    </w:p>
    <w:p>
      <w:pPr>
        <w:pStyle w:val="Heading2"/>
      </w:pPr>
      <w:r>
        <w:rPr>
          <w:color w:val="6B4E71"/>
        </w:rPr>
        <w:t>Funcionalidades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Buscar contenido por texto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Filtrar por categoría de violencia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Filtrar por página de Facebook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Filtrar por rango de fechas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Ver el análisis completo de cada publicación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Navegar entre resultados con paginación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85892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spec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589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B5E73"/>
          <w:sz w:val="18"/>
        </w:rPr>
        <w:t>Figura 6: Inspector de contenido</w:t>
      </w:r>
    </w:p>
    <w:p>
      <w:r>
        <w:br w:type="page"/>
      </w:r>
    </w:p>
    <w:p>
      <w:pPr>
        <w:pStyle w:val="Heading1"/>
      </w:pPr>
      <w:r>
        <w:rPr>
          <w:color w:val="6B4E71"/>
        </w:rPr>
        <w:t>8. Base de Conocimiento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La base de conocimiento es el repositorio de información que alimenta al sistema RAG. Incluye la taxonomía, glosarios y documentos de referencia.</w:t>
      </w:r>
    </w:p>
    <w:p>
      <w:pPr>
        <w:pStyle w:val="Heading2"/>
      </w:pPr>
      <w:r>
        <w:rPr>
          <w:color w:val="6B4E71"/>
        </w:rPr>
        <w:t>Explorar Conocimiento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Permite navegar por la estructura de carpetas del conocimiento indexado en ChromaDB: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Taxonomía de categorías y subdimensiones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Glosarios de términos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Documentos de referencia metodológica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Reglas de clasificación</w:t>
      </w:r>
    </w:p>
    <w:p>
      <w:pPr>
        <w:pStyle w:val="Heading2"/>
      </w:pPr>
      <w:r>
        <w:rPr>
          <w:color w:val="6B4E71"/>
        </w:rPr>
        <w:t>Cargar Documentos (Admin)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Los administradores pueden cargar nuevos documentos a ChromaDB para enriquecer la base de conocimiento. Los documentos se dividen en fragmentos (chunks) y se indexan vectorialmente.</w:t>
      </w:r>
    </w:p>
    <w:p>
      <w:pPr>
        <w:pStyle w:val="Heading2"/>
      </w:pPr>
      <w:r>
        <w:rPr>
          <w:color w:val="6B4E71"/>
        </w:rPr>
        <w:t>Editor de Markdown (Admin)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Permite editar directamente los archivos markdown de la taxonomía y glosarios desde la interfaz web, sin necesidad de acceder al servidor.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0586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ocimi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058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B5E73"/>
          <w:sz w:val="18"/>
        </w:rPr>
        <w:t>Figura 7: Base de conocimiento</w:t>
      </w:r>
    </w:p>
    <w:p>
      <w:r>
        <w:br w:type="page"/>
      </w:r>
    </w:p>
    <w:p>
      <w:pPr>
        <w:pStyle w:val="Heading1"/>
      </w:pPr>
      <w:r>
        <w:rPr>
          <w:color w:val="6B4E71"/>
        </w:rPr>
        <w:t>9. Chat con Enola (RAG)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El chat interactivo es una de las funcionalidades más potentes de la plataforma. Utiliza RAG para responder preguntas basándose en la base de conocimiento indexada.</w:t>
      </w:r>
    </w:p>
    <w:p>
      <w:pPr>
        <w:pStyle w:val="Heading2"/>
      </w:pPr>
      <w:r>
        <w:rPr>
          <w:color w:val="6B4E71"/>
        </w:rPr>
        <w:t>Cómo Usar el Chat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Escriba su pregunta en el campo de texto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Presione Enter o haga clic en el botón de enviar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Enola responderá basándose en la taxonomía y documentos indexados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Las respuestas incluyen referencias a las fuentes utilizadas</w:t>
      </w:r>
    </w:p>
    <w:p>
      <w:pPr>
        <w:pStyle w:val="Heading2"/>
      </w:pPr>
      <w:r>
        <w:rPr>
          <w:color w:val="6B4E71"/>
        </w:rPr>
        <w:t>Ejemplos de Preguntas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¿Qué es la violencia simbólica?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¿Cuáles son las subdimensiones de la categoría 3?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¿Cómo se clasifica el slut-shaming?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¿Qué marcadores lingüísticos indican hostilidad?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E3E3"/>
          </w:tcPr>
          <w:p>
            <w:r/>
            <w:r>
              <w:rPr>
                <w:rFonts w:ascii="Calibri" w:hAnsi="Calibri"/>
                <w:b/>
                <w:color w:val="6B4E71"/>
                <w:sz w:val="20"/>
              </w:rPr>
              <w:t>🤖 Sobre el modelo</w:t>
            </w:r>
          </w:p>
          <w:p>
            <w:r>
              <w:rPr>
                <w:rFonts w:ascii="Calibri" w:hAnsi="Calibri"/>
                <w:color w:val="3A3142"/>
                <w:sz w:val="20"/>
              </w:rPr>
              <w:t>El chat utiliza Ollama con el modelo qwen3.5:9b ejecutándose localmente. Las respuestas se generan en español argentino para mantener coherencia con el dominio de estudio.</w:t>
            </w:r>
          </w:p>
        </w:tc>
      </w:tr>
    </w:tbl>
    <w:p/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40543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05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B5E73"/>
          <w:sz w:val="18"/>
        </w:rPr>
        <w:t>Figura 8: Chat interactivo con Enola</w:t>
      </w:r>
    </w:p>
    <w:p>
      <w:r>
        <w:br w:type="page"/>
      </w:r>
    </w:p>
    <w:p>
      <w:pPr>
        <w:pStyle w:val="Heading1"/>
      </w:pPr>
      <w:r>
        <w:rPr>
          <w:color w:val="6B4E71"/>
        </w:rPr>
        <w:t>10. Modo Oscuro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La plataforma incluye un modo oscuro que se puede activar desde el interruptor en la barra superior.</w:t>
      </w:r>
    </w:p>
    <w:p>
      <w:pPr>
        <w:pStyle w:val="Heading2"/>
      </w:pPr>
      <w:r>
        <w:rPr>
          <w:color w:val="6B4E71"/>
        </w:rPr>
        <w:t>Activar Modo Oscuro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Localice el interruptor «Modo oscuro» en la barra superior derecha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Haga clic en el interruptor para alternar entre modo claro y oscuro</w:t>
      </w:r>
    </w:p>
    <w:p>
      <w:pPr>
        <w:pStyle w:val="ListBullet"/>
      </w:pPr>
      <w:r>
        <w:rPr>
          <w:rFonts w:ascii="Calibri" w:hAnsi="Calibri"/>
          <w:color w:val="3A3142"/>
          <w:sz w:val="22"/>
        </w:rPr>
        <w:t xml:space="preserve"> La preferencia se guarda automáticamente para su sesión</w:t>
      </w:r>
    </w:p>
    <w:p>
      <w:pPr>
        <w:spacing w:after="120"/>
        <w:jc w:val="left"/>
      </w:pPr>
      <w:r>
        <w:rPr>
          <w:rFonts w:ascii="Calibri" w:hAnsi="Calibri"/>
          <w:b w:val="0"/>
          <w:color w:val="3A3142"/>
          <w:sz w:val="22"/>
        </w:rPr>
        <w:t>El modo oscuro adapta todos los elementos de la interfaz: fondos, textos, gráficos, tablas y el menú lateral.</w:t>
      </w:r>
    </w:p>
    <w:p>
      <w:r>
        <w:br w:type="page"/>
      </w:r>
    </w:p>
    <w:p>
      <w:pPr>
        <w:pStyle w:val="Heading1"/>
      </w:pPr>
      <w:r>
        <w:rPr>
          <w:color w:val="6B4E71"/>
        </w:rPr>
        <w:t>11. Glosario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Término</w:t>
            </w:r>
          </w:p>
        </w:tc>
        <w:tc>
          <w:tcPr>
            <w:tcW w:type="dxa" w:w="7200"/>
          </w:tcPr>
          <w:p>
            <w:r>
              <w:rPr>
                <w:b/>
                <w:sz w:val="20"/>
              </w:rPr>
              <w:t>Definición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Retrieval-Augmented Generation — técnica que combina recuperación de información con generación de texto por LLM.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Large Language Model — modelo de lenguaje grande.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Ollama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Plataforma para ejecutar modelos de lenguaje localmente.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ChromaDB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Base de datos vectorial para almacenar embeddings de texto.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KPI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Key Performance Indicator — indicador clave de rendimiento.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FPP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Falso Positivo Potencial — contenido que la IA marcó como violento pero que podría no serlo.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CÓDIGO 99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Etiqueta de exclusión para basura digital (vacíos, enlaces huérfanos, ruido tipográfico, risas, reacciones cortas).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Taxonomía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Sistema de clasificación de 6 categorías y 19 subdimensiones para violencia de género digital.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Few-shot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Técnica de prompt que incluye ejemplos para guiar al LLM.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Nivel de gravedad de la violencia detectada (baja, media, alta).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Subdimensión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División específica dentro de cada categoría principal.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Basura digital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Contenido sin valor semántico: stickers, GIFs, enlaces sueltos, muletillas, monosílabos.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Fiabilidad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Nivel de calidad del análisis basado en la proporción de basura digital detectada.</w:t>
            </w:r>
          </w:p>
        </w:tc>
      </w:tr>
    </w:tbl>
    <w:p/>
    <w:p/>
    <w:p>
      <w:pPr>
        <w:jc w:val="center"/>
      </w:pPr>
      <w:r>
        <w:rPr>
          <w:rFonts w:ascii="Calibri" w:hAnsi="Calibri"/>
          <w:color w:val="6B5E73"/>
          <w:sz w:val="18"/>
        </w:rPr>
        <w:t>Manual de Uso — Enola Investigadora Digital</w:t>
        <w:br/>
        <w:t>Universidad de Granada — TFM 2026</w:t>
        <w:br/>
        <w:t>Generado automáticamente desde la plataforma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A31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