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C0392B"/>
          <w:sz w:val="56"/>
        </w:rPr>
        <w:t>INFORME ESTADÍSTICO</w:t>
      </w:r>
    </w:p>
    <w:p>
      <w:pPr>
        <w:jc w:val="center"/>
      </w:pPr>
      <w:r>
        <w:rPr>
          <w:color w:val="1A1A2E"/>
          <w:sz w:val="28"/>
        </w:rPr>
        <w:t>Sistema de Detección de Violencia de Género Digital en Facebook</w:t>
      </w:r>
    </w:p>
    <w:p/>
    <w:p>
      <w:pPr>
        <w:jc w:val="center"/>
      </w:pPr>
      <w:r>
        <w:rPr>
          <w:i/>
          <w:color w:val="7F8C8D"/>
          <w:sz w:val="22"/>
        </w:rPr>
        <w:t>Clasificación RAG con Ollama + ChromaDB + LangChain</w:t>
      </w:r>
    </w:p>
    <w:p/>
    <w:p/>
    <w:p>
      <w:pPr>
        <w:jc w:val="center"/>
      </w:pPr>
      <w:r>
        <w:rPr>
          <w:sz w:val="20"/>
        </w:rPr>
        <w:t>Fecha de generación: 2026-07-18</w:t>
      </w:r>
    </w:p>
    <w:p>
      <w:pPr>
        <w:jc w:val="center"/>
      </w:pPr>
      <w:r>
        <w:rPr>
          <w:sz w:val="20"/>
        </w:rPr>
        <w:t>Base de datos: tfm.db</w:t>
      </w:r>
    </w:p>
    <w:p>
      <w:pPr>
        <w:jc w:val="center"/>
      </w:pPr>
      <w:r>
        <w:rPr>
          <w:sz w:val="20"/>
        </w:rPr>
        <w:t>Registros totales: 69 (8 posts, 61 comentarios)</w:t>
      </w:r>
    </w:p>
    <w:p>
      <w:pPr>
        <w:jc w:val="center"/>
      </w:pPr>
      <w:r>
        <w:rPr>
          <w:sz w:val="20"/>
        </w:rPr>
        <w:t>Páginas de Facebook muestreadas: 2</w:t>
      </w:r>
    </w:p>
    <w:p>
      <w:pPr>
        <w:jc w:val="center"/>
      </w:pPr>
      <w:r>
        <w:rPr>
          <w:sz w:val="20"/>
        </w:rPr>
        <w:t>Revisiones humanas registradas: 58</w:t>
      </w:r>
    </w:p>
    <w:p>
      <w:r>
        <w:br w:type="page"/>
      </w:r>
    </w:p>
    <w:p>
      <w:pPr>
        <w:pStyle w:val="Heading1"/>
      </w:pPr>
      <w:r>
        <w:t>Resumen Ejecutivo</w:t>
      </w:r>
    </w:p>
    <w:p>
      <w:r>
        <w:rPr>
          <w:b w:val="0"/>
          <w:i w:val="0"/>
          <w:sz w:val="21"/>
        </w:rPr>
        <w:t>El presente informe consolida los resultados estadísticos del sistema automatizado de clasificación de contenido violento por razones de género en plataformas de Facebook. La arquitectura del sistema se basa en Retrieval-Augmented Generation (RAG), utilizando Ollama como modelo de lenguaje local, ChromaDB como almacén de vectores y LangChain como orquestador del pipeline de clasificación. El conjunto de datos está compuesto por 69 registros extraídos de 2 páginas de Facebook, de los cuales 8 son publicaciones y 61 son comentarios. Cada contenido puede recibir hasta 5 etiquetas simultáneas, lo que refleja la naturaleza multinivel de la violencia de género en entornos digitales.</w:t>
      </w:r>
    </w:p>
    <w:p>
      <w:pPr>
        <w:pStyle w:val="Heading2"/>
      </w:pPr>
      <w:r>
        <w:t>Indicadores clave del dataset</w:t>
      </w:r>
    </w:p>
    <w:tbl>
      <w:tblPr>
        <w:tblStyle w:val="TableGrid"/>
        <w:tblW w:type="auto" w:w="0"/>
        <w:jc w:val="center"/>
        <w:tblLook w:firstColumn="1" w:firstRow="1" w:lastColumn="0" w:lastRow="0" w:noHBand="0" w:noVBand="1" w:val="04A0"/>
      </w:tblPr>
      <w:tblGrid>
        <w:gridCol w:w="4514"/>
        <w:gridCol w:w="4514"/>
      </w:tblGrid>
      <w:tr>
        <w:tc>
          <w:tcPr>
            <w:tcW w:type="dxa" w:w="5040"/>
            <w:shd w:fill="2C3E50" w:val="clear"/>
            <w:vAlign w:val="center"/>
          </w:tcPr>
          <w:p>
            <w:pPr>
              <w:jc w:val="center"/>
            </w:pPr>
            <w:r>
              <w:rPr>
                <w:b/>
                <w:color w:val="FFFFFF"/>
                <w:sz w:val="18"/>
              </w:rPr>
              <w:t>Indicador</w:t>
            </w:r>
          </w:p>
        </w:tc>
        <w:tc>
          <w:tcPr>
            <w:tcW w:type="dxa" w:w="2880"/>
            <w:shd w:fill="2C3E50" w:val="clear"/>
            <w:vAlign w:val="center"/>
          </w:tcPr>
          <w:p>
            <w:pPr>
              <w:jc w:val="center"/>
            </w:pPr>
            <w:r>
              <w:rPr>
                <w:b/>
                <w:color w:val="FFFFFF"/>
                <w:sz w:val="18"/>
              </w:rPr>
              <w:t>Valor</w:t>
            </w:r>
          </w:p>
        </w:tc>
      </w:tr>
      <w:tr>
        <w:tc>
          <w:tcPr>
            <w:tcW w:type="dxa" w:w="5040"/>
            <w:shd w:fill="ECF0F1" w:val="clear"/>
          </w:tcPr>
          <w:p>
            <w:pPr>
              <w:jc w:val="left"/>
            </w:pPr>
            <w:r>
              <w:rPr>
                <w:sz w:val="17"/>
              </w:rPr>
              <w:t>Total de registros analizados</w:t>
            </w:r>
          </w:p>
        </w:tc>
        <w:tc>
          <w:tcPr>
            <w:tcW w:type="dxa" w:w="2880"/>
            <w:shd w:fill="ECF0F1" w:val="clear"/>
          </w:tcPr>
          <w:p>
            <w:pPr>
              <w:jc w:val="center"/>
            </w:pPr>
            <w:r>
              <w:rPr>
                <w:sz w:val="17"/>
              </w:rPr>
              <w:t>69</w:t>
            </w:r>
          </w:p>
        </w:tc>
      </w:tr>
      <w:tr>
        <w:tc>
          <w:tcPr>
            <w:tcW w:type="dxa" w:w="5040"/>
          </w:tcPr>
          <w:p>
            <w:pPr>
              <w:jc w:val="left"/>
            </w:pPr>
            <w:r>
              <w:rPr>
                <w:sz w:val="17"/>
              </w:rPr>
              <w:t>Contenidos clasificados como violentos</w:t>
            </w:r>
          </w:p>
        </w:tc>
        <w:tc>
          <w:tcPr>
            <w:tcW w:type="dxa" w:w="2880"/>
          </w:tcPr>
          <w:p>
            <w:pPr>
              <w:jc w:val="center"/>
            </w:pPr>
            <w:r>
              <w:rPr>
                <w:sz w:val="17"/>
              </w:rPr>
              <w:t>15 (21.7%)</w:t>
            </w:r>
          </w:p>
        </w:tc>
      </w:tr>
      <w:tr>
        <w:tc>
          <w:tcPr>
            <w:tcW w:type="dxa" w:w="5040"/>
            <w:shd w:fill="ECF0F1" w:val="clear"/>
          </w:tcPr>
          <w:p>
            <w:pPr>
              <w:jc w:val="left"/>
            </w:pPr>
            <w:r>
              <w:rPr>
                <w:sz w:val="17"/>
              </w:rPr>
              <w:t>Categorías taxonómicas canónicas</w:t>
            </w:r>
          </w:p>
        </w:tc>
        <w:tc>
          <w:tcPr>
            <w:tcW w:type="dxa" w:w="2880"/>
            <w:shd w:fill="ECF0F1" w:val="clear"/>
          </w:tcPr>
          <w:p>
            <w:pPr>
              <w:jc w:val="center"/>
            </w:pPr>
            <w:r>
              <w:rPr>
                <w:sz w:val="17"/>
              </w:rPr>
              <w:t>6</w:t>
            </w:r>
          </w:p>
        </w:tc>
      </w:tr>
      <w:tr>
        <w:tc>
          <w:tcPr>
            <w:tcW w:type="dxa" w:w="5040"/>
          </w:tcPr>
          <w:p>
            <w:pPr>
              <w:jc w:val="left"/>
            </w:pPr>
            <w:r>
              <w:rPr>
                <w:sz w:val="17"/>
              </w:rPr>
              <w:t>Páginas de Facebook muestreadas</w:t>
            </w:r>
          </w:p>
        </w:tc>
        <w:tc>
          <w:tcPr>
            <w:tcW w:type="dxa" w:w="2880"/>
          </w:tcPr>
          <w:p>
            <w:pPr>
              <w:jc w:val="center"/>
            </w:pPr>
            <w:r>
              <w:rPr>
                <w:sz w:val="17"/>
              </w:rPr>
              <w:t>2</w:t>
            </w:r>
          </w:p>
        </w:tc>
      </w:tr>
      <w:tr>
        <w:tc>
          <w:tcPr>
            <w:tcW w:type="dxa" w:w="5040"/>
            <w:shd w:fill="ECF0F1" w:val="clear"/>
          </w:tcPr>
          <w:p>
            <w:pPr>
              <w:jc w:val="left"/>
            </w:pPr>
            <w:r>
              <w:rPr>
                <w:sz w:val="17"/>
              </w:rPr>
              <w:t>Categoría con mayor frecuencia absoluta</w:t>
            </w:r>
          </w:p>
        </w:tc>
        <w:tc>
          <w:tcPr>
            <w:tcW w:type="dxa" w:w="2880"/>
            <w:shd w:fill="ECF0F1" w:val="clear"/>
          </w:tcPr>
          <w:p>
            <w:pPr>
              <w:jc w:val="center"/>
            </w:pPr>
            <w:r>
              <w:rPr>
                <w:sz w:val="17"/>
              </w:rPr>
              <w:t>Violencia Simbólica</w:t>
            </w:r>
          </w:p>
        </w:tc>
      </w:tr>
      <w:tr>
        <w:tc>
          <w:tcPr>
            <w:tcW w:type="dxa" w:w="5040"/>
          </w:tcPr>
          <w:p>
            <w:pPr>
              <w:jc w:val="left"/>
            </w:pPr>
            <w:r>
              <w:rPr>
                <w:sz w:val="17"/>
              </w:rPr>
              <w:t>Archivos del glosario de conocimiento</w:t>
            </w:r>
          </w:p>
        </w:tc>
        <w:tc>
          <w:tcPr>
            <w:tcW w:type="dxa" w:w="2880"/>
          </w:tcPr>
          <w:p>
            <w:pPr>
              <w:jc w:val="center"/>
            </w:pPr>
            <w:r>
              <w:rPr>
                <w:sz w:val="17"/>
              </w:rPr>
              <w:t>19</w:t>
            </w:r>
          </w:p>
        </w:tc>
      </w:tr>
      <w:tr>
        <w:tc>
          <w:tcPr>
            <w:tcW w:type="dxa" w:w="5040"/>
            <w:shd w:fill="ECF0F1" w:val="clear"/>
          </w:tcPr>
          <w:p>
            <w:pPr>
              <w:jc w:val="left"/>
            </w:pPr>
            <w:r>
              <w:rPr>
                <w:sz w:val="17"/>
              </w:rPr>
              <w:t>Total de votos de clasificación (multi-etiqueta)</w:t>
            </w:r>
          </w:p>
        </w:tc>
        <w:tc>
          <w:tcPr>
            <w:tcW w:type="dxa" w:w="2880"/>
            <w:shd w:fill="ECF0F1" w:val="clear"/>
          </w:tcPr>
          <w:p>
            <w:pPr>
              <w:jc w:val="center"/>
            </w:pPr>
            <w:r>
              <w:rPr>
                <w:sz w:val="17"/>
              </w:rPr>
              <w:t>31</w:t>
            </w:r>
          </w:p>
        </w:tc>
      </w:tr>
    </w:tbl>
    <w:p/>
    <w:p>
      <w:pPr>
        <w:pStyle w:val="Heading2"/>
      </w:pPr>
      <w:r>
        <w:t>Resumen de validación humana</w:t>
      </w:r>
    </w:p>
    <w:tbl>
      <w:tblPr>
        <w:tblStyle w:val="TableGrid"/>
        <w:tblW w:type="auto" w:w="0"/>
        <w:jc w:val="center"/>
        <w:tblLook w:firstColumn="1" w:firstRow="1" w:lastColumn="0" w:lastRow="0" w:noHBand="0" w:noVBand="1" w:val="04A0"/>
      </w:tblPr>
      <w:tblGrid>
        <w:gridCol w:w="4514"/>
        <w:gridCol w:w="4514"/>
      </w:tblGrid>
      <w:tr>
        <w:tc>
          <w:tcPr>
            <w:tcW w:type="dxa" w:w="5040"/>
            <w:shd w:fill="2C3E50" w:val="clear"/>
            <w:vAlign w:val="center"/>
          </w:tcPr>
          <w:p>
            <w:pPr>
              <w:jc w:val="center"/>
            </w:pPr>
            <w:r>
              <w:rPr>
                <w:b/>
                <w:color w:val="FFFFFF"/>
                <w:sz w:val="18"/>
              </w:rPr>
              <w:t>Métrica</w:t>
            </w:r>
          </w:p>
        </w:tc>
        <w:tc>
          <w:tcPr>
            <w:tcW w:type="dxa" w:w="2880"/>
            <w:shd w:fill="2C3E50" w:val="clear"/>
            <w:vAlign w:val="center"/>
          </w:tcPr>
          <w:p>
            <w:pPr>
              <w:jc w:val="center"/>
            </w:pPr>
            <w:r>
              <w:rPr>
                <w:b/>
                <w:color w:val="FFFFFF"/>
                <w:sz w:val="18"/>
              </w:rPr>
              <w:t>Valor</w:t>
            </w:r>
          </w:p>
        </w:tc>
      </w:tr>
      <w:tr>
        <w:tc>
          <w:tcPr>
            <w:tcW w:type="dxa" w:w="5040"/>
            <w:shd w:fill="ECF0F1" w:val="clear"/>
          </w:tcPr>
          <w:p>
            <w:pPr>
              <w:jc w:val="left"/>
            </w:pPr>
            <w:r>
              <w:rPr>
                <w:sz w:val="17"/>
              </w:rPr>
              <w:t>Registros con validación cruzada</w:t>
            </w:r>
          </w:p>
        </w:tc>
        <w:tc>
          <w:tcPr>
            <w:tcW w:type="dxa" w:w="2880"/>
            <w:shd w:fill="ECF0F1" w:val="clear"/>
          </w:tcPr>
          <w:p>
            <w:pPr>
              <w:jc w:val="center"/>
            </w:pPr>
            <w:r>
              <w:rPr>
                <w:sz w:val="17"/>
              </w:rPr>
              <w:t>55 de 69 (100.0%)</w:t>
            </w:r>
          </w:p>
        </w:tc>
      </w:tr>
      <w:tr>
        <w:tc>
          <w:tcPr>
            <w:tcW w:type="dxa" w:w="5040"/>
          </w:tcPr>
          <w:p>
            <w:pPr>
              <w:jc w:val="left"/>
            </w:pPr>
            <w:r>
              <w:rPr>
                <w:sz w:val="17"/>
              </w:rPr>
              <w:t>Casos donde IA y humano coinciden</w:t>
            </w:r>
          </w:p>
        </w:tc>
        <w:tc>
          <w:tcPr>
            <w:tcW w:type="dxa" w:w="2880"/>
          </w:tcPr>
          <w:p>
            <w:pPr>
              <w:jc w:val="center"/>
            </w:pPr>
            <w:r>
              <w:rPr>
                <w:sz w:val="17"/>
              </w:rPr>
              <w:t>34 (61.8%)</w:t>
            </w:r>
          </w:p>
        </w:tc>
      </w:tr>
      <w:tr>
        <w:tc>
          <w:tcPr>
            <w:tcW w:type="dxa" w:w="5040"/>
            <w:shd w:fill="ECF0F1" w:val="clear"/>
          </w:tcPr>
          <w:p>
            <w:pPr>
              <w:jc w:val="left"/>
            </w:pPr>
            <w:r>
              <w:rPr>
                <w:sz w:val="17"/>
              </w:rPr>
              <w:t>Casos donde el humano corrige a la IA</w:t>
            </w:r>
          </w:p>
        </w:tc>
        <w:tc>
          <w:tcPr>
            <w:tcW w:type="dxa" w:w="2880"/>
            <w:shd w:fill="ECF0F1" w:val="clear"/>
          </w:tcPr>
          <w:p>
            <w:pPr>
              <w:jc w:val="center"/>
            </w:pPr>
            <w:r>
              <w:rPr>
                <w:sz w:val="17"/>
              </w:rPr>
              <w:t>21 (38.2%)</w:t>
            </w:r>
          </w:p>
        </w:tc>
      </w:tr>
      <w:tr>
        <w:tc>
          <w:tcPr>
            <w:tcW w:type="dxa" w:w="5040"/>
          </w:tcPr>
          <w:p>
            <w:pPr>
              <w:jc w:val="left"/>
            </w:pPr>
            <w:r>
              <w:rPr>
                <w:sz w:val="17"/>
              </w:rPr>
              <w:t>Contenidos que requirieron ajuste manual</w:t>
            </w:r>
          </w:p>
        </w:tc>
        <w:tc>
          <w:tcPr>
            <w:tcW w:type="dxa" w:w="2880"/>
          </w:tcPr>
          <w:p>
            <w:pPr>
              <w:jc w:val="center"/>
            </w:pPr>
            <w:r>
              <w:rPr>
                <w:sz w:val="17"/>
              </w:rPr>
              <w:t>21 (30.4%)</w:t>
            </w:r>
          </w:p>
        </w:tc>
      </w:tr>
    </w:tbl>
    <w:p/>
    <w:p>
      <w:pPr>
        <w:jc w:val="center"/>
      </w:pPr>
      <w:r>
        <w:drawing>
          <wp:inline xmlns:a="http://schemas.openxmlformats.org/drawingml/2006/main" xmlns:pic="http://schemas.openxmlformats.org/drawingml/2006/picture">
            <wp:extent cx="5029200" cy="437694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4376949"/>
                    </a:xfrm>
                    <a:prstGeom prst="rect"/>
                  </pic:spPr>
                </pic:pic>
              </a:graphicData>
            </a:graphic>
          </wp:inline>
        </w:drawing>
      </w:r>
    </w:p>
    <w:p>
      <w:pPr>
        <w:jc w:val="center"/>
      </w:pPr>
      <w:r>
        <w:rPr>
          <w:i/>
          <w:color w:val="7F8C8D"/>
          <w:sz w:val="16"/>
        </w:rPr>
        <w:t>Figura 1 — Distribución de resultados de la validación humana</w:t>
      </w:r>
    </w:p>
    <w:p>
      <w:r>
        <w:rPr>
          <w:b w:val="0"/>
          <w:i w:val="0"/>
          <w:sz w:val="21"/>
        </w:rPr>
        <w:t>En términos de rendimiento del clasificador automático, la precisión alcanzada fue del 69.2% y la sensibilidad (recall) del 47.4%, lo que arroja un F1-Score de 56.2%. Estos valores se analizan en profundidad en la Regla 6 de este informe.</w:t>
      </w:r>
    </w:p>
    <w:p>
      <w:r>
        <w:br w:type="page"/>
      </w:r>
    </w:p>
    <w:p>
      <w:pPr>
        <w:pStyle w:val="Heading1"/>
      </w:pPr>
      <w:r>
        <w:t>Regla 1 — Fiabilidad de datos (valores perdidos)</w:t>
      </w:r>
    </w:p>
    <w:p>
      <w:r>
        <w:rPr>
          <w:b w:val="0"/>
          <w:i w:val="0"/>
          <w:sz w:val="21"/>
        </w:rPr>
        <w:t>La fiabilidad de datos constituye el primer filtro del análisis estadístico. Su propósito es evaluar la calidad de la información capturada por el scraper antes de que ingrese al pipeline de clasificación. No se trata de eliminar registros, sino de identificar y marcar aquellos que no aportan información analizable: contenidos vacíos (imágenes sin texto, stickers, GIFs), enlaces huérfanos, ruido tipográfico puro, o expresiones de risa sin carga semántica ("jajaja", "jeje", etc.). Estos registros se etiquetan con el sentinela CODIGO_99 y se excluyen de los denominadores de las Reglas 2, 3 y 4, pero permanecen en la base de datos para efectos de transparencia y auditoría.</w:t>
      </w:r>
    </w:p>
    <w:p>
      <w:r>
        <w:rPr>
          <w:b w:val="0"/>
          <w:i w:val="0"/>
          <w:sz w:val="21"/>
        </w:rPr>
        <w:t>El sistema también detecta violencia común sin sesgo de género, es decir, agresiones que no están dirigidas a víctimas por su condición de mujer. Estos registros se marcan con el sentinela VIOLENCIA_COMUN y se excluyen del mismo modo. La distinción es relevante: el objetivo de este estudio es mapear la violencia de género específica, no la violencia general.</w:t>
      </w:r>
    </w:p>
    <w:p>
      <w:pPr>
        <w:pStyle w:val="Heading2"/>
      </w:pPr>
      <w:r>
        <w:t>Tabla resumen de exclusiones</w:t>
      </w:r>
    </w:p>
    <w:tbl>
      <w:tblPr>
        <w:tblStyle w:val="TableGrid"/>
        <w:tblW w:type="auto" w:w="0"/>
        <w:jc w:val="center"/>
        <w:tblLook w:firstColumn="1" w:firstRow="1" w:lastColumn="0" w:lastRow="0" w:noHBand="0" w:noVBand="1" w:val="04A0"/>
      </w:tblPr>
      <w:tblGrid>
        <w:gridCol w:w="4514"/>
        <w:gridCol w:w="4514"/>
      </w:tblGrid>
      <w:tr>
        <w:tc>
          <w:tcPr>
            <w:tcW w:type="dxa" w:w="5040"/>
            <w:shd w:fill="2C3E50" w:val="clear"/>
            <w:vAlign w:val="center"/>
          </w:tcPr>
          <w:p>
            <w:pPr>
              <w:jc w:val="center"/>
            </w:pPr>
            <w:r>
              <w:rPr>
                <w:b/>
                <w:color w:val="FFFFFF"/>
                <w:sz w:val="18"/>
              </w:rPr>
              <w:t>Métrica</w:t>
            </w:r>
          </w:p>
        </w:tc>
        <w:tc>
          <w:tcPr>
            <w:tcW w:type="dxa" w:w="2880"/>
            <w:shd w:fill="2C3E50" w:val="clear"/>
            <w:vAlign w:val="center"/>
          </w:tcPr>
          <w:p>
            <w:pPr>
              <w:jc w:val="center"/>
            </w:pPr>
            <w:r>
              <w:rPr>
                <w:b/>
                <w:color w:val="FFFFFF"/>
                <w:sz w:val="18"/>
              </w:rPr>
              <w:t>Valor</w:t>
            </w:r>
          </w:p>
        </w:tc>
      </w:tr>
      <w:tr>
        <w:tc>
          <w:tcPr>
            <w:tcW w:type="dxa" w:w="5040"/>
            <w:shd w:fill="ECF0F1" w:val="clear"/>
          </w:tcPr>
          <w:p>
            <w:pPr>
              <w:jc w:val="left"/>
            </w:pPr>
            <w:r>
              <w:rPr>
                <w:sz w:val="17"/>
              </w:rPr>
              <w:t>Total de registros en la base</w:t>
            </w:r>
          </w:p>
        </w:tc>
        <w:tc>
          <w:tcPr>
            <w:tcW w:type="dxa" w:w="2880"/>
            <w:shd w:fill="ECF0F1" w:val="clear"/>
          </w:tcPr>
          <w:p>
            <w:pPr>
              <w:jc w:val="center"/>
            </w:pPr>
            <w:r>
              <w:rPr>
                <w:sz w:val="17"/>
              </w:rPr>
              <w:t>69</w:t>
            </w:r>
          </w:p>
        </w:tc>
      </w:tr>
      <w:tr>
        <w:tc>
          <w:tcPr>
            <w:tcW w:type="dxa" w:w="5040"/>
          </w:tcPr>
          <w:p>
            <w:pPr>
              <w:jc w:val="left"/>
            </w:pPr>
            <w:r>
              <w:rPr>
                <w:sz w:val="17"/>
              </w:rPr>
              <w:t>Basura digital (CODIGO_99)</w:t>
            </w:r>
          </w:p>
        </w:tc>
        <w:tc>
          <w:tcPr>
            <w:tcW w:type="dxa" w:w="2880"/>
          </w:tcPr>
          <w:p>
            <w:pPr>
              <w:jc w:val="center"/>
            </w:pPr>
            <w:r>
              <w:rPr>
                <w:sz w:val="17"/>
              </w:rPr>
              <w:t>12 (17.39%)</w:t>
            </w:r>
          </w:p>
        </w:tc>
      </w:tr>
      <w:tr>
        <w:tc>
          <w:tcPr>
            <w:tcW w:type="dxa" w:w="5040"/>
            <w:shd w:fill="ECF0F1" w:val="clear"/>
          </w:tcPr>
          <w:p>
            <w:pPr>
              <w:jc w:val="left"/>
            </w:pPr>
            <w:r>
              <w:rPr>
                <w:sz w:val="17"/>
              </w:rPr>
              <w:t>Violencia común sin sesgo de género</w:t>
            </w:r>
          </w:p>
        </w:tc>
        <w:tc>
          <w:tcPr>
            <w:tcW w:type="dxa" w:w="2880"/>
            <w:shd w:fill="ECF0F1" w:val="clear"/>
          </w:tcPr>
          <w:p>
            <w:pPr>
              <w:jc w:val="center"/>
            </w:pPr>
            <w:r>
              <w:rPr>
                <w:sz w:val="17"/>
              </w:rPr>
              <w:t>2 (2.9%)</w:t>
            </w:r>
          </w:p>
        </w:tc>
      </w:tr>
      <w:tr>
        <w:tc>
          <w:tcPr>
            <w:tcW w:type="dxa" w:w="5040"/>
          </w:tcPr>
          <w:p>
            <w:pPr>
              <w:jc w:val="left"/>
            </w:pPr>
            <w:r>
              <w:rPr>
                <w:sz w:val="17"/>
              </w:rPr>
              <w:t>Total excluido</w:t>
            </w:r>
          </w:p>
        </w:tc>
        <w:tc>
          <w:tcPr>
            <w:tcW w:type="dxa" w:w="2880"/>
          </w:tcPr>
          <w:p>
            <w:pPr>
              <w:jc w:val="center"/>
            </w:pPr>
            <w:r>
              <w:rPr>
                <w:sz w:val="17"/>
              </w:rPr>
              <w:t>14 (20.29%)</w:t>
            </w:r>
          </w:p>
        </w:tc>
      </w:tr>
      <w:tr>
        <w:tc>
          <w:tcPr>
            <w:tcW w:type="dxa" w:w="5040"/>
            <w:shd w:fill="ECF0F1" w:val="clear"/>
          </w:tcPr>
          <w:p>
            <w:pPr>
              <w:jc w:val="left"/>
            </w:pPr>
            <w:r>
              <w:rPr>
                <w:sz w:val="17"/>
              </w:rPr>
              <w:t>Registros válidos para análisis</w:t>
            </w:r>
          </w:p>
        </w:tc>
        <w:tc>
          <w:tcPr>
            <w:tcW w:type="dxa" w:w="2880"/>
            <w:shd w:fill="ECF0F1" w:val="clear"/>
          </w:tcPr>
          <w:p>
            <w:pPr>
              <w:jc w:val="center"/>
            </w:pPr>
            <w:r>
              <w:rPr>
                <w:sz w:val="17"/>
              </w:rPr>
              <w:t>55</w:t>
            </w:r>
          </w:p>
        </w:tc>
      </w:tr>
    </w:tbl>
    <w:p/>
    <w:p>
      <w:pPr>
        <w:pStyle w:val="Heading2"/>
      </w:pPr>
      <w:r>
        <w:t>Desglose por condición de exclusión</w:t>
      </w:r>
    </w:p>
    <w:tbl>
      <w:tblPr>
        <w:tblStyle w:val="TableGrid"/>
        <w:tblW w:type="auto" w:w="0"/>
        <w:jc w:val="center"/>
        <w:tblLook w:firstColumn="1" w:firstRow="1" w:lastColumn="0" w:lastRow="0" w:noHBand="0" w:noVBand="1" w:val="04A0"/>
      </w:tblPr>
      <w:tblGrid>
        <w:gridCol w:w="3010"/>
        <w:gridCol w:w="3010"/>
        <w:gridCol w:w="3010"/>
      </w:tblGrid>
      <w:tr>
        <w:tc>
          <w:tcPr>
            <w:tcW w:type="dxa" w:w="3600"/>
            <w:shd w:fill="2C3E50" w:val="clear"/>
            <w:vAlign w:val="center"/>
          </w:tcPr>
          <w:p>
            <w:pPr>
              <w:jc w:val="center"/>
            </w:pPr>
            <w:r>
              <w:rPr>
                <w:b/>
                <w:color w:val="FFFFFF"/>
                <w:sz w:val="18"/>
              </w:rPr>
              <w:t>Código de condición</w:t>
            </w:r>
          </w:p>
        </w:tc>
        <w:tc>
          <w:tcPr>
            <w:tcW w:type="dxa" w:w="2160"/>
            <w:shd w:fill="2C3E50" w:val="clear"/>
            <w:vAlign w:val="center"/>
          </w:tcPr>
          <w:p>
            <w:pPr>
              <w:jc w:val="center"/>
            </w:pPr>
            <w:r>
              <w:rPr>
                <w:b/>
                <w:color w:val="FFFFFF"/>
                <w:sz w:val="18"/>
              </w:rPr>
              <w:t>Cantidad</w:t>
            </w:r>
          </w:p>
        </w:tc>
        <w:tc>
          <w:tcPr>
            <w:tcW w:type="dxa" w:w="2160"/>
            <w:shd w:fill="2C3E50" w:val="clear"/>
            <w:vAlign w:val="center"/>
          </w:tcPr>
          <w:p>
            <w:pPr>
              <w:jc w:val="center"/>
            </w:pPr>
            <w:r>
              <w:rPr>
                <w:b/>
                <w:color w:val="FFFFFF"/>
                <w:sz w:val="18"/>
              </w:rPr>
              <w:t>% del total</w:t>
            </w:r>
          </w:p>
        </w:tc>
      </w:tr>
      <w:tr>
        <w:tc>
          <w:tcPr>
            <w:tcW w:type="dxa" w:w="3600"/>
            <w:shd w:fill="ECF0F1" w:val="clear"/>
          </w:tcPr>
          <w:p>
            <w:pPr>
              <w:jc w:val="left"/>
            </w:pPr>
            <w:r>
              <w:rPr>
                <w:sz w:val="17"/>
              </w:rPr>
              <w:t>COND_1_VACIO</w:t>
            </w:r>
          </w:p>
        </w:tc>
        <w:tc>
          <w:tcPr>
            <w:tcW w:type="dxa" w:w="2160"/>
            <w:shd w:fill="ECF0F1" w:val="clear"/>
          </w:tcPr>
          <w:p>
            <w:pPr>
              <w:jc w:val="center"/>
            </w:pPr>
            <w:r>
              <w:rPr>
                <w:sz w:val="17"/>
              </w:rPr>
              <w:t>12</w:t>
            </w:r>
          </w:p>
        </w:tc>
        <w:tc>
          <w:tcPr>
            <w:tcW w:type="dxa" w:w="2160"/>
            <w:shd w:fill="ECF0F1" w:val="clear"/>
          </w:tcPr>
          <w:p>
            <w:pPr>
              <w:jc w:val="center"/>
            </w:pPr>
            <w:r>
              <w:rPr>
                <w:sz w:val="17"/>
              </w:rPr>
              <w:t>17.39%</w:t>
            </w:r>
          </w:p>
        </w:tc>
      </w:tr>
    </w:tbl>
    <w:p/>
    <w:p>
      <w:pPr>
        <w:pStyle w:val="Heading2"/>
      </w:pPr>
      <w:r>
        <w:t>Diagnóstico del sistema</w:t>
      </w:r>
    </w:p>
    <w:p>
      <w:r>
        <w:rPr>
          <w:b w:val="0"/>
          <w:i/>
          <w:sz w:val="21"/>
        </w:rPr>
        <w:t>ALERTA CRÍTICA: el 17.39% de los registros son valores perdidos (CÓDIGO 99), superando el umbral del 10%. El instrumento de extracción (scraper) tiene problemas de estabilidad y la extracción debe revisarse.</w:t>
      </w:r>
    </w:p>
    <w:p>
      <w:pPr>
        <w:pStyle w:val="Heading2"/>
      </w:pPr>
      <w:r>
        <w:t>Observaciones y hallazgos</w:t>
      </w:r>
    </w:p>
    <w:p>
      <w:pPr>
        <w:pStyle w:val="ListBullet"/>
      </w:pPr>
      <w:r>
        <w:rPr>
          <w:b/>
          <w:sz w:val="20"/>
        </w:rPr>
        <w:t xml:space="preserve">Nivel de alerta CRÍTICO: </w:t>
      </w:r>
      <w:r>
        <w:rPr>
          <w:sz w:val="20"/>
        </w:rPr>
        <w:t>Con un 17.39% de basura digital, el dataset supera ampliamente el umbral crítico del 10%. Esto implica que más de una de cada seis extracciones del scraper no contiene información analizable. La causa inmediata es la captura de contenido multimedia (imágenes, stickers, GIFs) cuyo texto no puede ser extraído. La consecuencia directa es que la muestra efectiva de análisis se reduce significativamente respecto al volumen total descargado.</w:t>
      </w:r>
    </w:p>
    <w:p>
      <w:pPr>
        <w:pStyle w:val="ListBullet"/>
      </w:pPr>
      <w:r>
        <w:rPr>
          <w:b/>
          <w:sz w:val="20"/>
        </w:rPr>
        <w:t xml:space="preserve">Patrón detectado: </w:t>
      </w:r>
      <w:r>
        <w:rPr>
          <w:sz w:val="20"/>
        </w:rPr>
        <w:t>La totalidad de los registros marcados como basura digital corresponden a la condición COND_1_VACIO, lo que indica que el problema no es ruido tipográfico ni enlaces rotos, sino contenido puramente visual (fotos, stickers, GIFs) que el scraper descarga pero que no tiene texto asociado. Esto sugiere que una mejora del scraper debería incluir un filtro previo que descarte payloads vacíos antes de persistirlos en la base de datos.</w:t>
      </w:r>
    </w:p>
    <w:p>
      <w:pPr>
        <w:pStyle w:val="ListBullet"/>
      </w:pPr>
      <w:r>
        <w:rPr>
          <w:b/>
          <w:sz w:val="20"/>
        </w:rPr>
        <w:t xml:space="preserve">Violencia común: </w:t>
      </w:r>
      <w:r>
        <w:rPr>
          <w:sz w:val="20"/>
        </w:rPr>
        <w:t>Se detectaron 2 registros (2.9%) de violencia que no cumple con los criterios de violencia de género. Estos son agresiones genéricas sin marcadores de género específicos. Aunque su proporción es baja, su exclusión es metodológicamente necesaria para no contaminar los resultados.</w:t>
      </w:r>
    </w:p>
    <w:p>
      <w:r>
        <w:br w:type="page"/>
      </w:r>
    </w:p>
    <w:p>
      <w:r>
        <w:br w:type="page"/>
      </w:r>
    </w:p>
    <w:p>
      <w:pPr>
        <w:pStyle w:val="Heading1"/>
      </w:pPr>
      <w:r>
        <w:t>Regla 2 — Distribución de frecuencias</w:t>
      </w:r>
    </w:p>
    <w:p>
      <w:r>
        <w:rPr>
          <w:b w:val="0"/>
          <w:i w:val="0"/>
          <w:sz w:val="21"/>
        </w:rPr>
        <w:t>La distribución de frecuencias responde a una pregunta fundamental: ¿qué tipos de violencia de género aparecen con mayor frecuencia en el corpus analizado? Para responderlo, el sistema cuenta cuántas veces aparece cada categoría taxonómica y cada subdimensión, calculando tanto la frecuencia absoluta como el porcentaje válido sobre el total de registros excluyendo basura digital y violencia común. La tabla se ordena de mayor a menor frecuencia, y se incluye un porcentaje acumulado que permite identificar rápidamente hasta qué punto las categorías principales concentran la violencia detectada.</w:t>
      </w:r>
    </w:p>
    <w:p>
      <w:r>
        <w:rPr>
          <w:b w:val="0"/>
          <w:i w:val="0"/>
          <w:sz w:val="21"/>
        </w:rPr>
        <w:t>Un aspecto relevante es que el sistema es multi-etiqueta: cada contenido puede recibir hasta 5 etiquetas simultáneas. Esto significa que un solo post puede contribuir más de un voto a la distribución. Esta característica refleja la realidad de la violencia de género digital, donde una misma publicación puede combinar insultos (Manosfera), cosificación (Mercantilización Corporal) y minimización (Salvaguarda) en un solo mensaje.</w:t>
      </w:r>
    </w:p>
    <w:p>
      <w:pPr>
        <w:pStyle w:val="Heading2"/>
      </w:pPr>
      <w:r>
        <w:t>Frecuencia por categoría</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600"/>
            <w:shd w:fill="2C3E50" w:val="clear"/>
            <w:vAlign w:val="center"/>
          </w:tcPr>
          <w:p>
            <w:pPr>
              <w:jc w:val="center"/>
            </w:pPr>
            <w:r>
              <w:rPr>
                <w:b/>
                <w:color w:val="FFFFFF"/>
                <w:sz w:val="18"/>
              </w:rPr>
              <w:t>Categoría</w:t>
            </w:r>
          </w:p>
        </w:tc>
        <w:tc>
          <w:tcPr>
            <w:tcW w:type="dxa" w:w="1728"/>
            <w:shd w:fill="2C3E50" w:val="clear"/>
            <w:vAlign w:val="center"/>
          </w:tcPr>
          <w:p>
            <w:pPr>
              <w:jc w:val="center"/>
            </w:pPr>
            <w:r>
              <w:rPr>
                <w:b/>
                <w:color w:val="FFFFFF"/>
                <w:sz w:val="18"/>
              </w:rPr>
              <w:t>Frec. absoluta</w:t>
            </w:r>
          </w:p>
        </w:tc>
        <w:tc>
          <w:tcPr>
            <w:tcW w:type="dxa" w:w="1728"/>
            <w:shd w:fill="2C3E50" w:val="clear"/>
            <w:vAlign w:val="center"/>
          </w:tcPr>
          <w:p>
            <w:pPr>
              <w:jc w:val="center"/>
            </w:pPr>
            <w:r>
              <w:rPr>
                <w:b/>
                <w:color w:val="FFFFFF"/>
                <w:sz w:val="18"/>
              </w:rPr>
              <w:t>% válido</w:t>
            </w:r>
          </w:p>
        </w:tc>
        <w:tc>
          <w:tcPr>
            <w:tcW w:type="dxa" w:w="1728"/>
            <w:shd w:fill="2C3E50" w:val="clear"/>
            <w:vAlign w:val="center"/>
          </w:tcPr>
          <w:p>
            <w:pPr>
              <w:jc w:val="center"/>
            </w:pPr>
            <w:r>
              <w:rPr>
                <w:b/>
                <w:color w:val="FFFFFF"/>
                <w:sz w:val="18"/>
              </w:rPr>
              <w:t>% acumulado</w:t>
            </w:r>
          </w:p>
        </w:tc>
      </w:tr>
      <w:tr>
        <w:tc>
          <w:tcPr>
            <w:tcW w:type="dxa" w:w="3600"/>
            <w:shd w:fill="ECF0F1" w:val="clear"/>
          </w:tcPr>
          <w:p>
            <w:pPr>
              <w:jc w:val="left"/>
            </w:pPr>
            <w:r>
              <w:rPr>
                <w:sz w:val="17"/>
              </w:rPr>
              <w:t>Violencia Simbólica</w:t>
            </w:r>
          </w:p>
        </w:tc>
        <w:tc>
          <w:tcPr>
            <w:tcW w:type="dxa" w:w="1728"/>
            <w:shd w:fill="ECF0F1" w:val="clear"/>
          </w:tcPr>
          <w:p>
            <w:pPr>
              <w:jc w:val="center"/>
            </w:pPr>
            <w:r>
              <w:rPr>
                <w:sz w:val="17"/>
              </w:rPr>
              <w:t>9</w:t>
            </w:r>
          </w:p>
        </w:tc>
        <w:tc>
          <w:tcPr>
            <w:tcW w:type="dxa" w:w="1728"/>
            <w:shd w:fill="ECF0F1" w:val="clear"/>
          </w:tcPr>
          <w:p>
            <w:pPr>
              <w:jc w:val="center"/>
            </w:pPr>
            <w:r>
              <w:rPr>
                <w:sz w:val="17"/>
              </w:rPr>
              <w:t>32.14%</w:t>
            </w:r>
          </w:p>
        </w:tc>
        <w:tc>
          <w:tcPr>
            <w:tcW w:type="dxa" w:w="1728"/>
            <w:shd w:fill="ECF0F1" w:val="clear"/>
          </w:tcPr>
          <w:p>
            <w:pPr>
              <w:jc w:val="center"/>
            </w:pPr>
            <w:r>
              <w:rPr>
                <w:sz w:val="17"/>
              </w:rPr>
              <w:t>32.14%</w:t>
            </w:r>
          </w:p>
        </w:tc>
      </w:tr>
      <w:tr>
        <w:tc>
          <w:tcPr>
            <w:tcW w:type="dxa" w:w="3600"/>
          </w:tcPr>
          <w:p>
            <w:pPr>
              <w:jc w:val="left"/>
            </w:pPr>
            <w:r>
              <w:rPr>
                <w:sz w:val="17"/>
              </w:rPr>
              <w:t>Mercantilización Corporal</w:t>
            </w:r>
          </w:p>
        </w:tc>
        <w:tc>
          <w:tcPr>
            <w:tcW w:type="dxa" w:w="1728"/>
          </w:tcPr>
          <w:p>
            <w:pPr>
              <w:jc w:val="center"/>
            </w:pPr>
            <w:r>
              <w:rPr>
                <w:sz w:val="17"/>
              </w:rPr>
              <w:t>7</w:t>
            </w:r>
          </w:p>
        </w:tc>
        <w:tc>
          <w:tcPr>
            <w:tcW w:type="dxa" w:w="1728"/>
          </w:tcPr>
          <w:p>
            <w:pPr>
              <w:jc w:val="center"/>
            </w:pPr>
            <w:r>
              <w:rPr>
                <w:sz w:val="17"/>
              </w:rPr>
              <w:t>25.0%</w:t>
            </w:r>
          </w:p>
        </w:tc>
        <w:tc>
          <w:tcPr>
            <w:tcW w:type="dxa" w:w="1728"/>
          </w:tcPr>
          <w:p>
            <w:pPr>
              <w:jc w:val="center"/>
            </w:pPr>
            <w:r>
              <w:rPr>
                <w:sz w:val="17"/>
              </w:rPr>
              <w:t>57.14%</w:t>
            </w:r>
          </w:p>
        </w:tc>
      </w:tr>
      <w:tr>
        <w:tc>
          <w:tcPr>
            <w:tcW w:type="dxa" w:w="3600"/>
            <w:shd w:fill="ECF0F1" w:val="clear"/>
          </w:tcPr>
          <w:p>
            <w:pPr>
              <w:jc w:val="left"/>
            </w:pPr>
            <w:r>
              <w:rPr>
                <w:sz w:val="17"/>
              </w:rPr>
              <w:t>Manosfera / Antifeminismo</w:t>
            </w:r>
          </w:p>
        </w:tc>
        <w:tc>
          <w:tcPr>
            <w:tcW w:type="dxa" w:w="1728"/>
            <w:shd w:fill="ECF0F1" w:val="clear"/>
          </w:tcPr>
          <w:p>
            <w:pPr>
              <w:jc w:val="center"/>
            </w:pPr>
            <w:r>
              <w:rPr>
                <w:sz w:val="17"/>
              </w:rPr>
              <w:t>5</w:t>
            </w:r>
          </w:p>
        </w:tc>
        <w:tc>
          <w:tcPr>
            <w:tcW w:type="dxa" w:w="1728"/>
            <w:shd w:fill="ECF0F1" w:val="clear"/>
          </w:tcPr>
          <w:p>
            <w:pPr>
              <w:jc w:val="center"/>
            </w:pPr>
            <w:r>
              <w:rPr>
                <w:sz w:val="17"/>
              </w:rPr>
              <w:t>17.86%</w:t>
            </w:r>
          </w:p>
        </w:tc>
        <w:tc>
          <w:tcPr>
            <w:tcW w:type="dxa" w:w="1728"/>
            <w:shd w:fill="ECF0F1" w:val="clear"/>
          </w:tcPr>
          <w:p>
            <w:pPr>
              <w:jc w:val="center"/>
            </w:pPr>
            <w:r>
              <w:rPr>
                <w:sz w:val="17"/>
              </w:rPr>
              <w:t>75.0%</w:t>
            </w:r>
          </w:p>
        </w:tc>
      </w:tr>
      <w:tr>
        <w:tc>
          <w:tcPr>
            <w:tcW w:type="dxa" w:w="3600"/>
          </w:tcPr>
          <w:p>
            <w:pPr>
              <w:jc w:val="left"/>
            </w:pPr>
            <w:r>
              <w:rPr>
                <w:sz w:val="17"/>
              </w:rPr>
              <w:t>Salvaguarda (Falso Positivo)</w:t>
            </w:r>
          </w:p>
        </w:tc>
        <w:tc>
          <w:tcPr>
            <w:tcW w:type="dxa" w:w="1728"/>
          </w:tcPr>
          <w:p>
            <w:pPr>
              <w:jc w:val="center"/>
            </w:pPr>
            <w:r>
              <w:rPr>
                <w:sz w:val="17"/>
              </w:rPr>
              <w:t>5</w:t>
            </w:r>
          </w:p>
        </w:tc>
        <w:tc>
          <w:tcPr>
            <w:tcW w:type="dxa" w:w="1728"/>
          </w:tcPr>
          <w:p>
            <w:pPr>
              <w:jc w:val="center"/>
            </w:pPr>
            <w:r>
              <w:rPr>
                <w:sz w:val="17"/>
              </w:rPr>
              <w:t>17.86%</w:t>
            </w:r>
          </w:p>
        </w:tc>
        <w:tc>
          <w:tcPr>
            <w:tcW w:type="dxa" w:w="1728"/>
          </w:tcPr>
          <w:p>
            <w:pPr>
              <w:jc w:val="center"/>
            </w:pPr>
            <w:r>
              <w:rPr>
                <w:sz w:val="17"/>
              </w:rPr>
              <w:t>92.86%</w:t>
            </w:r>
          </w:p>
        </w:tc>
      </w:tr>
      <w:tr>
        <w:tc>
          <w:tcPr>
            <w:tcW w:type="dxa" w:w="3600"/>
            <w:shd w:fill="ECF0F1" w:val="clear"/>
          </w:tcPr>
          <w:p>
            <w:pPr>
              <w:jc w:val="left"/>
            </w:pPr>
            <w:r>
              <w:rPr>
                <w:sz w:val="17"/>
              </w:rPr>
              <w:t>Hostilidad / Feminicidio</w:t>
            </w:r>
          </w:p>
        </w:tc>
        <w:tc>
          <w:tcPr>
            <w:tcW w:type="dxa" w:w="1728"/>
            <w:shd w:fill="ECF0F1" w:val="clear"/>
          </w:tcPr>
          <w:p>
            <w:pPr>
              <w:jc w:val="center"/>
            </w:pPr>
            <w:r>
              <w:rPr>
                <w:sz w:val="17"/>
              </w:rPr>
              <w:t>1</w:t>
            </w:r>
          </w:p>
        </w:tc>
        <w:tc>
          <w:tcPr>
            <w:tcW w:type="dxa" w:w="1728"/>
            <w:shd w:fill="ECF0F1" w:val="clear"/>
          </w:tcPr>
          <w:p>
            <w:pPr>
              <w:jc w:val="center"/>
            </w:pPr>
            <w:r>
              <w:rPr>
                <w:sz w:val="17"/>
              </w:rPr>
              <w:t>3.57%</w:t>
            </w:r>
          </w:p>
        </w:tc>
        <w:tc>
          <w:tcPr>
            <w:tcW w:type="dxa" w:w="1728"/>
            <w:shd w:fill="ECF0F1" w:val="clear"/>
          </w:tcPr>
          <w:p>
            <w:pPr>
              <w:jc w:val="center"/>
            </w:pPr>
            <w:r>
              <w:rPr>
                <w:sz w:val="17"/>
              </w:rPr>
              <w:t>96.43%</w:t>
            </w:r>
          </w:p>
        </w:tc>
      </w:tr>
      <w:tr>
        <w:tc>
          <w:tcPr>
            <w:tcW w:type="dxa" w:w="3600"/>
          </w:tcPr>
          <w:p>
            <w:pPr>
              <w:jc w:val="left"/>
            </w:pPr>
            <w:r>
              <w:rPr>
                <w:sz w:val="17"/>
              </w:rPr>
              <w:t>Castigo Del Empoderamiento Femenino</w:t>
            </w:r>
          </w:p>
        </w:tc>
        <w:tc>
          <w:tcPr>
            <w:tcW w:type="dxa" w:w="1728"/>
          </w:tcPr>
          <w:p>
            <w:pPr>
              <w:jc w:val="center"/>
            </w:pPr>
            <w:r>
              <w:rPr>
                <w:sz w:val="17"/>
              </w:rPr>
              <w:t>1</w:t>
            </w:r>
          </w:p>
        </w:tc>
        <w:tc>
          <w:tcPr>
            <w:tcW w:type="dxa" w:w="1728"/>
          </w:tcPr>
          <w:p>
            <w:pPr>
              <w:jc w:val="center"/>
            </w:pPr>
            <w:r>
              <w:rPr>
                <w:sz w:val="17"/>
              </w:rPr>
              <w:t>3.57%</w:t>
            </w:r>
          </w:p>
        </w:tc>
        <w:tc>
          <w:tcPr>
            <w:tcW w:type="dxa" w:w="1728"/>
          </w:tcPr>
          <w:p>
            <w:pPr>
              <w:jc w:val="center"/>
            </w:pPr>
            <w:r>
              <w:rPr>
                <w:sz w:val="17"/>
              </w:rPr>
              <w:t>100.0%</w:t>
            </w:r>
          </w:p>
        </w:tc>
      </w:tr>
      <w:tr>
        <w:tc>
          <w:tcPr>
            <w:tcW w:type="dxa" w:w="3600"/>
            <w:shd w:fill="ECF0F1" w:val="clear"/>
          </w:tcPr>
          <w:p>
            <w:pPr>
              <w:jc w:val="left"/>
            </w:pPr>
            <w:r>
              <w:rPr>
                <w:sz w:val="17"/>
              </w:rPr>
              <w:t>TOTAL</w:t>
            </w:r>
          </w:p>
        </w:tc>
        <w:tc>
          <w:tcPr>
            <w:tcW w:type="dxa" w:w="1728"/>
            <w:shd w:fill="ECF0F1" w:val="clear"/>
          </w:tcPr>
          <w:p>
            <w:pPr>
              <w:jc w:val="center"/>
            </w:pPr>
            <w:r>
              <w:rPr>
                <w:sz w:val="17"/>
              </w:rPr>
              <w:t>28</w:t>
            </w:r>
          </w:p>
        </w:tc>
        <w:tc>
          <w:tcPr>
            <w:tcW w:type="dxa" w:w="1728"/>
            <w:shd w:fill="ECF0F1" w:val="clear"/>
          </w:tcPr>
          <w:p>
            <w:pPr>
              <w:jc w:val="center"/>
            </w:pPr>
            <w:r>
              <w:rPr>
                <w:sz w:val="17"/>
              </w:rPr>
              <w:t>100%</w:t>
            </w:r>
          </w:p>
        </w:tc>
        <w:tc>
          <w:tcPr>
            <w:tcW w:type="dxa" w:w="1728"/>
            <w:shd w:fill="ECF0F1" w:val="clear"/>
          </w:tcPr>
          <w:p>
            <w:pPr>
              <w:jc w:val="center"/>
            </w:pPr>
            <w:r>
              <w:rPr>
                <w:sz w:val="17"/>
              </w:rPr>
              <w:t>—</w:t>
            </w:r>
          </w:p>
        </w:tc>
      </w:tr>
    </w:tbl>
    <w:p/>
    <w:p>
      <w:pPr>
        <w:jc w:val="center"/>
      </w:pPr>
      <w:r>
        <w:drawing>
          <wp:inline xmlns:a="http://schemas.openxmlformats.org/drawingml/2006/main" xmlns:pic="http://schemas.openxmlformats.org/drawingml/2006/picture">
            <wp:extent cx="5029200" cy="287032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870324"/>
                    </a:xfrm>
                    <a:prstGeom prst="rect"/>
                  </pic:spPr>
                </pic:pic>
              </a:graphicData>
            </a:graphic>
          </wp:inline>
        </w:drawing>
      </w:r>
    </w:p>
    <w:p>
      <w:pPr>
        <w:jc w:val="center"/>
      </w:pPr>
      <w:r>
        <w:rPr>
          <w:i/>
          <w:color w:val="7F8C8D"/>
          <w:sz w:val="16"/>
        </w:rPr>
        <w:t>Figura 2 — Distribución de frecuencias por categoría (solo registros válidos)</w:t>
      </w:r>
    </w:p>
    <w:p>
      <w:pPr>
        <w:pStyle w:val="Heading2"/>
      </w:pPr>
      <w:r>
        <w:t>Frecuencia por subdimensión (todas con casos &gt; 0)</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160"/>
            <w:shd w:fill="2C3E50" w:val="clear"/>
            <w:vAlign w:val="center"/>
          </w:tcPr>
          <w:p>
            <w:pPr>
              <w:jc w:val="center"/>
            </w:pPr>
            <w:r>
              <w:rPr>
                <w:b/>
                <w:color w:val="FFFFFF"/>
                <w:sz w:val="18"/>
              </w:rPr>
              <w:t>Subdimensión</w:t>
            </w:r>
          </w:p>
        </w:tc>
        <w:tc>
          <w:tcPr>
            <w:tcW w:type="dxa" w:w="2160"/>
            <w:shd w:fill="2C3E50" w:val="clear"/>
            <w:vAlign w:val="center"/>
          </w:tcPr>
          <w:p>
            <w:pPr>
              <w:jc w:val="center"/>
            </w:pPr>
            <w:r>
              <w:rPr>
                <w:b/>
                <w:color w:val="FFFFFF"/>
                <w:sz w:val="18"/>
              </w:rPr>
              <w:t>Frec. absoluta</w:t>
            </w:r>
          </w:p>
        </w:tc>
        <w:tc>
          <w:tcPr>
            <w:tcW w:type="dxa" w:w="2160"/>
            <w:shd w:fill="2C3E50" w:val="clear"/>
            <w:vAlign w:val="center"/>
          </w:tcPr>
          <w:p>
            <w:pPr>
              <w:jc w:val="center"/>
            </w:pPr>
            <w:r>
              <w:rPr>
                <w:b/>
                <w:color w:val="FFFFFF"/>
                <w:sz w:val="18"/>
              </w:rPr>
              <w:t>% válido</w:t>
            </w:r>
          </w:p>
        </w:tc>
        <w:tc>
          <w:tcPr>
            <w:tcW w:type="dxa" w:w="2160"/>
            <w:shd w:fill="2C3E50" w:val="clear"/>
            <w:vAlign w:val="center"/>
          </w:tcPr>
          <w:p>
            <w:pPr>
              <w:jc w:val="center"/>
            </w:pPr>
            <w:r>
              <w:rPr>
                <w:b/>
                <w:color w:val="FFFFFF"/>
                <w:sz w:val="18"/>
              </w:rPr>
              <w:t>% acumulado</w:t>
            </w:r>
          </w:p>
        </w:tc>
      </w:tr>
      <w:tr>
        <w:tc>
          <w:tcPr>
            <w:tcW w:type="dxa" w:w="2160"/>
            <w:shd w:fill="ECF0F1" w:val="clear"/>
          </w:tcPr>
          <w:p>
            <w:pPr>
              <w:jc w:val="left"/>
            </w:pPr>
            <w:r>
              <w:rPr>
                <w:sz w:val="17"/>
              </w:rPr>
              <w:t>2.3</w:t>
            </w:r>
          </w:p>
        </w:tc>
        <w:tc>
          <w:tcPr>
            <w:tcW w:type="dxa" w:w="2160"/>
            <w:shd w:fill="ECF0F1" w:val="clear"/>
          </w:tcPr>
          <w:p>
            <w:pPr>
              <w:jc w:val="center"/>
            </w:pPr>
            <w:r>
              <w:rPr>
                <w:sz w:val="17"/>
              </w:rPr>
              <w:t>6</w:t>
            </w:r>
          </w:p>
        </w:tc>
        <w:tc>
          <w:tcPr>
            <w:tcW w:type="dxa" w:w="2160"/>
            <w:shd w:fill="ECF0F1" w:val="clear"/>
          </w:tcPr>
          <w:p>
            <w:pPr>
              <w:jc w:val="center"/>
            </w:pPr>
            <w:r>
              <w:rPr>
                <w:sz w:val="17"/>
              </w:rPr>
              <w:t>21.43%</w:t>
            </w:r>
          </w:p>
        </w:tc>
        <w:tc>
          <w:tcPr>
            <w:tcW w:type="dxa" w:w="2160"/>
            <w:shd w:fill="ECF0F1" w:val="clear"/>
          </w:tcPr>
          <w:p>
            <w:pPr>
              <w:jc w:val="center"/>
            </w:pPr>
            <w:r>
              <w:rPr>
                <w:sz w:val="17"/>
              </w:rPr>
              <w:t>21.43%</w:t>
            </w:r>
          </w:p>
        </w:tc>
      </w:tr>
      <w:tr>
        <w:tc>
          <w:tcPr>
            <w:tcW w:type="dxa" w:w="2160"/>
          </w:tcPr>
          <w:p>
            <w:pPr>
              <w:jc w:val="left"/>
            </w:pPr>
            <w:r>
              <w:rPr>
                <w:sz w:val="17"/>
              </w:rPr>
              <w:t>1.3</w:t>
            </w:r>
          </w:p>
        </w:tc>
        <w:tc>
          <w:tcPr>
            <w:tcW w:type="dxa" w:w="2160"/>
          </w:tcPr>
          <w:p>
            <w:pPr>
              <w:jc w:val="center"/>
            </w:pPr>
            <w:r>
              <w:rPr>
                <w:sz w:val="17"/>
              </w:rPr>
              <w:t>5</w:t>
            </w:r>
          </w:p>
        </w:tc>
        <w:tc>
          <w:tcPr>
            <w:tcW w:type="dxa" w:w="2160"/>
          </w:tcPr>
          <w:p>
            <w:pPr>
              <w:jc w:val="center"/>
            </w:pPr>
            <w:r>
              <w:rPr>
                <w:sz w:val="17"/>
              </w:rPr>
              <w:t>17.86%</w:t>
            </w:r>
          </w:p>
        </w:tc>
        <w:tc>
          <w:tcPr>
            <w:tcW w:type="dxa" w:w="2160"/>
          </w:tcPr>
          <w:p>
            <w:pPr>
              <w:jc w:val="center"/>
            </w:pPr>
            <w:r>
              <w:rPr>
                <w:sz w:val="17"/>
              </w:rPr>
              <w:t>39.29%</w:t>
            </w:r>
          </w:p>
        </w:tc>
      </w:tr>
      <w:tr>
        <w:tc>
          <w:tcPr>
            <w:tcW w:type="dxa" w:w="2160"/>
            <w:shd w:fill="ECF0F1" w:val="clear"/>
          </w:tcPr>
          <w:p>
            <w:pPr>
              <w:jc w:val="left"/>
            </w:pPr>
            <w:r>
              <w:rPr>
                <w:sz w:val="17"/>
              </w:rPr>
              <w:t>4.3</w:t>
            </w:r>
          </w:p>
        </w:tc>
        <w:tc>
          <w:tcPr>
            <w:tcW w:type="dxa" w:w="2160"/>
            <w:shd w:fill="ECF0F1" w:val="clear"/>
          </w:tcPr>
          <w:p>
            <w:pPr>
              <w:jc w:val="center"/>
            </w:pPr>
            <w:r>
              <w:rPr>
                <w:sz w:val="17"/>
              </w:rPr>
              <w:t>4</w:t>
            </w:r>
          </w:p>
        </w:tc>
        <w:tc>
          <w:tcPr>
            <w:tcW w:type="dxa" w:w="2160"/>
            <w:shd w:fill="ECF0F1" w:val="clear"/>
          </w:tcPr>
          <w:p>
            <w:pPr>
              <w:jc w:val="center"/>
            </w:pPr>
            <w:r>
              <w:rPr>
                <w:sz w:val="17"/>
              </w:rPr>
              <w:t>14.29%</w:t>
            </w:r>
          </w:p>
        </w:tc>
        <w:tc>
          <w:tcPr>
            <w:tcW w:type="dxa" w:w="2160"/>
            <w:shd w:fill="ECF0F1" w:val="clear"/>
          </w:tcPr>
          <w:p>
            <w:pPr>
              <w:jc w:val="center"/>
            </w:pPr>
            <w:r>
              <w:rPr>
                <w:sz w:val="17"/>
              </w:rPr>
              <w:t>53.57%</w:t>
            </w:r>
          </w:p>
        </w:tc>
      </w:tr>
      <w:tr>
        <w:tc>
          <w:tcPr>
            <w:tcW w:type="dxa" w:w="2160"/>
          </w:tcPr>
          <w:p>
            <w:pPr>
              <w:jc w:val="left"/>
            </w:pPr>
            <w:r>
              <w:rPr>
                <w:sz w:val="17"/>
              </w:rPr>
              <w:t>6.2</w:t>
            </w:r>
          </w:p>
        </w:tc>
        <w:tc>
          <w:tcPr>
            <w:tcW w:type="dxa" w:w="2160"/>
          </w:tcPr>
          <w:p>
            <w:pPr>
              <w:jc w:val="center"/>
            </w:pPr>
            <w:r>
              <w:rPr>
                <w:sz w:val="17"/>
              </w:rPr>
              <w:t>4</w:t>
            </w:r>
          </w:p>
        </w:tc>
        <w:tc>
          <w:tcPr>
            <w:tcW w:type="dxa" w:w="2160"/>
          </w:tcPr>
          <w:p>
            <w:pPr>
              <w:jc w:val="center"/>
            </w:pPr>
            <w:r>
              <w:rPr>
                <w:sz w:val="17"/>
              </w:rPr>
              <w:t>14.29%</w:t>
            </w:r>
          </w:p>
        </w:tc>
        <w:tc>
          <w:tcPr>
            <w:tcW w:type="dxa" w:w="2160"/>
          </w:tcPr>
          <w:p>
            <w:pPr>
              <w:jc w:val="center"/>
            </w:pPr>
            <w:r>
              <w:rPr>
                <w:sz w:val="17"/>
              </w:rPr>
              <w:t>67.86%</w:t>
            </w:r>
          </w:p>
        </w:tc>
      </w:tr>
      <w:tr>
        <w:tc>
          <w:tcPr>
            <w:tcW w:type="dxa" w:w="2160"/>
            <w:shd w:fill="ECF0F1" w:val="clear"/>
          </w:tcPr>
          <w:p>
            <w:pPr>
              <w:jc w:val="left"/>
            </w:pPr>
            <w:r>
              <w:rPr>
                <w:sz w:val="17"/>
              </w:rPr>
              <w:t>1.1</w:t>
            </w:r>
          </w:p>
        </w:tc>
        <w:tc>
          <w:tcPr>
            <w:tcW w:type="dxa" w:w="2160"/>
            <w:shd w:fill="ECF0F1" w:val="clear"/>
          </w:tcPr>
          <w:p>
            <w:pPr>
              <w:jc w:val="center"/>
            </w:pPr>
            <w:r>
              <w:rPr>
                <w:sz w:val="17"/>
              </w:rPr>
              <w:t>3</w:t>
            </w:r>
          </w:p>
        </w:tc>
        <w:tc>
          <w:tcPr>
            <w:tcW w:type="dxa" w:w="2160"/>
            <w:shd w:fill="ECF0F1" w:val="clear"/>
          </w:tcPr>
          <w:p>
            <w:pPr>
              <w:jc w:val="center"/>
            </w:pPr>
            <w:r>
              <w:rPr>
                <w:sz w:val="17"/>
              </w:rPr>
              <w:t>10.71%</w:t>
            </w:r>
          </w:p>
        </w:tc>
        <w:tc>
          <w:tcPr>
            <w:tcW w:type="dxa" w:w="2160"/>
            <w:shd w:fill="ECF0F1" w:val="clear"/>
          </w:tcPr>
          <w:p>
            <w:pPr>
              <w:jc w:val="center"/>
            </w:pPr>
            <w:r>
              <w:rPr>
                <w:sz w:val="17"/>
              </w:rPr>
              <w:t>78.57%</w:t>
            </w:r>
          </w:p>
        </w:tc>
      </w:tr>
      <w:tr>
        <w:tc>
          <w:tcPr>
            <w:tcW w:type="dxa" w:w="2160"/>
          </w:tcPr>
          <w:p>
            <w:pPr>
              <w:jc w:val="left"/>
            </w:pPr>
            <w:r>
              <w:rPr>
                <w:sz w:val="17"/>
              </w:rPr>
              <w:t>1.2</w:t>
            </w:r>
          </w:p>
        </w:tc>
        <w:tc>
          <w:tcPr>
            <w:tcW w:type="dxa" w:w="2160"/>
          </w:tcPr>
          <w:p>
            <w:pPr>
              <w:jc w:val="center"/>
            </w:pPr>
            <w:r>
              <w:rPr>
                <w:sz w:val="17"/>
              </w:rPr>
              <w:t>1</w:t>
            </w:r>
          </w:p>
        </w:tc>
        <w:tc>
          <w:tcPr>
            <w:tcW w:type="dxa" w:w="2160"/>
          </w:tcPr>
          <w:p>
            <w:pPr>
              <w:jc w:val="center"/>
            </w:pPr>
            <w:r>
              <w:rPr>
                <w:sz w:val="17"/>
              </w:rPr>
              <w:t>3.57%</w:t>
            </w:r>
          </w:p>
        </w:tc>
        <w:tc>
          <w:tcPr>
            <w:tcW w:type="dxa" w:w="2160"/>
          </w:tcPr>
          <w:p>
            <w:pPr>
              <w:jc w:val="center"/>
            </w:pPr>
            <w:r>
              <w:rPr>
                <w:sz w:val="17"/>
              </w:rPr>
              <w:t>82.14%</w:t>
            </w:r>
          </w:p>
        </w:tc>
      </w:tr>
      <w:tr>
        <w:tc>
          <w:tcPr>
            <w:tcW w:type="dxa" w:w="2160"/>
            <w:shd w:fill="ECF0F1" w:val="clear"/>
          </w:tcPr>
          <w:p>
            <w:pPr>
              <w:jc w:val="left"/>
            </w:pPr>
            <w:r>
              <w:rPr>
                <w:sz w:val="17"/>
              </w:rPr>
              <w:t>2.2</w:t>
            </w:r>
          </w:p>
        </w:tc>
        <w:tc>
          <w:tcPr>
            <w:tcW w:type="dxa" w:w="2160"/>
            <w:shd w:fill="ECF0F1" w:val="clear"/>
          </w:tcPr>
          <w:p>
            <w:pPr>
              <w:jc w:val="center"/>
            </w:pPr>
            <w:r>
              <w:rPr>
                <w:sz w:val="17"/>
              </w:rPr>
              <w:t>1</w:t>
            </w:r>
          </w:p>
        </w:tc>
        <w:tc>
          <w:tcPr>
            <w:tcW w:type="dxa" w:w="2160"/>
            <w:shd w:fill="ECF0F1" w:val="clear"/>
          </w:tcPr>
          <w:p>
            <w:pPr>
              <w:jc w:val="center"/>
            </w:pPr>
            <w:r>
              <w:rPr>
                <w:sz w:val="17"/>
              </w:rPr>
              <w:t>3.57%</w:t>
            </w:r>
          </w:p>
        </w:tc>
        <w:tc>
          <w:tcPr>
            <w:tcW w:type="dxa" w:w="2160"/>
            <w:shd w:fill="ECF0F1" w:val="clear"/>
          </w:tcPr>
          <w:p>
            <w:pPr>
              <w:jc w:val="center"/>
            </w:pPr>
            <w:r>
              <w:rPr>
                <w:sz w:val="17"/>
              </w:rPr>
              <w:t>85.71%</w:t>
            </w:r>
          </w:p>
        </w:tc>
      </w:tr>
      <w:tr>
        <w:tc>
          <w:tcPr>
            <w:tcW w:type="dxa" w:w="2160"/>
          </w:tcPr>
          <w:p>
            <w:pPr>
              <w:jc w:val="left"/>
            </w:pPr>
            <w:r>
              <w:rPr>
                <w:sz w:val="17"/>
              </w:rPr>
              <w:t>3.2</w:t>
            </w:r>
          </w:p>
        </w:tc>
        <w:tc>
          <w:tcPr>
            <w:tcW w:type="dxa" w:w="2160"/>
          </w:tcPr>
          <w:p>
            <w:pPr>
              <w:jc w:val="center"/>
            </w:pPr>
            <w:r>
              <w:rPr>
                <w:sz w:val="17"/>
              </w:rPr>
              <w:t>1</w:t>
            </w:r>
          </w:p>
        </w:tc>
        <w:tc>
          <w:tcPr>
            <w:tcW w:type="dxa" w:w="2160"/>
          </w:tcPr>
          <w:p>
            <w:pPr>
              <w:jc w:val="center"/>
            </w:pPr>
            <w:r>
              <w:rPr>
                <w:sz w:val="17"/>
              </w:rPr>
              <w:t>3.57%</w:t>
            </w:r>
          </w:p>
        </w:tc>
        <w:tc>
          <w:tcPr>
            <w:tcW w:type="dxa" w:w="2160"/>
          </w:tcPr>
          <w:p>
            <w:pPr>
              <w:jc w:val="center"/>
            </w:pPr>
            <w:r>
              <w:rPr>
                <w:sz w:val="17"/>
              </w:rPr>
              <w:t>89.29%</w:t>
            </w:r>
          </w:p>
        </w:tc>
      </w:tr>
      <w:tr>
        <w:tc>
          <w:tcPr>
            <w:tcW w:type="dxa" w:w="2160"/>
            <w:shd w:fill="ECF0F1" w:val="clear"/>
          </w:tcPr>
          <w:p>
            <w:pPr>
              <w:jc w:val="left"/>
            </w:pPr>
            <w:r>
              <w:rPr>
                <w:sz w:val="17"/>
              </w:rPr>
              <w:t>4.2</w:t>
            </w:r>
          </w:p>
        </w:tc>
        <w:tc>
          <w:tcPr>
            <w:tcW w:type="dxa" w:w="2160"/>
            <w:shd w:fill="ECF0F1" w:val="clear"/>
          </w:tcPr>
          <w:p>
            <w:pPr>
              <w:jc w:val="center"/>
            </w:pPr>
            <w:r>
              <w:rPr>
                <w:sz w:val="17"/>
              </w:rPr>
              <w:t>1</w:t>
            </w:r>
          </w:p>
        </w:tc>
        <w:tc>
          <w:tcPr>
            <w:tcW w:type="dxa" w:w="2160"/>
            <w:shd w:fill="ECF0F1" w:val="clear"/>
          </w:tcPr>
          <w:p>
            <w:pPr>
              <w:jc w:val="center"/>
            </w:pPr>
            <w:r>
              <w:rPr>
                <w:sz w:val="17"/>
              </w:rPr>
              <w:t>3.57%</w:t>
            </w:r>
          </w:p>
        </w:tc>
        <w:tc>
          <w:tcPr>
            <w:tcW w:type="dxa" w:w="2160"/>
            <w:shd w:fill="ECF0F1" w:val="clear"/>
          </w:tcPr>
          <w:p>
            <w:pPr>
              <w:jc w:val="center"/>
            </w:pPr>
            <w:r>
              <w:rPr>
                <w:sz w:val="17"/>
              </w:rPr>
              <w:t>92.86%</w:t>
            </w:r>
          </w:p>
        </w:tc>
      </w:tr>
      <w:tr>
        <w:tc>
          <w:tcPr>
            <w:tcW w:type="dxa" w:w="2160"/>
          </w:tcPr>
          <w:p>
            <w:pPr>
              <w:jc w:val="left"/>
            </w:pPr>
            <w:r>
              <w:rPr>
                <w:sz w:val="17"/>
              </w:rPr>
              <w:t>5.1</w:t>
            </w:r>
          </w:p>
        </w:tc>
        <w:tc>
          <w:tcPr>
            <w:tcW w:type="dxa" w:w="2160"/>
          </w:tcPr>
          <w:p>
            <w:pPr>
              <w:jc w:val="center"/>
            </w:pPr>
            <w:r>
              <w:rPr>
                <w:sz w:val="17"/>
              </w:rPr>
              <w:t>1</w:t>
            </w:r>
          </w:p>
        </w:tc>
        <w:tc>
          <w:tcPr>
            <w:tcW w:type="dxa" w:w="2160"/>
          </w:tcPr>
          <w:p>
            <w:pPr>
              <w:jc w:val="center"/>
            </w:pPr>
            <w:r>
              <w:rPr>
                <w:sz w:val="17"/>
              </w:rPr>
              <w:t>3.57%</w:t>
            </w:r>
          </w:p>
        </w:tc>
        <w:tc>
          <w:tcPr>
            <w:tcW w:type="dxa" w:w="2160"/>
          </w:tcPr>
          <w:p>
            <w:pPr>
              <w:jc w:val="center"/>
            </w:pPr>
            <w:r>
              <w:rPr>
                <w:sz w:val="17"/>
              </w:rPr>
              <w:t>96.43%</w:t>
            </w:r>
          </w:p>
        </w:tc>
      </w:tr>
      <w:tr>
        <w:tc>
          <w:tcPr>
            <w:tcW w:type="dxa" w:w="2160"/>
            <w:shd w:fill="ECF0F1" w:val="clear"/>
          </w:tcPr>
          <w:p>
            <w:pPr>
              <w:jc w:val="left"/>
            </w:pPr>
            <w:r>
              <w:rPr>
                <w:sz w:val="17"/>
              </w:rPr>
              <w:t>6.1</w:t>
            </w:r>
          </w:p>
        </w:tc>
        <w:tc>
          <w:tcPr>
            <w:tcW w:type="dxa" w:w="2160"/>
            <w:shd w:fill="ECF0F1" w:val="clear"/>
          </w:tcPr>
          <w:p>
            <w:pPr>
              <w:jc w:val="center"/>
            </w:pPr>
            <w:r>
              <w:rPr>
                <w:sz w:val="17"/>
              </w:rPr>
              <w:t>1</w:t>
            </w:r>
          </w:p>
        </w:tc>
        <w:tc>
          <w:tcPr>
            <w:tcW w:type="dxa" w:w="2160"/>
            <w:shd w:fill="ECF0F1" w:val="clear"/>
          </w:tcPr>
          <w:p>
            <w:pPr>
              <w:jc w:val="center"/>
            </w:pPr>
            <w:r>
              <w:rPr>
                <w:sz w:val="17"/>
              </w:rPr>
              <w:t>3.57%</w:t>
            </w:r>
          </w:p>
        </w:tc>
        <w:tc>
          <w:tcPr>
            <w:tcW w:type="dxa" w:w="2160"/>
            <w:shd w:fill="ECF0F1" w:val="clear"/>
          </w:tcPr>
          <w:p>
            <w:pPr>
              <w:jc w:val="center"/>
            </w:pPr>
            <w:r>
              <w:rPr>
                <w:sz w:val="17"/>
              </w:rPr>
              <w:t>100.0%</w:t>
            </w:r>
          </w:p>
        </w:tc>
      </w:tr>
    </w:tbl>
    <w:p/>
    <w:p>
      <w:pPr>
        <w:pStyle w:val="Heading2"/>
      </w:pPr>
      <w:r>
        <w:t>Observaciones</w:t>
      </w:r>
    </w:p>
    <w:p>
      <w:pPr>
        <w:pStyle w:val="ListBullet"/>
      </w:pPr>
      <w:r>
        <w:rPr>
          <w:b/>
          <w:sz w:val="20"/>
        </w:rPr>
        <w:t xml:space="preserve">Categoría dominante: </w:t>
      </w:r>
      <w:r>
        <w:rPr>
          <w:sz w:val="20"/>
        </w:rPr>
        <w:t>La categoría «Violencia Simbólica» concentra el 32.14% de los casos válidos con 9 apariciones. Esto indica que este tipo de violencia simbólica es el patrón predominante en las páginas muestreadas.</w:t>
      </w:r>
    </w:p>
    <w:p>
      <w:pPr>
        <w:pStyle w:val="ListBullet"/>
      </w:pPr>
      <w:r>
        <w:rPr>
          <w:b/>
          <w:sz w:val="20"/>
        </w:rPr>
        <w:t xml:space="preserve">Concentración: </w:t>
      </w:r>
      <w:r>
        <w:rPr>
          <w:sz w:val="20"/>
        </w:rPr>
        <w:t>Las dos categorías más frecuentes acumulan el 57.14% del total válido, lo cual sugiere una distribución relativamente concentrada en un reducido número de tipologías. Las cuatro categorías restantes reparten el 42.86% restante.</w:t>
      </w:r>
    </w:p>
    <w:p>
      <w:pPr>
        <w:pStyle w:val="ListBullet"/>
      </w:pPr>
      <w:r>
        <w:rPr>
          <w:b/>
          <w:sz w:val="20"/>
        </w:rPr>
        <w:t xml:space="preserve">Subdimensión líder: </w:t>
      </w:r>
      <w:r>
        <w:rPr>
          <w:sz w:val="20"/>
        </w:rPr>
        <w:t>La subdimensión «2.3» lidera con 6 casos (21.43%). Esto permite afinar el análisis más allá de la categoría padre y entender qué variantes específicas de violencia son más frecuentes.</w:t>
      </w:r>
    </w:p>
    <w:p>
      <w:pPr>
        <w:pStyle w:val="ListBullet"/>
      </w:pPr>
      <w:r>
        <w:rPr>
          <w:b/>
          <w:sz w:val="20"/>
        </w:rPr>
        <w:t xml:space="preserve">Subdimensiones vacías: </w:t>
      </w:r>
      <w:r>
        <w:rPr>
          <w:sz w:val="20"/>
        </w:rPr>
        <w:t>De las 19 subdimensiones definidas en la taxonomía, 8 no presentaron ningún caso en la muestra actual. Esto puede deberse a un tamaño de muestra reducido o a que esas variantes son genuinamente menos frecuentes en las páginas analizadas.</w:t>
      </w:r>
    </w:p>
    <w:p>
      <w:r>
        <w:br w:type="page"/>
      </w:r>
    </w:p>
    <w:p>
      <w:r>
        <w:br w:type="page"/>
      </w:r>
    </w:p>
    <w:p>
      <w:pPr>
        <w:pStyle w:val="Heading1"/>
      </w:pPr>
      <w:r>
        <w:t>Regla 3 — Moda (medida de tendencia central)</w:t>
      </w:r>
    </w:p>
    <w:p>
      <w:r>
        <w:rPr>
          <w:b w:val="0"/>
          <w:i w:val="0"/>
          <w:sz w:val="21"/>
        </w:rPr>
        <w:t>La moda identifica el valor más frecuente dentro de una distribución. A diferencia de la media, que se calcula con valores numéricos, la moda funciona con datos categóricos como las tipologías de violencia de género. El sistema detecta automáticamente si la distribución es unimodal (una sola moda), bimodal (dos categorías empatadas) o multimodal (tres o más empatadas). Esta distinción es importante porque una distribución multimodal puede indicar que no hay un patrón dominante claro, sino múltiples formas de violencia que coexisten con similar frecuencia.</w:t>
      </w:r>
    </w:p>
    <w:p>
      <w:pPr>
        <w:pStyle w:val="Heading2"/>
      </w:pPr>
      <w:r>
        <w:t>Moda por categoría</w:t>
      </w:r>
    </w:p>
    <w:tbl>
      <w:tblPr>
        <w:tblStyle w:val="TableGrid"/>
        <w:tblW w:type="auto" w:w="0"/>
        <w:jc w:val="center"/>
        <w:tblLook w:firstColumn="1" w:firstRow="1" w:lastColumn="0" w:lastRow="0" w:noHBand="0" w:noVBand="1" w:val="04A0"/>
      </w:tblPr>
      <w:tblGrid>
        <w:gridCol w:w="4514"/>
        <w:gridCol w:w="4514"/>
      </w:tblGrid>
      <w:tr>
        <w:tc>
          <w:tcPr>
            <w:tcW w:type="dxa" w:w="4320"/>
            <w:shd w:fill="2C3E50" w:val="clear"/>
            <w:vAlign w:val="center"/>
          </w:tcPr>
          <w:p>
            <w:pPr>
              <w:jc w:val="center"/>
            </w:pPr>
            <w:r>
              <w:rPr>
                <w:b/>
                <w:color w:val="FFFFFF"/>
                <w:sz w:val="18"/>
              </w:rPr>
              <w:t>Categoría</w:t>
            </w:r>
          </w:p>
        </w:tc>
        <w:tc>
          <w:tcPr>
            <w:tcW w:type="dxa" w:w="2160"/>
            <w:shd w:fill="2C3E50" w:val="clear"/>
            <w:vAlign w:val="center"/>
          </w:tcPr>
          <w:p>
            <w:pPr>
              <w:jc w:val="center"/>
            </w:pPr>
            <w:r>
              <w:rPr>
                <w:b/>
                <w:color w:val="FFFFFF"/>
                <w:sz w:val="18"/>
              </w:rPr>
              <w:t>Frecuencia</w:t>
            </w:r>
          </w:p>
        </w:tc>
      </w:tr>
      <w:tr>
        <w:tc>
          <w:tcPr>
            <w:tcW w:type="dxa" w:w="4320"/>
            <w:shd w:fill="ECF0F1" w:val="clear"/>
          </w:tcPr>
          <w:p>
            <w:pPr>
              <w:jc w:val="left"/>
            </w:pPr>
            <w:r>
              <w:rPr>
                <w:sz w:val="17"/>
              </w:rPr>
              <w:t>★ VDG_VIOLENCIA_SIMBOLICA</w:t>
            </w:r>
          </w:p>
        </w:tc>
        <w:tc>
          <w:tcPr>
            <w:tcW w:type="dxa" w:w="2160"/>
            <w:shd w:fill="ECF0F1" w:val="clear"/>
          </w:tcPr>
          <w:p>
            <w:pPr>
              <w:jc w:val="center"/>
            </w:pPr>
            <w:r>
              <w:rPr>
                <w:sz w:val="17"/>
              </w:rPr>
              <w:t>9</w:t>
            </w:r>
          </w:p>
        </w:tc>
      </w:tr>
      <w:tr>
        <w:tc>
          <w:tcPr>
            <w:tcW w:type="dxa" w:w="4320"/>
          </w:tcPr>
          <w:p>
            <w:pPr>
              <w:jc w:val="left"/>
            </w:pPr>
            <w:r>
              <w:rPr>
                <w:sz w:val="17"/>
              </w:rPr>
              <w:t>VDG_COSIFICACION_SLUTSHAMING</w:t>
            </w:r>
          </w:p>
        </w:tc>
        <w:tc>
          <w:tcPr>
            <w:tcW w:type="dxa" w:w="2160"/>
          </w:tcPr>
          <w:p>
            <w:pPr>
              <w:jc w:val="center"/>
            </w:pPr>
            <w:r>
              <w:rPr>
                <w:sz w:val="17"/>
              </w:rPr>
              <w:t>7</w:t>
            </w:r>
          </w:p>
        </w:tc>
      </w:tr>
      <w:tr>
        <w:tc>
          <w:tcPr>
            <w:tcW w:type="dxa" w:w="4320"/>
            <w:shd w:fill="ECF0F1" w:val="clear"/>
          </w:tcPr>
          <w:p>
            <w:pPr>
              <w:jc w:val="left"/>
            </w:pPr>
            <w:r>
              <w:rPr>
                <w:sz w:val="17"/>
              </w:rPr>
              <w:t>VDG_MANOSFERA_ANTIFEMINISMO</w:t>
            </w:r>
          </w:p>
        </w:tc>
        <w:tc>
          <w:tcPr>
            <w:tcW w:type="dxa" w:w="2160"/>
            <w:shd w:fill="ECF0F1" w:val="clear"/>
          </w:tcPr>
          <w:p>
            <w:pPr>
              <w:jc w:val="center"/>
            </w:pPr>
            <w:r>
              <w:rPr>
                <w:sz w:val="17"/>
              </w:rPr>
              <w:t>5</w:t>
            </w:r>
          </w:p>
        </w:tc>
      </w:tr>
      <w:tr>
        <w:tc>
          <w:tcPr>
            <w:tcW w:type="dxa" w:w="4320"/>
          </w:tcPr>
          <w:p>
            <w:pPr>
              <w:jc w:val="left"/>
            </w:pPr>
            <w:r>
              <w:rPr>
                <w:sz w:val="17"/>
              </w:rPr>
              <w:t>VDG_SALVAGUARDA_FALSO_POSITIVO</w:t>
            </w:r>
          </w:p>
        </w:tc>
        <w:tc>
          <w:tcPr>
            <w:tcW w:type="dxa" w:w="2160"/>
          </w:tcPr>
          <w:p>
            <w:pPr>
              <w:jc w:val="center"/>
            </w:pPr>
            <w:r>
              <w:rPr>
                <w:sz w:val="17"/>
              </w:rPr>
              <w:t>5</w:t>
            </w:r>
          </w:p>
        </w:tc>
      </w:tr>
      <w:tr>
        <w:tc>
          <w:tcPr>
            <w:tcW w:type="dxa" w:w="4320"/>
            <w:shd w:fill="ECF0F1" w:val="clear"/>
          </w:tcPr>
          <w:p>
            <w:pPr>
              <w:jc w:val="left"/>
            </w:pPr>
            <w:r>
              <w:rPr>
                <w:sz w:val="17"/>
              </w:rPr>
              <w:t>VDG_DESACREDITACION_ACTIVISTAS</w:t>
            </w:r>
          </w:p>
        </w:tc>
        <w:tc>
          <w:tcPr>
            <w:tcW w:type="dxa" w:w="2160"/>
            <w:shd w:fill="ECF0F1" w:val="clear"/>
          </w:tcPr>
          <w:p>
            <w:pPr>
              <w:jc w:val="center"/>
            </w:pPr>
            <w:r>
              <w:rPr>
                <w:sz w:val="17"/>
              </w:rPr>
              <w:t>1</w:t>
            </w:r>
          </w:p>
        </w:tc>
      </w:tr>
      <w:tr>
        <w:tc>
          <w:tcPr>
            <w:tcW w:type="dxa" w:w="4320"/>
          </w:tcPr>
          <w:p>
            <w:pPr>
              <w:jc w:val="left"/>
            </w:pPr>
            <w:r>
              <w:rPr>
                <w:sz w:val="17"/>
              </w:rPr>
              <w:t>VDG_HOSTILIDAD_FEMINICIDIO</w:t>
            </w:r>
          </w:p>
        </w:tc>
        <w:tc>
          <w:tcPr>
            <w:tcW w:type="dxa" w:w="2160"/>
          </w:tcPr>
          <w:p>
            <w:pPr>
              <w:jc w:val="center"/>
            </w:pPr>
            <w:r>
              <w:rPr>
                <w:sz w:val="17"/>
              </w:rPr>
              <w:t>1</w:t>
            </w:r>
          </w:p>
        </w:tc>
      </w:tr>
    </w:tbl>
    <w:p/>
    <w:p>
      <w:pPr>
        <w:pStyle w:val="Heading2"/>
      </w:pPr>
      <w:r>
        <w:t>Moda por subdimensión</w:t>
      </w:r>
    </w:p>
    <w:tbl>
      <w:tblPr>
        <w:tblStyle w:val="TableGrid"/>
        <w:tblW w:type="auto" w:w="0"/>
        <w:jc w:val="center"/>
        <w:tblLook w:firstColumn="1" w:firstRow="1" w:lastColumn="0" w:lastRow="0" w:noHBand="0" w:noVBand="1" w:val="04A0"/>
      </w:tblPr>
      <w:tblGrid>
        <w:gridCol w:w="4514"/>
        <w:gridCol w:w="4514"/>
      </w:tblGrid>
      <w:tr>
        <w:tc>
          <w:tcPr>
            <w:tcW w:type="dxa" w:w="4320"/>
            <w:shd w:fill="2C3E50" w:val="clear"/>
            <w:vAlign w:val="center"/>
          </w:tcPr>
          <w:p>
            <w:pPr>
              <w:jc w:val="center"/>
            </w:pPr>
            <w:r>
              <w:rPr>
                <w:b/>
                <w:color w:val="FFFFFF"/>
                <w:sz w:val="18"/>
              </w:rPr>
              <w:t>Subdimensión</w:t>
            </w:r>
          </w:p>
        </w:tc>
        <w:tc>
          <w:tcPr>
            <w:tcW w:type="dxa" w:w="2160"/>
            <w:shd w:fill="2C3E50" w:val="clear"/>
            <w:vAlign w:val="center"/>
          </w:tcPr>
          <w:p>
            <w:pPr>
              <w:jc w:val="center"/>
            </w:pPr>
            <w:r>
              <w:rPr>
                <w:b/>
                <w:color w:val="FFFFFF"/>
                <w:sz w:val="18"/>
              </w:rPr>
              <w:t>Frecuencia</w:t>
            </w:r>
          </w:p>
        </w:tc>
      </w:tr>
      <w:tr>
        <w:tc>
          <w:tcPr>
            <w:tcW w:type="dxa" w:w="4320"/>
            <w:shd w:fill="ECF0F1" w:val="clear"/>
          </w:tcPr>
          <w:p>
            <w:pPr>
              <w:jc w:val="left"/>
            </w:pPr>
            <w:r>
              <w:rPr>
                <w:sz w:val="17"/>
              </w:rPr>
              <w:t>★ 2.3</w:t>
            </w:r>
          </w:p>
        </w:tc>
        <w:tc>
          <w:tcPr>
            <w:tcW w:type="dxa" w:w="2160"/>
            <w:shd w:fill="ECF0F1" w:val="clear"/>
          </w:tcPr>
          <w:p>
            <w:pPr>
              <w:jc w:val="center"/>
            </w:pPr>
            <w:r>
              <w:rPr>
                <w:sz w:val="17"/>
              </w:rPr>
              <w:t>6</w:t>
            </w:r>
          </w:p>
        </w:tc>
      </w:tr>
      <w:tr>
        <w:tc>
          <w:tcPr>
            <w:tcW w:type="dxa" w:w="4320"/>
          </w:tcPr>
          <w:p>
            <w:pPr>
              <w:jc w:val="left"/>
            </w:pPr>
            <w:r>
              <w:rPr>
                <w:sz w:val="17"/>
              </w:rPr>
              <w:t>1.3</w:t>
            </w:r>
          </w:p>
        </w:tc>
        <w:tc>
          <w:tcPr>
            <w:tcW w:type="dxa" w:w="2160"/>
          </w:tcPr>
          <w:p>
            <w:pPr>
              <w:jc w:val="center"/>
            </w:pPr>
            <w:r>
              <w:rPr>
                <w:sz w:val="17"/>
              </w:rPr>
              <w:t>5</w:t>
            </w:r>
          </w:p>
        </w:tc>
      </w:tr>
      <w:tr>
        <w:tc>
          <w:tcPr>
            <w:tcW w:type="dxa" w:w="4320"/>
            <w:shd w:fill="ECF0F1" w:val="clear"/>
          </w:tcPr>
          <w:p>
            <w:pPr>
              <w:jc w:val="left"/>
            </w:pPr>
            <w:r>
              <w:rPr>
                <w:sz w:val="17"/>
              </w:rPr>
              <w:t>4.3</w:t>
            </w:r>
          </w:p>
        </w:tc>
        <w:tc>
          <w:tcPr>
            <w:tcW w:type="dxa" w:w="2160"/>
            <w:shd w:fill="ECF0F1" w:val="clear"/>
          </w:tcPr>
          <w:p>
            <w:pPr>
              <w:jc w:val="center"/>
            </w:pPr>
            <w:r>
              <w:rPr>
                <w:sz w:val="17"/>
              </w:rPr>
              <w:t>4</w:t>
            </w:r>
          </w:p>
        </w:tc>
      </w:tr>
      <w:tr>
        <w:tc>
          <w:tcPr>
            <w:tcW w:type="dxa" w:w="4320"/>
          </w:tcPr>
          <w:p>
            <w:pPr>
              <w:jc w:val="left"/>
            </w:pPr>
            <w:r>
              <w:rPr>
                <w:sz w:val="17"/>
              </w:rPr>
              <w:t>6.2</w:t>
            </w:r>
          </w:p>
        </w:tc>
        <w:tc>
          <w:tcPr>
            <w:tcW w:type="dxa" w:w="2160"/>
          </w:tcPr>
          <w:p>
            <w:pPr>
              <w:jc w:val="center"/>
            </w:pPr>
            <w:r>
              <w:rPr>
                <w:sz w:val="17"/>
              </w:rPr>
              <w:t>4</w:t>
            </w:r>
          </w:p>
        </w:tc>
      </w:tr>
      <w:tr>
        <w:tc>
          <w:tcPr>
            <w:tcW w:type="dxa" w:w="4320"/>
            <w:shd w:fill="ECF0F1" w:val="clear"/>
          </w:tcPr>
          <w:p>
            <w:pPr>
              <w:jc w:val="left"/>
            </w:pPr>
            <w:r>
              <w:rPr>
                <w:sz w:val="17"/>
              </w:rPr>
              <w:t>1.1</w:t>
            </w:r>
          </w:p>
        </w:tc>
        <w:tc>
          <w:tcPr>
            <w:tcW w:type="dxa" w:w="2160"/>
            <w:shd w:fill="ECF0F1" w:val="clear"/>
          </w:tcPr>
          <w:p>
            <w:pPr>
              <w:jc w:val="center"/>
            </w:pPr>
            <w:r>
              <w:rPr>
                <w:sz w:val="17"/>
              </w:rPr>
              <w:t>3</w:t>
            </w:r>
          </w:p>
        </w:tc>
      </w:tr>
      <w:tr>
        <w:tc>
          <w:tcPr>
            <w:tcW w:type="dxa" w:w="4320"/>
          </w:tcPr>
          <w:p>
            <w:pPr>
              <w:jc w:val="left"/>
            </w:pPr>
            <w:r>
              <w:rPr>
                <w:sz w:val="17"/>
              </w:rPr>
              <w:t>4.2</w:t>
            </w:r>
          </w:p>
        </w:tc>
        <w:tc>
          <w:tcPr>
            <w:tcW w:type="dxa" w:w="2160"/>
          </w:tcPr>
          <w:p>
            <w:pPr>
              <w:jc w:val="center"/>
            </w:pPr>
            <w:r>
              <w:rPr>
                <w:sz w:val="17"/>
              </w:rPr>
              <w:t>1</w:t>
            </w:r>
          </w:p>
        </w:tc>
      </w:tr>
      <w:tr>
        <w:tc>
          <w:tcPr>
            <w:tcW w:type="dxa" w:w="4320"/>
            <w:shd w:fill="ECF0F1" w:val="clear"/>
          </w:tcPr>
          <w:p>
            <w:pPr>
              <w:jc w:val="left"/>
            </w:pPr>
            <w:r>
              <w:rPr>
                <w:sz w:val="17"/>
              </w:rPr>
              <w:t>6.1</w:t>
            </w:r>
          </w:p>
        </w:tc>
        <w:tc>
          <w:tcPr>
            <w:tcW w:type="dxa" w:w="2160"/>
            <w:shd w:fill="ECF0F1" w:val="clear"/>
          </w:tcPr>
          <w:p>
            <w:pPr>
              <w:jc w:val="center"/>
            </w:pPr>
            <w:r>
              <w:rPr>
                <w:sz w:val="17"/>
              </w:rPr>
              <w:t>1</w:t>
            </w:r>
          </w:p>
        </w:tc>
      </w:tr>
      <w:tr>
        <w:tc>
          <w:tcPr>
            <w:tcW w:type="dxa" w:w="4320"/>
          </w:tcPr>
          <w:p>
            <w:pPr>
              <w:jc w:val="left"/>
            </w:pPr>
            <w:r>
              <w:rPr>
                <w:sz w:val="17"/>
              </w:rPr>
              <w:t>5.1</w:t>
            </w:r>
          </w:p>
        </w:tc>
        <w:tc>
          <w:tcPr>
            <w:tcW w:type="dxa" w:w="2160"/>
          </w:tcPr>
          <w:p>
            <w:pPr>
              <w:jc w:val="center"/>
            </w:pPr>
            <w:r>
              <w:rPr>
                <w:sz w:val="17"/>
              </w:rPr>
              <w:t>1</w:t>
            </w:r>
          </w:p>
        </w:tc>
      </w:tr>
      <w:tr>
        <w:tc>
          <w:tcPr>
            <w:tcW w:type="dxa" w:w="4320"/>
            <w:shd w:fill="ECF0F1" w:val="clear"/>
          </w:tcPr>
          <w:p>
            <w:pPr>
              <w:jc w:val="left"/>
            </w:pPr>
            <w:r>
              <w:rPr>
                <w:sz w:val="17"/>
              </w:rPr>
              <w:t>3.2</w:t>
            </w:r>
          </w:p>
        </w:tc>
        <w:tc>
          <w:tcPr>
            <w:tcW w:type="dxa" w:w="2160"/>
            <w:shd w:fill="ECF0F1" w:val="clear"/>
          </w:tcPr>
          <w:p>
            <w:pPr>
              <w:jc w:val="center"/>
            </w:pPr>
            <w:r>
              <w:rPr>
                <w:sz w:val="17"/>
              </w:rPr>
              <w:t>1</w:t>
            </w:r>
          </w:p>
        </w:tc>
      </w:tr>
      <w:tr>
        <w:tc>
          <w:tcPr>
            <w:tcW w:type="dxa" w:w="4320"/>
          </w:tcPr>
          <w:p>
            <w:pPr>
              <w:jc w:val="left"/>
            </w:pPr>
            <w:r>
              <w:rPr>
                <w:sz w:val="17"/>
              </w:rPr>
              <w:t>2.2</w:t>
            </w:r>
          </w:p>
        </w:tc>
        <w:tc>
          <w:tcPr>
            <w:tcW w:type="dxa" w:w="2160"/>
          </w:tcPr>
          <w:p>
            <w:pPr>
              <w:jc w:val="center"/>
            </w:pPr>
            <w:r>
              <w:rPr>
                <w:sz w:val="17"/>
              </w:rPr>
              <w:t>1</w:t>
            </w:r>
          </w:p>
        </w:tc>
      </w:tr>
      <w:tr>
        <w:tc>
          <w:tcPr>
            <w:tcW w:type="dxa" w:w="4320"/>
            <w:shd w:fill="ECF0F1" w:val="clear"/>
          </w:tcPr>
          <w:p>
            <w:pPr>
              <w:jc w:val="left"/>
            </w:pPr>
            <w:r>
              <w:rPr>
                <w:sz w:val="17"/>
              </w:rPr>
              <w:t>1.2</w:t>
            </w:r>
          </w:p>
        </w:tc>
        <w:tc>
          <w:tcPr>
            <w:tcW w:type="dxa" w:w="2160"/>
            <w:shd w:fill="ECF0F1" w:val="clear"/>
          </w:tcPr>
          <w:p>
            <w:pPr>
              <w:jc w:val="center"/>
            </w:pPr>
            <w:r>
              <w:rPr>
                <w:sz w:val="17"/>
              </w:rPr>
              <w:t>1</w:t>
            </w:r>
          </w:p>
        </w:tc>
      </w:tr>
    </w:tbl>
    <w:p/>
    <w:p>
      <w:pPr>
        <w:pStyle w:val="Heading2"/>
      </w:pPr>
      <w:r>
        <w:t>Interpretación del sistema</w:t>
      </w:r>
    </w:p>
    <w:p>
      <w:r>
        <w:rPr>
          <w:b w:val="0"/>
          <w:i/>
          <w:sz w:val="21"/>
        </w:rPr>
        <w:t>Atendiendo a los principios de la estadística descriptiva, la MODA de esta extracción es la Categoría Violencia Simbólica, lo que demuestra empíricamente que este es el patrón o táctica de ciberviolencia de género digital que predomina y rige el discurso de odio en la presente muestra (9 casos).</w:t>
      </w:r>
    </w:p>
    <w:p>
      <w:pPr>
        <w:pStyle w:val="Heading2"/>
      </w:pPr>
      <w:r>
        <w:t>Observaciones</w:t>
      </w:r>
    </w:p>
    <w:p>
      <w:pPr>
        <w:pStyle w:val="ListBullet"/>
      </w:pPr>
      <w:r>
        <w:rPr>
          <w:b/>
          <w:sz w:val="20"/>
        </w:rPr>
        <w:t xml:space="preserve">Distribución unimodal: </w:t>
      </w:r>
      <w:r>
        <w:rPr>
          <w:sz w:val="20"/>
        </w:rPr>
        <w:t>La distribución es unimodal con moda en «VDG_VIOLENCIA_SIMBOLICA». Este resultado indica que existe un patrón dominante claro de ciberviolencia de género en la muestra. La categoría «VDG_VIOLENCIA_SIMBOLICA» con 9 casos se impone sobre las demás con una frecuencia notable.</w:t>
      </w:r>
    </w:p>
    <w:p>
      <w:pPr>
        <w:pStyle w:val="ListBullet"/>
      </w:pPr>
      <w:r>
        <w:rPr>
          <w:b/>
          <w:sz w:val="20"/>
        </w:rPr>
        <w:t xml:space="preserve">Subdimensión modal: </w:t>
      </w:r>
      <w:r>
        <w:rPr>
          <w:sz w:val="20"/>
        </w:rPr>
        <w:t>A nivel de subdimensión, la moda es «2.3» con 6 casos. Esto permite identificar la variante específica más prevalente, lo cual es útil para focalizar estrategias de intervención o monitoreo.</w:t>
      </w:r>
    </w:p>
    <w:p>
      <w:r>
        <w:br w:type="page"/>
      </w:r>
    </w:p>
    <w:p>
      <w:r>
        <w:br w:type="page"/>
      </w:r>
    </w:p>
    <w:p>
      <w:pPr>
        <w:pStyle w:val="Heading1"/>
      </w:pPr>
      <w:r>
        <w:t>Regla 4 — Análisis bivariado (tabulaciones cruzadas)</w:t>
      </w:r>
    </w:p>
    <w:p>
      <w:r>
        <w:rPr>
          <w:b w:val="0"/>
          <w:i w:val="0"/>
          <w:sz w:val="21"/>
        </w:rPr>
        <w:t>El análisis bivariado cruza la categoría de violencia con dimensiones independientes para detectar patrones de asociación. Si una subdimensión aparece exclusivamente dentro de una categoría, hay una asociación clara; si se distribuye equitativamente entre varias, la relación es más difusa. El sistema presenta tres cruces: categoría por subdimensión, categoría por página de Facebook y categoría por mes de publicación.</w:t>
      </w:r>
    </w:p>
    <w:p>
      <w:r>
        <w:rPr>
          <w:b w:val="0"/>
          <w:i w:val="0"/>
          <w:sz w:val="21"/>
        </w:rPr>
        <w:t>Los porcentajes marginales de columna son la métrica clave de esta regla. Responden a la pregunta: «de todo el contenido que recibió la dimensión X, ¿qué porcentaje corresponde a cada categoría de violencia?». Un porcentaje del 100% en una celda indica que esa subdimensión es exclusiva de esa categoría en la muestra actual.</w:t>
      </w:r>
    </w:p>
    <w:p>
      <w:pPr>
        <w:pStyle w:val="Heading2"/>
      </w:pPr>
      <w:r>
        <w:t>Tabla cruzada: categoría × subdimensión</w:t>
      </w:r>
    </w:p>
    <w:tbl>
      <w:tblPr>
        <w:tblStyle w:val="TableGrid"/>
        <w:tblW w:type="auto" w:w="0"/>
        <w:jc w:val="center"/>
        <w:tblLook w:firstColumn="1" w:firstRow="1" w:lastColumn="0" w:lastRow="0" w:noHBand="0" w:noVBand="1" w:val="04A0"/>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c>
          <w:tcPr>
            <w:tcW w:type="dxa" w:w="451"/>
            <w:shd w:fill="2C3E50" w:val="clear"/>
            <w:vAlign w:val="center"/>
          </w:tcPr>
          <w:p>
            <w:pPr>
              <w:jc w:val="center"/>
            </w:pPr>
            <w:r>
              <w:rPr>
                <w:b/>
                <w:color w:val="FFFFFF"/>
                <w:sz w:val="18"/>
              </w:rPr>
              <w:t>Categoría</w:t>
            </w:r>
          </w:p>
        </w:tc>
        <w:tc>
          <w:tcPr>
            <w:tcW w:type="dxa" w:w="451"/>
            <w:shd w:fill="2C3E50" w:val="clear"/>
            <w:vAlign w:val="center"/>
          </w:tcPr>
          <w:p>
            <w:pPr>
              <w:jc w:val="center"/>
            </w:pPr>
            <w:r>
              <w:rPr>
                <w:b/>
                <w:color w:val="FFFFFF"/>
                <w:sz w:val="18"/>
              </w:rPr>
              <w:t>1.1</w:t>
            </w:r>
          </w:p>
        </w:tc>
        <w:tc>
          <w:tcPr>
            <w:tcW w:type="dxa" w:w="451"/>
            <w:shd w:fill="2C3E50" w:val="clear"/>
            <w:vAlign w:val="center"/>
          </w:tcPr>
          <w:p>
            <w:pPr>
              <w:jc w:val="center"/>
            </w:pPr>
            <w:r>
              <w:rPr>
                <w:b/>
                <w:color w:val="FFFFFF"/>
                <w:sz w:val="18"/>
              </w:rPr>
              <w:t>1.2</w:t>
            </w:r>
          </w:p>
        </w:tc>
        <w:tc>
          <w:tcPr>
            <w:tcW w:type="dxa" w:w="451"/>
            <w:shd w:fill="2C3E50" w:val="clear"/>
            <w:vAlign w:val="center"/>
          </w:tcPr>
          <w:p>
            <w:pPr>
              <w:jc w:val="center"/>
            </w:pPr>
            <w:r>
              <w:rPr>
                <w:b/>
                <w:color w:val="FFFFFF"/>
                <w:sz w:val="18"/>
              </w:rPr>
              <w:t>1.3</w:t>
            </w:r>
          </w:p>
        </w:tc>
        <w:tc>
          <w:tcPr>
            <w:tcW w:type="dxa" w:w="451"/>
            <w:shd w:fill="2C3E50" w:val="clear"/>
            <w:vAlign w:val="center"/>
          </w:tcPr>
          <w:p>
            <w:pPr>
              <w:jc w:val="center"/>
            </w:pPr>
            <w:r>
              <w:rPr>
                <w:b/>
                <w:color w:val="FFFFFF"/>
                <w:sz w:val="18"/>
              </w:rPr>
              <w:t>2.1</w:t>
            </w:r>
          </w:p>
        </w:tc>
        <w:tc>
          <w:tcPr>
            <w:tcW w:type="dxa" w:w="451"/>
            <w:shd w:fill="2C3E50" w:val="clear"/>
            <w:vAlign w:val="center"/>
          </w:tcPr>
          <w:p>
            <w:pPr>
              <w:jc w:val="center"/>
            </w:pPr>
            <w:r>
              <w:rPr>
                <w:b/>
                <w:color w:val="FFFFFF"/>
                <w:sz w:val="18"/>
              </w:rPr>
              <w:t>2.2</w:t>
            </w:r>
          </w:p>
        </w:tc>
        <w:tc>
          <w:tcPr>
            <w:tcW w:type="dxa" w:w="451"/>
            <w:shd w:fill="2C3E50" w:val="clear"/>
            <w:vAlign w:val="center"/>
          </w:tcPr>
          <w:p>
            <w:pPr>
              <w:jc w:val="center"/>
            </w:pPr>
            <w:r>
              <w:rPr>
                <w:b/>
                <w:color w:val="FFFFFF"/>
                <w:sz w:val="18"/>
              </w:rPr>
              <w:t>2.3</w:t>
            </w:r>
          </w:p>
        </w:tc>
        <w:tc>
          <w:tcPr>
            <w:tcW w:type="dxa" w:w="451"/>
            <w:shd w:fill="2C3E50" w:val="clear"/>
            <w:vAlign w:val="center"/>
          </w:tcPr>
          <w:p>
            <w:pPr>
              <w:jc w:val="center"/>
            </w:pPr>
            <w:r>
              <w:rPr>
                <w:b/>
                <w:color w:val="FFFFFF"/>
                <w:sz w:val="18"/>
              </w:rPr>
              <w:t>3.1</w:t>
            </w:r>
          </w:p>
        </w:tc>
        <w:tc>
          <w:tcPr>
            <w:tcW w:type="dxa" w:w="451"/>
            <w:shd w:fill="2C3E50" w:val="clear"/>
            <w:vAlign w:val="center"/>
          </w:tcPr>
          <w:p>
            <w:pPr>
              <w:jc w:val="center"/>
            </w:pPr>
            <w:r>
              <w:rPr>
                <w:b/>
                <w:color w:val="FFFFFF"/>
                <w:sz w:val="18"/>
              </w:rPr>
              <w:t>3.2</w:t>
            </w:r>
          </w:p>
        </w:tc>
        <w:tc>
          <w:tcPr>
            <w:tcW w:type="dxa" w:w="451"/>
            <w:shd w:fill="2C3E50" w:val="clear"/>
            <w:vAlign w:val="center"/>
          </w:tcPr>
          <w:p>
            <w:pPr>
              <w:jc w:val="center"/>
            </w:pPr>
            <w:r>
              <w:rPr>
                <w:b/>
                <w:color w:val="FFFFFF"/>
                <w:sz w:val="18"/>
              </w:rPr>
              <w:t>3.3</w:t>
            </w:r>
          </w:p>
        </w:tc>
        <w:tc>
          <w:tcPr>
            <w:tcW w:type="dxa" w:w="451"/>
            <w:shd w:fill="2C3E50" w:val="clear"/>
            <w:vAlign w:val="center"/>
          </w:tcPr>
          <w:p>
            <w:pPr>
              <w:jc w:val="center"/>
            </w:pPr>
            <w:r>
              <w:rPr>
                <w:b/>
                <w:color w:val="FFFFFF"/>
                <w:sz w:val="18"/>
              </w:rPr>
              <w:t>4.1</w:t>
            </w:r>
          </w:p>
        </w:tc>
        <w:tc>
          <w:tcPr>
            <w:tcW w:type="dxa" w:w="451"/>
            <w:shd w:fill="2C3E50" w:val="clear"/>
            <w:vAlign w:val="center"/>
          </w:tcPr>
          <w:p>
            <w:pPr>
              <w:jc w:val="center"/>
            </w:pPr>
            <w:r>
              <w:rPr>
                <w:b/>
                <w:color w:val="FFFFFF"/>
                <w:sz w:val="18"/>
              </w:rPr>
              <w:t>4.2</w:t>
            </w:r>
          </w:p>
        </w:tc>
        <w:tc>
          <w:tcPr>
            <w:tcW w:type="dxa" w:w="451"/>
            <w:shd w:fill="2C3E50" w:val="clear"/>
            <w:vAlign w:val="center"/>
          </w:tcPr>
          <w:p>
            <w:pPr>
              <w:jc w:val="center"/>
            </w:pPr>
            <w:r>
              <w:rPr>
                <w:b/>
                <w:color w:val="FFFFFF"/>
                <w:sz w:val="18"/>
              </w:rPr>
              <w:t>4.3</w:t>
            </w:r>
          </w:p>
        </w:tc>
        <w:tc>
          <w:tcPr>
            <w:tcW w:type="dxa" w:w="451"/>
            <w:shd w:fill="2C3E50" w:val="clear"/>
            <w:vAlign w:val="center"/>
          </w:tcPr>
          <w:p>
            <w:pPr>
              <w:jc w:val="center"/>
            </w:pPr>
            <w:r>
              <w:rPr>
                <w:b/>
                <w:color w:val="FFFFFF"/>
                <w:sz w:val="18"/>
              </w:rPr>
              <w:t>4.4</w:t>
            </w:r>
          </w:p>
        </w:tc>
        <w:tc>
          <w:tcPr>
            <w:tcW w:type="dxa" w:w="451"/>
            <w:shd w:fill="2C3E50" w:val="clear"/>
            <w:vAlign w:val="center"/>
          </w:tcPr>
          <w:p>
            <w:pPr>
              <w:jc w:val="center"/>
            </w:pPr>
            <w:r>
              <w:rPr>
                <w:b/>
                <w:color w:val="FFFFFF"/>
                <w:sz w:val="18"/>
              </w:rPr>
              <w:t>5.1</w:t>
            </w:r>
          </w:p>
        </w:tc>
        <w:tc>
          <w:tcPr>
            <w:tcW w:type="dxa" w:w="451"/>
            <w:shd w:fill="2C3E50" w:val="clear"/>
            <w:vAlign w:val="center"/>
          </w:tcPr>
          <w:p>
            <w:pPr>
              <w:jc w:val="center"/>
            </w:pPr>
            <w:r>
              <w:rPr>
                <w:b/>
                <w:color w:val="FFFFFF"/>
                <w:sz w:val="18"/>
              </w:rPr>
              <w:t>5.2</w:t>
            </w:r>
          </w:p>
        </w:tc>
        <w:tc>
          <w:tcPr>
            <w:tcW w:type="dxa" w:w="451"/>
            <w:shd w:fill="2C3E50" w:val="clear"/>
            <w:vAlign w:val="center"/>
          </w:tcPr>
          <w:p>
            <w:pPr>
              <w:jc w:val="center"/>
            </w:pPr>
            <w:r>
              <w:rPr>
                <w:b/>
                <w:color w:val="FFFFFF"/>
                <w:sz w:val="18"/>
              </w:rPr>
              <w:t>5.3</w:t>
            </w:r>
          </w:p>
        </w:tc>
        <w:tc>
          <w:tcPr>
            <w:tcW w:type="dxa" w:w="451"/>
            <w:shd w:fill="2C3E50" w:val="clear"/>
            <w:vAlign w:val="center"/>
          </w:tcPr>
          <w:p>
            <w:pPr>
              <w:jc w:val="center"/>
            </w:pPr>
            <w:r>
              <w:rPr>
                <w:b/>
                <w:color w:val="FFFFFF"/>
                <w:sz w:val="18"/>
              </w:rPr>
              <w:t>6.1</w:t>
            </w:r>
          </w:p>
        </w:tc>
        <w:tc>
          <w:tcPr>
            <w:tcW w:type="dxa" w:w="451"/>
            <w:shd w:fill="2C3E50" w:val="clear"/>
            <w:vAlign w:val="center"/>
          </w:tcPr>
          <w:p>
            <w:pPr>
              <w:jc w:val="center"/>
            </w:pPr>
            <w:r>
              <w:rPr>
                <w:b/>
                <w:color w:val="FFFFFF"/>
                <w:sz w:val="18"/>
              </w:rPr>
              <w:t>6.2</w:t>
            </w:r>
          </w:p>
        </w:tc>
        <w:tc>
          <w:tcPr>
            <w:tcW w:type="dxa" w:w="451"/>
            <w:shd w:fill="2C3E50" w:val="clear"/>
            <w:vAlign w:val="center"/>
          </w:tcPr>
          <w:p>
            <w:pPr>
              <w:jc w:val="center"/>
            </w:pPr>
            <w:r>
              <w:rPr>
                <w:b/>
                <w:color w:val="FFFFFF"/>
                <w:sz w:val="18"/>
              </w:rPr>
              <w:t>6.3</w:t>
            </w:r>
          </w:p>
        </w:tc>
      </w:tr>
      <w:tr>
        <w:tc>
          <w:tcPr>
            <w:tcW w:type="dxa" w:w="451"/>
            <w:shd w:fill="ECF0F1" w:val="clear"/>
          </w:tcPr>
          <w:p>
            <w:pPr>
              <w:jc w:val="left"/>
            </w:pPr>
            <w:r>
              <w:rPr>
                <w:sz w:val="17"/>
              </w:rPr>
              <w:t>VDG_VIOLENCIA_SIMBOLICA</w:t>
            </w:r>
          </w:p>
        </w:tc>
        <w:tc>
          <w:tcPr>
            <w:tcW w:type="dxa" w:w="451"/>
            <w:shd w:fill="ECF0F1" w:val="clear"/>
          </w:tcPr>
          <w:p>
            <w:pPr>
              <w:jc w:val="center"/>
            </w:pPr>
            <w:r>
              <w:rPr>
                <w:sz w:val="17"/>
              </w:rPr>
              <w:t>3</w:t>
            </w:r>
          </w:p>
        </w:tc>
        <w:tc>
          <w:tcPr>
            <w:tcW w:type="dxa" w:w="451"/>
            <w:shd w:fill="ECF0F1" w:val="clear"/>
          </w:tcPr>
          <w:p>
            <w:pPr>
              <w:jc w:val="center"/>
            </w:pPr>
            <w:r>
              <w:rPr>
                <w:sz w:val="17"/>
              </w:rPr>
              <w:t>1</w:t>
            </w:r>
          </w:p>
        </w:tc>
        <w:tc>
          <w:tcPr>
            <w:tcW w:type="dxa" w:w="451"/>
            <w:shd w:fill="ECF0F1" w:val="clear"/>
          </w:tcPr>
          <w:p>
            <w:pPr>
              <w:jc w:val="center"/>
            </w:pPr>
            <w:r>
              <w:rPr>
                <w:sz w:val="17"/>
              </w:rPr>
              <w:t>5</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r>
      <w:tr>
        <w:tc>
          <w:tcPr>
            <w:tcW w:type="dxa" w:w="451"/>
          </w:tcPr>
          <w:p>
            <w:pPr>
              <w:jc w:val="left"/>
            </w:pPr>
            <w:r>
              <w:rPr>
                <w:sz w:val="17"/>
              </w:rPr>
              <w:t>VDG_COSIFICACION_SLUTSHAMING</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1</w:t>
            </w:r>
          </w:p>
        </w:tc>
        <w:tc>
          <w:tcPr>
            <w:tcW w:type="dxa" w:w="451"/>
          </w:tcPr>
          <w:p>
            <w:pPr>
              <w:jc w:val="center"/>
            </w:pPr>
            <w:r>
              <w:rPr>
                <w:sz w:val="17"/>
              </w:rPr>
              <w:t>6</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r>
      <w:tr>
        <w:tc>
          <w:tcPr>
            <w:tcW w:type="dxa" w:w="451"/>
            <w:shd w:fill="ECF0F1" w:val="clear"/>
          </w:tcPr>
          <w:p>
            <w:pPr>
              <w:jc w:val="left"/>
            </w:pPr>
            <w:r>
              <w:rPr>
                <w:sz w:val="17"/>
              </w:rPr>
              <w:t>VDG_HOSTILIDAD_FEMINICIDIO</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1</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r>
      <w:tr>
        <w:tc>
          <w:tcPr>
            <w:tcW w:type="dxa" w:w="451"/>
          </w:tcPr>
          <w:p>
            <w:pPr>
              <w:jc w:val="left"/>
            </w:pPr>
            <w:r>
              <w:rPr>
                <w:sz w:val="17"/>
              </w:rPr>
              <w:t>VDG_MANOSFERA_ANTIFEMINISMO</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1</w:t>
            </w:r>
          </w:p>
        </w:tc>
        <w:tc>
          <w:tcPr>
            <w:tcW w:type="dxa" w:w="451"/>
          </w:tcPr>
          <w:p>
            <w:pPr>
              <w:jc w:val="center"/>
            </w:pPr>
            <w:r>
              <w:rPr>
                <w:sz w:val="17"/>
              </w:rPr>
              <w:t>4</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r>
      <w:tr>
        <w:tc>
          <w:tcPr>
            <w:tcW w:type="dxa" w:w="451"/>
            <w:shd w:fill="ECF0F1" w:val="clear"/>
          </w:tcPr>
          <w:p>
            <w:pPr>
              <w:jc w:val="left"/>
            </w:pPr>
            <w:r>
              <w:rPr>
                <w:sz w:val="17"/>
              </w:rPr>
              <w:t>VDG_DESACREDITACION_ACTIVISTAS</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1</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c>
          <w:tcPr>
            <w:tcW w:type="dxa" w:w="451"/>
            <w:shd w:fill="ECF0F1" w:val="clear"/>
          </w:tcPr>
          <w:p>
            <w:pPr>
              <w:jc w:val="center"/>
            </w:pPr>
            <w:r>
              <w:rPr>
                <w:sz w:val="17"/>
              </w:rPr>
              <w:t>0</w:t>
            </w:r>
          </w:p>
        </w:tc>
      </w:tr>
      <w:tr>
        <w:tc>
          <w:tcPr>
            <w:tcW w:type="dxa" w:w="451"/>
          </w:tcPr>
          <w:p>
            <w:pPr>
              <w:jc w:val="left"/>
            </w:pPr>
            <w:r>
              <w:rPr>
                <w:sz w:val="17"/>
              </w:rPr>
              <w:t>VDG_SALVAGUARDA_FALSO_POSITIVO</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0</w:t>
            </w:r>
          </w:p>
        </w:tc>
        <w:tc>
          <w:tcPr>
            <w:tcW w:type="dxa" w:w="451"/>
          </w:tcPr>
          <w:p>
            <w:pPr>
              <w:jc w:val="center"/>
            </w:pPr>
            <w:r>
              <w:rPr>
                <w:sz w:val="17"/>
              </w:rPr>
              <w:t>1</w:t>
            </w:r>
          </w:p>
        </w:tc>
        <w:tc>
          <w:tcPr>
            <w:tcW w:type="dxa" w:w="451"/>
          </w:tcPr>
          <w:p>
            <w:pPr>
              <w:jc w:val="center"/>
            </w:pPr>
            <w:r>
              <w:rPr>
                <w:sz w:val="17"/>
              </w:rPr>
              <w:t>4</w:t>
            </w:r>
          </w:p>
        </w:tc>
        <w:tc>
          <w:tcPr>
            <w:tcW w:type="dxa" w:w="451"/>
          </w:tcPr>
          <w:p>
            <w:pPr>
              <w:jc w:val="center"/>
            </w:pPr>
            <w:r>
              <w:rPr>
                <w:sz w:val="17"/>
              </w:rPr>
              <w:t>0</w:t>
            </w:r>
          </w:p>
        </w:tc>
      </w:tr>
    </w:tbl>
    <w:p/>
    <w:p>
      <w:pPr>
        <w:pStyle w:val="Heading2"/>
      </w:pPr>
      <w:r>
        <w:t>Porcentajes marginales de columna (%)</w:t>
      </w:r>
    </w:p>
    <w:tbl>
      <w:tblPr>
        <w:tblStyle w:val="TableGrid"/>
        <w:tblW w:type="auto" w:w="0"/>
        <w:jc w:val="center"/>
        <w:tblLook w:firstColumn="1" w:firstRow="1" w:lastColumn="0" w:lastRow="0" w:noHBand="0" w:noVBand="1" w:val="04A0"/>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c>
          <w:tcPr>
            <w:tcW w:type="dxa" w:w="451"/>
            <w:shd w:fill="2C3E50" w:val="clear"/>
            <w:vAlign w:val="center"/>
          </w:tcPr>
          <w:p>
            <w:pPr>
              <w:jc w:val="center"/>
            </w:pPr>
            <w:r>
              <w:rPr>
                <w:b/>
                <w:color w:val="FFFFFF"/>
                <w:sz w:val="18"/>
              </w:rPr>
              <w:t>Categoría</w:t>
            </w:r>
          </w:p>
        </w:tc>
        <w:tc>
          <w:tcPr>
            <w:tcW w:type="dxa" w:w="451"/>
            <w:shd w:fill="2C3E50" w:val="clear"/>
            <w:vAlign w:val="center"/>
          </w:tcPr>
          <w:p>
            <w:pPr>
              <w:jc w:val="center"/>
            </w:pPr>
            <w:r>
              <w:rPr>
                <w:b/>
                <w:color w:val="FFFFFF"/>
                <w:sz w:val="18"/>
              </w:rPr>
              <w:t>1.1</w:t>
            </w:r>
          </w:p>
        </w:tc>
        <w:tc>
          <w:tcPr>
            <w:tcW w:type="dxa" w:w="451"/>
            <w:shd w:fill="2C3E50" w:val="clear"/>
            <w:vAlign w:val="center"/>
          </w:tcPr>
          <w:p>
            <w:pPr>
              <w:jc w:val="center"/>
            </w:pPr>
            <w:r>
              <w:rPr>
                <w:b/>
                <w:color w:val="FFFFFF"/>
                <w:sz w:val="18"/>
              </w:rPr>
              <w:t>1.2</w:t>
            </w:r>
          </w:p>
        </w:tc>
        <w:tc>
          <w:tcPr>
            <w:tcW w:type="dxa" w:w="451"/>
            <w:shd w:fill="2C3E50" w:val="clear"/>
            <w:vAlign w:val="center"/>
          </w:tcPr>
          <w:p>
            <w:pPr>
              <w:jc w:val="center"/>
            </w:pPr>
            <w:r>
              <w:rPr>
                <w:b/>
                <w:color w:val="FFFFFF"/>
                <w:sz w:val="18"/>
              </w:rPr>
              <w:t>1.3</w:t>
            </w:r>
          </w:p>
        </w:tc>
        <w:tc>
          <w:tcPr>
            <w:tcW w:type="dxa" w:w="451"/>
            <w:shd w:fill="2C3E50" w:val="clear"/>
            <w:vAlign w:val="center"/>
          </w:tcPr>
          <w:p>
            <w:pPr>
              <w:jc w:val="center"/>
            </w:pPr>
            <w:r>
              <w:rPr>
                <w:b/>
                <w:color w:val="FFFFFF"/>
                <w:sz w:val="18"/>
              </w:rPr>
              <w:t>2.1</w:t>
            </w:r>
          </w:p>
        </w:tc>
        <w:tc>
          <w:tcPr>
            <w:tcW w:type="dxa" w:w="451"/>
            <w:shd w:fill="2C3E50" w:val="clear"/>
            <w:vAlign w:val="center"/>
          </w:tcPr>
          <w:p>
            <w:pPr>
              <w:jc w:val="center"/>
            </w:pPr>
            <w:r>
              <w:rPr>
                <w:b/>
                <w:color w:val="FFFFFF"/>
                <w:sz w:val="18"/>
              </w:rPr>
              <w:t>2.2</w:t>
            </w:r>
          </w:p>
        </w:tc>
        <w:tc>
          <w:tcPr>
            <w:tcW w:type="dxa" w:w="451"/>
            <w:shd w:fill="2C3E50" w:val="clear"/>
            <w:vAlign w:val="center"/>
          </w:tcPr>
          <w:p>
            <w:pPr>
              <w:jc w:val="center"/>
            </w:pPr>
            <w:r>
              <w:rPr>
                <w:b/>
                <w:color w:val="FFFFFF"/>
                <w:sz w:val="18"/>
              </w:rPr>
              <w:t>2.3</w:t>
            </w:r>
          </w:p>
        </w:tc>
        <w:tc>
          <w:tcPr>
            <w:tcW w:type="dxa" w:w="451"/>
            <w:shd w:fill="2C3E50" w:val="clear"/>
            <w:vAlign w:val="center"/>
          </w:tcPr>
          <w:p>
            <w:pPr>
              <w:jc w:val="center"/>
            </w:pPr>
            <w:r>
              <w:rPr>
                <w:b/>
                <w:color w:val="FFFFFF"/>
                <w:sz w:val="18"/>
              </w:rPr>
              <w:t>3.1</w:t>
            </w:r>
          </w:p>
        </w:tc>
        <w:tc>
          <w:tcPr>
            <w:tcW w:type="dxa" w:w="451"/>
            <w:shd w:fill="2C3E50" w:val="clear"/>
            <w:vAlign w:val="center"/>
          </w:tcPr>
          <w:p>
            <w:pPr>
              <w:jc w:val="center"/>
            </w:pPr>
            <w:r>
              <w:rPr>
                <w:b/>
                <w:color w:val="FFFFFF"/>
                <w:sz w:val="18"/>
              </w:rPr>
              <w:t>3.2</w:t>
            </w:r>
          </w:p>
        </w:tc>
        <w:tc>
          <w:tcPr>
            <w:tcW w:type="dxa" w:w="451"/>
            <w:shd w:fill="2C3E50" w:val="clear"/>
            <w:vAlign w:val="center"/>
          </w:tcPr>
          <w:p>
            <w:pPr>
              <w:jc w:val="center"/>
            </w:pPr>
            <w:r>
              <w:rPr>
                <w:b/>
                <w:color w:val="FFFFFF"/>
                <w:sz w:val="18"/>
              </w:rPr>
              <w:t>3.3</w:t>
            </w:r>
          </w:p>
        </w:tc>
        <w:tc>
          <w:tcPr>
            <w:tcW w:type="dxa" w:w="451"/>
            <w:shd w:fill="2C3E50" w:val="clear"/>
            <w:vAlign w:val="center"/>
          </w:tcPr>
          <w:p>
            <w:pPr>
              <w:jc w:val="center"/>
            </w:pPr>
            <w:r>
              <w:rPr>
                <w:b/>
                <w:color w:val="FFFFFF"/>
                <w:sz w:val="18"/>
              </w:rPr>
              <w:t>4.1</w:t>
            </w:r>
          </w:p>
        </w:tc>
        <w:tc>
          <w:tcPr>
            <w:tcW w:type="dxa" w:w="451"/>
            <w:shd w:fill="2C3E50" w:val="clear"/>
            <w:vAlign w:val="center"/>
          </w:tcPr>
          <w:p>
            <w:pPr>
              <w:jc w:val="center"/>
            </w:pPr>
            <w:r>
              <w:rPr>
                <w:b/>
                <w:color w:val="FFFFFF"/>
                <w:sz w:val="18"/>
              </w:rPr>
              <w:t>4.2</w:t>
            </w:r>
          </w:p>
        </w:tc>
        <w:tc>
          <w:tcPr>
            <w:tcW w:type="dxa" w:w="451"/>
            <w:shd w:fill="2C3E50" w:val="clear"/>
            <w:vAlign w:val="center"/>
          </w:tcPr>
          <w:p>
            <w:pPr>
              <w:jc w:val="center"/>
            </w:pPr>
            <w:r>
              <w:rPr>
                <w:b/>
                <w:color w:val="FFFFFF"/>
                <w:sz w:val="18"/>
              </w:rPr>
              <w:t>4.3</w:t>
            </w:r>
          </w:p>
        </w:tc>
        <w:tc>
          <w:tcPr>
            <w:tcW w:type="dxa" w:w="451"/>
            <w:shd w:fill="2C3E50" w:val="clear"/>
            <w:vAlign w:val="center"/>
          </w:tcPr>
          <w:p>
            <w:pPr>
              <w:jc w:val="center"/>
            </w:pPr>
            <w:r>
              <w:rPr>
                <w:b/>
                <w:color w:val="FFFFFF"/>
                <w:sz w:val="18"/>
              </w:rPr>
              <w:t>4.4</w:t>
            </w:r>
          </w:p>
        </w:tc>
        <w:tc>
          <w:tcPr>
            <w:tcW w:type="dxa" w:w="451"/>
            <w:shd w:fill="2C3E50" w:val="clear"/>
            <w:vAlign w:val="center"/>
          </w:tcPr>
          <w:p>
            <w:pPr>
              <w:jc w:val="center"/>
            </w:pPr>
            <w:r>
              <w:rPr>
                <w:b/>
                <w:color w:val="FFFFFF"/>
                <w:sz w:val="18"/>
              </w:rPr>
              <w:t>5.1</w:t>
            </w:r>
          </w:p>
        </w:tc>
        <w:tc>
          <w:tcPr>
            <w:tcW w:type="dxa" w:w="451"/>
            <w:shd w:fill="2C3E50" w:val="clear"/>
            <w:vAlign w:val="center"/>
          </w:tcPr>
          <w:p>
            <w:pPr>
              <w:jc w:val="center"/>
            </w:pPr>
            <w:r>
              <w:rPr>
                <w:b/>
                <w:color w:val="FFFFFF"/>
                <w:sz w:val="18"/>
              </w:rPr>
              <w:t>5.2</w:t>
            </w:r>
          </w:p>
        </w:tc>
        <w:tc>
          <w:tcPr>
            <w:tcW w:type="dxa" w:w="451"/>
            <w:shd w:fill="2C3E50" w:val="clear"/>
            <w:vAlign w:val="center"/>
          </w:tcPr>
          <w:p>
            <w:pPr>
              <w:jc w:val="center"/>
            </w:pPr>
            <w:r>
              <w:rPr>
                <w:b/>
                <w:color w:val="FFFFFF"/>
                <w:sz w:val="18"/>
              </w:rPr>
              <w:t>5.3</w:t>
            </w:r>
          </w:p>
        </w:tc>
        <w:tc>
          <w:tcPr>
            <w:tcW w:type="dxa" w:w="451"/>
            <w:shd w:fill="2C3E50" w:val="clear"/>
            <w:vAlign w:val="center"/>
          </w:tcPr>
          <w:p>
            <w:pPr>
              <w:jc w:val="center"/>
            </w:pPr>
            <w:r>
              <w:rPr>
                <w:b/>
                <w:color w:val="FFFFFF"/>
                <w:sz w:val="18"/>
              </w:rPr>
              <w:t>6.1</w:t>
            </w:r>
          </w:p>
        </w:tc>
        <w:tc>
          <w:tcPr>
            <w:tcW w:type="dxa" w:w="451"/>
            <w:shd w:fill="2C3E50" w:val="clear"/>
            <w:vAlign w:val="center"/>
          </w:tcPr>
          <w:p>
            <w:pPr>
              <w:jc w:val="center"/>
            </w:pPr>
            <w:r>
              <w:rPr>
                <w:b/>
                <w:color w:val="FFFFFF"/>
                <w:sz w:val="18"/>
              </w:rPr>
              <w:t>6.2</w:t>
            </w:r>
          </w:p>
        </w:tc>
        <w:tc>
          <w:tcPr>
            <w:tcW w:type="dxa" w:w="451"/>
            <w:shd w:fill="2C3E50" w:val="clear"/>
            <w:vAlign w:val="center"/>
          </w:tcPr>
          <w:p>
            <w:pPr>
              <w:jc w:val="center"/>
            </w:pPr>
            <w:r>
              <w:rPr>
                <w:b/>
                <w:color w:val="FFFFFF"/>
                <w:sz w:val="18"/>
              </w:rPr>
              <w:t>6.3</w:t>
            </w:r>
          </w:p>
        </w:tc>
      </w:tr>
      <w:tr>
        <w:tc>
          <w:tcPr>
            <w:tcW w:type="dxa" w:w="451"/>
            <w:shd w:fill="ECF0F1" w:val="clear"/>
          </w:tcPr>
          <w:p>
            <w:pPr>
              <w:jc w:val="left"/>
            </w:pPr>
            <w:r>
              <w:rPr>
                <w:sz w:val="17"/>
              </w:rPr>
              <w:t>VDG_VIOLENCIA_SIMBOLICA</w:t>
            </w:r>
          </w:p>
        </w:tc>
        <w:tc>
          <w:tcPr>
            <w:tcW w:type="dxa" w:w="451"/>
            <w:shd w:fill="ECF0F1" w:val="clear"/>
          </w:tcPr>
          <w:p>
            <w:pPr>
              <w:jc w:val="center"/>
            </w:pPr>
            <w:r>
              <w:rPr>
                <w:sz w:val="17"/>
              </w:rPr>
              <w:t>100.0%</w:t>
            </w:r>
          </w:p>
        </w:tc>
        <w:tc>
          <w:tcPr>
            <w:tcW w:type="dxa" w:w="451"/>
            <w:shd w:fill="ECF0F1" w:val="clear"/>
          </w:tcPr>
          <w:p>
            <w:pPr>
              <w:jc w:val="center"/>
            </w:pPr>
            <w:r>
              <w:rPr>
                <w:sz w:val="17"/>
              </w:rPr>
              <w:t>100.0%</w:t>
            </w:r>
          </w:p>
        </w:tc>
        <w:tc>
          <w:tcPr>
            <w:tcW w:type="dxa" w:w="451"/>
            <w:shd w:fill="ECF0F1" w:val="clear"/>
          </w:tcPr>
          <w:p>
            <w:pPr>
              <w:jc w:val="center"/>
            </w:pPr>
            <w:r>
              <w:rPr>
                <w:sz w:val="17"/>
              </w:rPr>
              <w:t>100.0%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r>
      <w:tr>
        <w:tc>
          <w:tcPr>
            <w:tcW w:type="dxa" w:w="451"/>
          </w:tcPr>
          <w:p>
            <w:pPr>
              <w:jc w:val="left"/>
            </w:pPr>
            <w:r>
              <w:rPr>
                <w:sz w:val="17"/>
              </w:rPr>
              <w:t>VDG_COSIFICACION_SLUTSHAMING</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100.0%</w:t>
            </w:r>
          </w:p>
        </w:tc>
        <w:tc>
          <w:tcPr>
            <w:tcW w:type="dxa" w:w="451"/>
          </w:tcPr>
          <w:p>
            <w:pPr>
              <w:jc w:val="center"/>
            </w:pPr>
            <w:r>
              <w:rPr>
                <w:sz w:val="17"/>
              </w:rPr>
              <w:t>100.0%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r>
      <w:tr>
        <w:tc>
          <w:tcPr>
            <w:tcW w:type="dxa" w:w="451"/>
            <w:shd w:fill="ECF0F1" w:val="clear"/>
          </w:tcPr>
          <w:p>
            <w:pPr>
              <w:jc w:val="left"/>
            </w:pPr>
            <w:r>
              <w:rPr>
                <w:sz w:val="17"/>
              </w:rPr>
              <w:t>VDG_HOSTILIDAD_FEMINICIDIO</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100.0%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r>
      <w:tr>
        <w:tc>
          <w:tcPr>
            <w:tcW w:type="dxa" w:w="451"/>
          </w:tcPr>
          <w:p>
            <w:pPr>
              <w:jc w:val="left"/>
            </w:pPr>
            <w:r>
              <w:rPr>
                <w:sz w:val="17"/>
              </w:rPr>
              <w:t>VDG_MANOSFERA_ANTIFEMINISMO</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100.0%</w:t>
            </w:r>
          </w:p>
        </w:tc>
        <w:tc>
          <w:tcPr>
            <w:tcW w:type="dxa" w:w="451"/>
          </w:tcPr>
          <w:p>
            <w:pPr>
              <w:jc w:val="center"/>
            </w:pPr>
            <w:r>
              <w:rPr>
                <w:sz w:val="17"/>
              </w:rPr>
              <w:t>100.0%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r>
      <w:tr>
        <w:tc>
          <w:tcPr>
            <w:tcW w:type="dxa" w:w="451"/>
            <w:shd w:fill="ECF0F1" w:val="clear"/>
          </w:tcPr>
          <w:p>
            <w:pPr>
              <w:jc w:val="left"/>
            </w:pPr>
            <w:r>
              <w:rPr>
                <w:sz w:val="17"/>
              </w:rPr>
              <w:t>VDG_DESACREDITACION_ACTIVISTAS</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100.0%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c>
          <w:tcPr>
            <w:tcW w:type="dxa" w:w="451"/>
            <w:shd w:fill="ECF0F1" w:val="clear"/>
          </w:tcPr>
          <w:p>
            <w:pPr>
              <w:jc w:val="center"/>
            </w:pPr>
            <w:r>
              <w:rPr>
                <w:sz w:val="17"/>
              </w:rPr>
              <w:t>0.0%</w:t>
            </w:r>
          </w:p>
        </w:tc>
      </w:tr>
      <w:tr>
        <w:tc>
          <w:tcPr>
            <w:tcW w:type="dxa" w:w="451"/>
          </w:tcPr>
          <w:p>
            <w:pPr>
              <w:jc w:val="left"/>
            </w:pPr>
            <w:r>
              <w:rPr>
                <w:sz w:val="17"/>
              </w:rPr>
              <w:t>VDG_SALVAGUARDA_FALSO_POSITIVO</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0.0%</w:t>
            </w:r>
          </w:p>
        </w:tc>
        <w:tc>
          <w:tcPr>
            <w:tcW w:type="dxa" w:w="451"/>
          </w:tcPr>
          <w:p>
            <w:pPr>
              <w:jc w:val="center"/>
            </w:pPr>
            <w:r>
              <w:rPr>
                <w:sz w:val="17"/>
              </w:rPr>
              <w:t>100.0%</w:t>
            </w:r>
          </w:p>
        </w:tc>
        <w:tc>
          <w:tcPr>
            <w:tcW w:type="dxa" w:w="451"/>
          </w:tcPr>
          <w:p>
            <w:pPr>
              <w:jc w:val="center"/>
            </w:pPr>
            <w:r>
              <w:rPr>
                <w:sz w:val="17"/>
              </w:rPr>
              <w:t>100.0%</w:t>
            </w:r>
          </w:p>
        </w:tc>
        <w:tc>
          <w:tcPr>
            <w:tcW w:type="dxa" w:w="451"/>
          </w:tcPr>
          <w:p>
            <w:pPr>
              <w:jc w:val="center"/>
            </w:pPr>
            <w:r>
              <w:rPr>
                <w:sz w:val="17"/>
              </w:rPr>
              <w:t>0.0%</w:t>
            </w:r>
          </w:p>
        </w:tc>
      </w:tr>
    </w:tbl>
    <w:p/>
    <w:p>
      <w:pPr>
        <w:pStyle w:val="Heading2"/>
      </w:pPr>
      <w:r>
        <w:t>Alerta de patrón detectado</w:t>
      </w:r>
    </w:p>
    <w:p>
      <w:r>
        <w:rPr>
          <w:b w:val="0"/>
          <w:i/>
          <w:sz w:val="21"/>
        </w:rPr>
        <w:t>Al ejecutar la tabulación cruzada, el sistema detecta que la subdimensión 1.1 detona principalmente la categoría de Violencia Simbólica (100.0% de los casos válidos de esa columna, n=3), evidenciando un patrón de comportamiento relacional en la muestra.</w:t>
      </w:r>
    </w:p>
    <w:p>
      <w:pPr>
        <w:pStyle w:val="Heading2"/>
      </w:pPr>
      <w:r>
        <w:t>Tabla cruzada: categoría × página de Facebook</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2C3E50" w:val="clear"/>
            <w:vAlign w:val="center"/>
          </w:tcPr>
          <w:p>
            <w:pPr>
              <w:jc w:val="center"/>
            </w:pPr>
            <w:r>
              <w:rPr>
                <w:b/>
                <w:color w:val="FFFFFF"/>
                <w:sz w:val="18"/>
              </w:rPr>
              <w:t>Categoría</w:t>
            </w:r>
          </w:p>
        </w:tc>
        <w:tc>
          <w:tcPr>
            <w:tcW w:type="dxa" w:w="2257"/>
            <w:shd w:fill="2C3E50" w:val="clear"/>
            <w:vAlign w:val="center"/>
          </w:tcPr>
          <w:p>
            <w:pPr>
              <w:jc w:val="center"/>
            </w:pPr>
            <w:r>
              <w:rPr>
                <w:b/>
                <w:color w:val="FFFFFF"/>
                <w:sz w:val="18"/>
              </w:rPr>
              <w:t>0432b42700c12b1b</w:t>
            </w:r>
          </w:p>
        </w:tc>
        <w:tc>
          <w:tcPr>
            <w:tcW w:type="dxa" w:w="2257"/>
            <w:shd w:fill="2C3E50" w:val="clear"/>
            <w:vAlign w:val="center"/>
          </w:tcPr>
          <w:p>
            <w:pPr>
              <w:jc w:val="center"/>
            </w:pPr>
            <w:r>
              <w:rPr>
                <w:b/>
                <w:color w:val="FFFFFF"/>
                <w:sz w:val="18"/>
              </w:rPr>
              <w:t>0f3e884a8a124fd1</w:t>
            </w:r>
          </w:p>
        </w:tc>
        <w:tc>
          <w:tcPr>
            <w:tcW w:type="dxa" w:w="2257"/>
            <w:shd w:fill="2C3E50" w:val="clear"/>
            <w:vAlign w:val="center"/>
          </w:tcPr>
          <w:p>
            <w:pPr>
              <w:jc w:val="center"/>
            </w:pPr>
            <w:r>
              <w:rPr>
                <w:b/>
                <w:color w:val="FFFFFF"/>
                <w:sz w:val="18"/>
              </w:rPr>
              <w:t>Sin página</w:t>
            </w:r>
          </w:p>
        </w:tc>
      </w:tr>
      <w:tr>
        <w:tc>
          <w:tcPr>
            <w:tcW w:type="dxa" w:w="2257"/>
            <w:shd w:fill="ECF0F1" w:val="clear"/>
          </w:tcPr>
          <w:p>
            <w:pPr>
              <w:jc w:val="left"/>
            </w:pPr>
            <w:r>
              <w:rPr>
                <w:sz w:val="17"/>
              </w:rPr>
              <w:t>VDG_VIOLENCIA_SIMBOLICA</w:t>
            </w:r>
          </w:p>
        </w:tc>
        <w:tc>
          <w:tcPr>
            <w:tcW w:type="dxa" w:w="2257"/>
            <w:shd w:fill="ECF0F1" w:val="clear"/>
          </w:tcPr>
          <w:p>
            <w:pPr>
              <w:jc w:val="center"/>
            </w:pPr>
            <w:r>
              <w:rPr>
                <w:sz w:val="17"/>
              </w:rPr>
              <w:t>6</w:t>
            </w:r>
          </w:p>
        </w:tc>
        <w:tc>
          <w:tcPr>
            <w:tcW w:type="dxa" w:w="2257"/>
            <w:shd w:fill="ECF0F1" w:val="clear"/>
          </w:tcPr>
          <w:p>
            <w:pPr>
              <w:jc w:val="center"/>
            </w:pPr>
            <w:r>
              <w:rPr>
                <w:sz w:val="17"/>
              </w:rPr>
              <w:t>2</w:t>
            </w:r>
          </w:p>
        </w:tc>
        <w:tc>
          <w:tcPr>
            <w:tcW w:type="dxa" w:w="2257"/>
            <w:shd w:fill="ECF0F1" w:val="clear"/>
          </w:tcPr>
          <w:p>
            <w:pPr>
              <w:jc w:val="center"/>
            </w:pPr>
            <w:r>
              <w:rPr>
                <w:sz w:val="17"/>
              </w:rPr>
              <w:t>1</w:t>
            </w:r>
          </w:p>
        </w:tc>
      </w:tr>
      <w:tr>
        <w:tc>
          <w:tcPr>
            <w:tcW w:type="dxa" w:w="2257"/>
          </w:tcPr>
          <w:p>
            <w:pPr>
              <w:jc w:val="left"/>
            </w:pPr>
            <w:r>
              <w:rPr>
                <w:sz w:val="17"/>
              </w:rPr>
              <w:t>VDG_COSIFICACION_SLUTSHAMING</w:t>
            </w:r>
          </w:p>
        </w:tc>
        <w:tc>
          <w:tcPr>
            <w:tcW w:type="dxa" w:w="2257"/>
          </w:tcPr>
          <w:p>
            <w:pPr>
              <w:jc w:val="center"/>
            </w:pPr>
            <w:r>
              <w:rPr>
                <w:sz w:val="17"/>
              </w:rPr>
              <w:t>4</w:t>
            </w:r>
          </w:p>
        </w:tc>
        <w:tc>
          <w:tcPr>
            <w:tcW w:type="dxa" w:w="2257"/>
          </w:tcPr>
          <w:p>
            <w:pPr>
              <w:jc w:val="center"/>
            </w:pPr>
            <w:r>
              <w:rPr>
                <w:sz w:val="17"/>
              </w:rPr>
              <w:t>1</w:t>
            </w:r>
          </w:p>
        </w:tc>
        <w:tc>
          <w:tcPr>
            <w:tcW w:type="dxa" w:w="2257"/>
          </w:tcPr>
          <w:p>
            <w:pPr>
              <w:jc w:val="center"/>
            </w:pPr>
            <w:r>
              <w:rPr>
                <w:sz w:val="17"/>
              </w:rPr>
              <w:t>2</w:t>
            </w:r>
          </w:p>
        </w:tc>
      </w:tr>
      <w:tr>
        <w:tc>
          <w:tcPr>
            <w:tcW w:type="dxa" w:w="2257"/>
            <w:shd w:fill="ECF0F1" w:val="clear"/>
          </w:tcPr>
          <w:p>
            <w:pPr>
              <w:jc w:val="left"/>
            </w:pPr>
            <w:r>
              <w:rPr>
                <w:sz w:val="17"/>
              </w:rPr>
              <w:t>VDG_SALVAGUARDA_FALSO_POSITIVO</w:t>
            </w:r>
          </w:p>
        </w:tc>
        <w:tc>
          <w:tcPr>
            <w:tcW w:type="dxa" w:w="2257"/>
            <w:shd w:fill="ECF0F1" w:val="clear"/>
          </w:tcPr>
          <w:p>
            <w:pPr>
              <w:jc w:val="center"/>
            </w:pPr>
            <w:r>
              <w:rPr>
                <w:sz w:val="17"/>
              </w:rPr>
              <w:t>2</w:t>
            </w:r>
          </w:p>
        </w:tc>
        <w:tc>
          <w:tcPr>
            <w:tcW w:type="dxa" w:w="2257"/>
            <w:shd w:fill="ECF0F1" w:val="clear"/>
          </w:tcPr>
          <w:p>
            <w:pPr>
              <w:jc w:val="center"/>
            </w:pPr>
            <w:r>
              <w:rPr>
                <w:sz w:val="17"/>
              </w:rPr>
              <w:t>0</w:t>
            </w:r>
          </w:p>
        </w:tc>
        <w:tc>
          <w:tcPr>
            <w:tcW w:type="dxa" w:w="2257"/>
            <w:shd w:fill="ECF0F1" w:val="clear"/>
          </w:tcPr>
          <w:p>
            <w:pPr>
              <w:jc w:val="center"/>
            </w:pPr>
            <w:r>
              <w:rPr>
                <w:sz w:val="17"/>
              </w:rPr>
              <w:t>3</w:t>
            </w:r>
          </w:p>
        </w:tc>
      </w:tr>
      <w:tr>
        <w:tc>
          <w:tcPr>
            <w:tcW w:type="dxa" w:w="2257"/>
          </w:tcPr>
          <w:p>
            <w:pPr>
              <w:jc w:val="left"/>
            </w:pPr>
            <w:r>
              <w:rPr>
                <w:sz w:val="17"/>
              </w:rPr>
              <w:t>VDG_MANOSFERA_ANTIFEMINISMO</w:t>
            </w:r>
          </w:p>
        </w:tc>
        <w:tc>
          <w:tcPr>
            <w:tcW w:type="dxa" w:w="2257"/>
          </w:tcPr>
          <w:p>
            <w:pPr>
              <w:jc w:val="center"/>
            </w:pPr>
            <w:r>
              <w:rPr>
                <w:sz w:val="17"/>
              </w:rPr>
              <w:t>4</w:t>
            </w:r>
          </w:p>
        </w:tc>
        <w:tc>
          <w:tcPr>
            <w:tcW w:type="dxa" w:w="2257"/>
          </w:tcPr>
          <w:p>
            <w:pPr>
              <w:jc w:val="center"/>
            </w:pPr>
            <w:r>
              <w:rPr>
                <w:sz w:val="17"/>
              </w:rPr>
              <w:t>1</w:t>
            </w:r>
          </w:p>
        </w:tc>
        <w:tc>
          <w:tcPr>
            <w:tcW w:type="dxa" w:w="2257"/>
          </w:tcPr>
          <w:p>
            <w:pPr>
              <w:jc w:val="center"/>
            </w:pPr>
            <w:r>
              <w:rPr>
                <w:sz w:val="17"/>
              </w:rPr>
              <w:t>0</w:t>
            </w:r>
          </w:p>
        </w:tc>
      </w:tr>
      <w:tr>
        <w:tc>
          <w:tcPr>
            <w:tcW w:type="dxa" w:w="2257"/>
            <w:shd w:fill="ECF0F1" w:val="clear"/>
          </w:tcPr>
          <w:p>
            <w:pPr>
              <w:jc w:val="left"/>
            </w:pPr>
            <w:r>
              <w:rPr>
                <w:sz w:val="17"/>
              </w:rPr>
              <w:t>VDG_HOSTILIDAD_FEMINICIDIO</w:t>
            </w:r>
          </w:p>
        </w:tc>
        <w:tc>
          <w:tcPr>
            <w:tcW w:type="dxa" w:w="2257"/>
            <w:shd w:fill="ECF0F1" w:val="clear"/>
          </w:tcPr>
          <w:p>
            <w:pPr>
              <w:jc w:val="center"/>
            </w:pPr>
            <w:r>
              <w:rPr>
                <w:sz w:val="17"/>
              </w:rPr>
              <w:t>1</w:t>
            </w:r>
          </w:p>
        </w:tc>
        <w:tc>
          <w:tcPr>
            <w:tcW w:type="dxa" w:w="2257"/>
            <w:shd w:fill="ECF0F1" w:val="clear"/>
          </w:tcPr>
          <w:p>
            <w:pPr>
              <w:jc w:val="center"/>
            </w:pPr>
            <w:r>
              <w:rPr>
                <w:sz w:val="17"/>
              </w:rPr>
              <w:t>0</w:t>
            </w:r>
          </w:p>
        </w:tc>
        <w:tc>
          <w:tcPr>
            <w:tcW w:type="dxa" w:w="2257"/>
            <w:shd w:fill="ECF0F1" w:val="clear"/>
          </w:tcPr>
          <w:p>
            <w:pPr>
              <w:jc w:val="center"/>
            </w:pPr>
            <w:r>
              <w:rPr>
                <w:sz w:val="17"/>
              </w:rPr>
              <w:t>0</w:t>
            </w:r>
          </w:p>
        </w:tc>
      </w:tr>
      <w:tr>
        <w:tc>
          <w:tcPr>
            <w:tcW w:type="dxa" w:w="2257"/>
          </w:tcPr>
          <w:p>
            <w:pPr>
              <w:jc w:val="left"/>
            </w:pPr>
            <w:r>
              <w:rPr>
                <w:sz w:val="17"/>
              </w:rPr>
              <w:t>VDG_DESACREDITACION_ACTIVISTAS</w:t>
            </w:r>
          </w:p>
        </w:tc>
        <w:tc>
          <w:tcPr>
            <w:tcW w:type="dxa" w:w="2257"/>
          </w:tcPr>
          <w:p>
            <w:pPr>
              <w:jc w:val="center"/>
            </w:pPr>
            <w:r>
              <w:rPr>
                <w:sz w:val="17"/>
              </w:rPr>
              <w:t>1</w:t>
            </w:r>
          </w:p>
        </w:tc>
        <w:tc>
          <w:tcPr>
            <w:tcW w:type="dxa" w:w="2257"/>
          </w:tcPr>
          <w:p>
            <w:pPr>
              <w:jc w:val="center"/>
            </w:pPr>
            <w:r>
              <w:rPr>
                <w:sz w:val="17"/>
              </w:rPr>
              <w:t>0</w:t>
            </w:r>
          </w:p>
        </w:tc>
        <w:tc>
          <w:tcPr>
            <w:tcW w:type="dxa" w:w="2257"/>
          </w:tcPr>
          <w:p>
            <w:pPr>
              <w:jc w:val="center"/>
            </w:pPr>
            <w:r>
              <w:rPr>
                <w:sz w:val="17"/>
              </w:rPr>
              <w:t>0</w:t>
            </w:r>
          </w:p>
        </w:tc>
      </w:tr>
    </w:tbl>
    <w:p/>
    <w:p>
      <w:r>
        <w:rPr>
          <w:b w:val="0"/>
          <w:i/>
          <w:sz w:val="21"/>
        </w:rPr>
        <w:t>Al ejecutar la tabulación cruzada, el sistema detecta que la página 0f3e884a8a124fd1 detona principalmente la categoría de Violencia Simbólica (50.0% de los casos válidos de esa columna, n=2), evidenciando un patrón de comportamiento relacional en la muestra.</w:t>
      </w:r>
    </w:p>
    <w:p>
      <w:pPr>
        <w:pStyle w:val="Heading2"/>
      </w:pPr>
      <w:r>
        <w:t>Tabla cruzada: categoría × mes de publicación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2C3E50" w:val="clear"/>
            <w:vAlign w:val="center"/>
          </w:tcPr>
          <w:p>
            <w:pPr>
              <w:jc w:val="center"/>
            </w:pPr>
            <w:r>
              <w:rPr>
                <w:b/>
                <w:color w:val="FFFFFF"/>
                <w:sz w:val="18"/>
              </w:rPr>
              <w:t>Categoría</w:t>
            </w:r>
          </w:p>
        </w:tc>
        <w:tc>
          <w:tcPr>
            <w:tcW w:type="dxa" w:w="3010"/>
            <w:shd w:fill="2C3E50" w:val="clear"/>
            <w:vAlign w:val="center"/>
          </w:tcPr>
          <w:p>
            <w:pPr>
              <w:jc w:val="center"/>
            </w:pPr>
            <w:r>
              <w:rPr>
                <w:b/>
                <w:color w:val="FFFFFF"/>
                <w:sz w:val="18"/>
              </w:rPr>
              <w:t>2026-06</w:t>
            </w:r>
          </w:p>
        </w:tc>
        <w:tc>
          <w:tcPr>
            <w:tcW w:type="dxa" w:w="3010"/>
            <w:shd w:fill="2C3E50" w:val="clear"/>
            <w:vAlign w:val="center"/>
          </w:tcPr>
          <w:p>
            <w:pPr>
              <w:jc w:val="center"/>
            </w:pPr>
            <w:r>
              <w:rPr>
                <w:b/>
                <w:color w:val="FFFFFF"/>
                <w:sz w:val="18"/>
              </w:rPr>
              <w:t>Sin fecha</w:t>
            </w:r>
          </w:p>
        </w:tc>
      </w:tr>
      <w:tr>
        <w:tc>
          <w:tcPr>
            <w:tcW w:type="dxa" w:w="3010"/>
            <w:shd w:fill="ECF0F1" w:val="clear"/>
          </w:tcPr>
          <w:p>
            <w:pPr>
              <w:jc w:val="left"/>
            </w:pPr>
            <w:r>
              <w:rPr>
                <w:sz w:val="17"/>
              </w:rPr>
              <w:t>VDG_VIOLENCIA_SIMBOLICA</w:t>
            </w:r>
          </w:p>
        </w:tc>
        <w:tc>
          <w:tcPr>
            <w:tcW w:type="dxa" w:w="3010"/>
            <w:shd w:fill="ECF0F1" w:val="clear"/>
          </w:tcPr>
          <w:p>
            <w:pPr>
              <w:jc w:val="center"/>
            </w:pPr>
            <w:r>
              <w:rPr>
                <w:sz w:val="17"/>
              </w:rPr>
              <w:t>8</w:t>
            </w:r>
          </w:p>
        </w:tc>
        <w:tc>
          <w:tcPr>
            <w:tcW w:type="dxa" w:w="3010"/>
            <w:shd w:fill="ECF0F1" w:val="clear"/>
          </w:tcPr>
          <w:p>
            <w:pPr>
              <w:jc w:val="center"/>
            </w:pPr>
            <w:r>
              <w:rPr>
                <w:sz w:val="17"/>
              </w:rPr>
              <w:t>1</w:t>
            </w:r>
          </w:p>
        </w:tc>
      </w:tr>
      <w:tr>
        <w:tc>
          <w:tcPr>
            <w:tcW w:type="dxa" w:w="3010"/>
          </w:tcPr>
          <w:p>
            <w:pPr>
              <w:jc w:val="left"/>
            </w:pPr>
            <w:r>
              <w:rPr>
                <w:sz w:val="17"/>
              </w:rPr>
              <w:t>VDG_COSIFICACION_SLUTSHAMING</w:t>
            </w:r>
          </w:p>
        </w:tc>
        <w:tc>
          <w:tcPr>
            <w:tcW w:type="dxa" w:w="3010"/>
          </w:tcPr>
          <w:p>
            <w:pPr>
              <w:jc w:val="center"/>
            </w:pPr>
            <w:r>
              <w:rPr>
                <w:sz w:val="17"/>
              </w:rPr>
              <w:t>5</w:t>
            </w:r>
          </w:p>
        </w:tc>
        <w:tc>
          <w:tcPr>
            <w:tcW w:type="dxa" w:w="3010"/>
          </w:tcPr>
          <w:p>
            <w:pPr>
              <w:jc w:val="center"/>
            </w:pPr>
            <w:r>
              <w:rPr>
                <w:sz w:val="17"/>
              </w:rPr>
              <w:t>2</w:t>
            </w:r>
          </w:p>
        </w:tc>
      </w:tr>
      <w:tr>
        <w:tc>
          <w:tcPr>
            <w:tcW w:type="dxa" w:w="3010"/>
            <w:shd w:fill="ECF0F1" w:val="clear"/>
          </w:tcPr>
          <w:p>
            <w:pPr>
              <w:jc w:val="left"/>
            </w:pPr>
            <w:r>
              <w:rPr>
                <w:sz w:val="17"/>
              </w:rPr>
              <w:t>VDG_SALVAGUARDA_FALSO_POSITIVO</w:t>
            </w:r>
          </w:p>
        </w:tc>
        <w:tc>
          <w:tcPr>
            <w:tcW w:type="dxa" w:w="3010"/>
            <w:shd w:fill="ECF0F1" w:val="clear"/>
          </w:tcPr>
          <w:p>
            <w:pPr>
              <w:jc w:val="center"/>
            </w:pPr>
            <w:r>
              <w:rPr>
                <w:sz w:val="17"/>
              </w:rPr>
              <w:t>2</w:t>
            </w:r>
          </w:p>
        </w:tc>
        <w:tc>
          <w:tcPr>
            <w:tcW w:type="dxa" w:w="3010"/>
            <w:shd w:fill="ECF0F1" w:val="clear"/>
          </w:tcPr>
          <w:p>
            <w:pPr>
              <w:jc w:val="center"/>
            </w:pPr>
            <w:r>
              <w:rPr>
                <w:sz w:val="17"/>
              </w:rPr>
              <w:t>3</w:t>
            </w:r>
          </w:p>
        </w:tc>
      </w:tr>
      <w:tr>
        <w:tc>
          <w:tcPr>
            <w:tcW w:type="dxa" w:w="3010"/>
          </w:tcPr>
          <w:p>
            <w:pPr>
              <w:jc w:val="left"/>
            </w:pPr>
            <w:r>
              <w:rPr>
                <w:sz w:val="17"/>
              </w:rPr>
              <w:t>VDG_MANOSFERA_ANTIFEMINISMO</w:t>
            </w:r>
          </w:p>
        </w:tc>
        <w:tc>
          <w:tcPr>
            <w:tcW w:type="dxa" w:w="3010"/>
          </w:tcPr>
          <w:p>
            <w:pPr>
              <w:jc w:val="center"/>
            </w:pPr>
            <w:r>
              <w:rPr>
                <w:sz w:val="17"/>
              </w:rPr>
              <w:t>5</w:t>
            </w:r>
          </w:p>
        </w:tc>
        <w:tc>
          <w:tcPr>
            <w:tcW w:type="dxa" w:w="3010"/>
          </w:tcPr>
          <w:p>
            <w:pPr>
              <w:jc w:val="center"/>
            </w:pPr>
            <w:r>
              <w:rPr>
                <w:sz w:val="17"/>
              </w:rPr>
              <w:t>0</w:t>
            </w:r>
          </w:p>
        </w:tc>
      </w:tr>
      <w:tr>
        <w:tc>
          <w:tcPr>
            <w:tcW w:type="dxa" w:w="3010"/>
            <w:shd w:fill="ECF0F1" w:val="clear"/>
          </w:tcPr>
          <w:p>
            <w:pPr>
              <w:jc w:val="left"/>
            </w:pPr>
            <w:r>
              <w:rPr>
                <w:sz w:val="17"/>
              </w:rPr>
              <w:t>VDG_HOSTILIDAD_FEMINICIDIO</w:t>
            </w:r>
          </w:p>
        </w:tc>
        <w:tc>
          <w:tcPr>
            <w:tcW w:type="dxa" w:w="3010"/>
            <w:shd w:fill="ECF0F1" w:val="clear"/>
          </w:tcPr>
          <w:p>
            <w:pPr>
              <w:jc w:val="center"/>
            </w:pPr>
            <w:r>
              <w:rPr>
                <w:sz w:val="17"/>
              </w:rPr>
              <w:t>1</w:t>
            </w:r>
          </w:p>
        </w:tc>
        <w:tc>
          <w:tcPr>
            <w:tcW w:type="dxa" w:w="3010"/>
            <w:shd w:fill="ECF0F1" w:val="clear"/>
          </w:tcPr>
          <w:p>
            <w:pPr>
              <w:jc w:val="center"/>
            </w:pPr>
            <w:r>
              <w:rPr>
                <w:sz w:val="17"/>
              </w:rPr>
              <w:t>0</w:t>
            </w:r>
          </w:p>
        </w:tc>
      </w:tr>
      <w:tr>
        <w:tc>
          <w:tcPr>
            <w:tcW w:type="dxa" w:w="3010"/>
          </w:tcPr>
          <w:p>
            <w:pPr>
              <w:jc w:val="left"/>
            </w:pPr>
            <w:r>
              <w:rPr>
                <w:sz w:val="17"/>
              </w:rPr>
              <w:t>VDG_DESACREDITACION_ACTIVISTAS</w:t>
            </w:r>
          </w:p>
        </w:tc>
        <w:tc>
          <w:tcPr>
            <w:tcW w:type="dxa" w:w="3010"/>
          </w:tcPr>
          <w:p>
            <w:pPr>
              <w:jc w:val="center"/>
            </w:pPr>
            <w:r>
              <w:rPr>
                <w:sz w:val="17"/>
              </w:rPr>
              <w:t>1</w:t>
            </w:r>
          </w:p>
        </w:tc>
        <w:tc>
          <w:tcPr>
            <w:tcW w:type="dxa" w:w="3010"/>
          </w:tcPr>
          <w:p>
            <w:pPr>
              <w:jc w:val="center"/>
            </w:pPr>
            <w:r>
              <w:rPr>
                <w:sz w:val="17"/>
              </w:rPr>
              <w:t>0</w:t>
            </w:r>
          </w:p>
        </w:tc>
      </w:tr>
    </w:tbl>
    <w:p/>
    <w:p>
      <w:r>
        <w:rPr>
          <w:b w:val="0"/>
          <w:i/>
          <w:sz w:val="21"/>
        </w:rPr>
        <w:t>Al ejecutar la tabulación cruzada, el sistema detecta que el mes Sin fecha detona principalmente la categoría de Salvaguarda (Falso Positivo) (50.0% de los casos válidos de esa columna, n=3), evidenciando un patrón de comportamiento relacional en la muestra.</w:t>
      </w:r>
    </w:p>
    <w:p>
      <w:pPr>
        <w:pStyle w:val="Heading2"/>
      </w:pPr>
      <w:r>
        <w:t>Observaciones</w:t>
      </w:r>
    </w:p>
    <w:p>
      <w:pPr>
        <w:pStyle w:val="ListBullet"/>
      </w:pPr>
      <w:r>
        <w:rPr>
          <w:b/>
          <w:sz w:val="20"/>
        </w:rPr>
        <w:t xml:space="preserve">Patrón detectado: </w:t>
      </w:r>
      <w:r>
        <w:rPr>
          <w:sz w:val="20"/>
        </w:rPr>
        <w:t>Al ejecutar la tabulación cruzada, el sistema detecta que la subdimensión 1.1 detona principalmente la categoría de Violencia Simbólica (100.0% de los casos válidos de esa columna, n=3), evidenciando un patrón de comportamiento relacional en la muestra.</w:t>
      </w:r>
    </w:p>
    <w:p>
      <w:pPr>
        <w:pStyle w:val="ListBullet"/>
      </w:pPr>
      <w:r>
        <w:rPr>
          <w:b/>
          <w:sz w:val="20"/>
        </w:rPr>
        <w:t xml:space="preserve">Distribución por página: </w:t>
      </w:r>
      <w:r>
        <w:rPr>
          <w:sz w:val="20"/>
        </w:rPr>
        <w:t>Al ejecutar la tabulación cruzada, el sistema detecta que la página 0f3e884a8a124fd1 detona principalmente la categoría de Violencia Simbólica (50.0% de los casos válidos de esa columna, n=2), evidenciando un patrón de comportamiento relacional en la muestra.</w:t>
      </w:r>
    </w:p>
    <w:p>
      <w:pPr>
        <w:pStyle w:val="ListBullet"/>
      </w:pPr>
      <w:r>
        <w:rPr>
          <w:b/>
          <w:sz w:val="20"/>
        </w:rPr>
        <w:t xml:space="preserve">Patrón temporal: </w:t>
      </w:r>
      <w:r>
        <w:rPr>
          <w:sz w:val="20"/>
        </w:rPr>
        <w:t>Al ejecutar la tabulación cruzada, el sistema detecta que el mes Sin fecha detona principalmente la categoría de Salvaguarda (Falso Positivo) (50.0% de los casos válidos de esa columna, n=3), evidenciando un patrón de comportamiento relacional en la muestra.</w:t>
      </w:r>
    </w:p>
    <w:p>
      <w:pPr>
        <w:pStyle w:val="ListBullet"/>
      </w:pPr>
      <w:r>
        <w:rPr>
          <w:b/>
          <w:sz w:val="20"/>
        </w:rPr>
        <w:t xml:space="preserve">Utilidad del cruce: </w:t>
      </w:r>
      <w:r>
        <w:rPr>
          <w:sz w:val="20"/>
        </w:rPr>
        <w:t>Las tablas cruzadas permiten ver la estructura interna de la violencia: no basta con saber que «Violencia Simbólica» es la categoría más frecuente, sino que es relevante entender qué subdimensiones la componen y cómo se distribuye entre las diferentes páginas.</w:t>
      </w:r>
    </w:p>
    <w:p>
      <w:r>
        <w:br w:type="page"/>
      </w:r>
    </w:p>
    <w:p>
      <w:r>
        <w:br w:type="page"/>
      </w:r>
    </w:p>
    <w:p>
      <w:pPr>
        <w:pStyle w:val="Heading1"/>
      </w:pPr>
      <w:r>
        <w:t>Regla 5 — Dashboard (visualización)</w:t>
      </w:r>
    </w:p>
    <w:p>
      <w:r>
        <w:rPr>
          <w:b w:val="0"/>
          <w:i w:val="0"/>
          <w:sz w:val="21"/>
        </w:rPr>
        <w:t>La quinta regla presenta los indicadores clave de forma visual. El dashboard incluye tres componentes: un gráfico de pastel que desglosa la composición completa del dataset (violencia de género, contenido no violento, basura digital y violencia común), un gráfico de barras con la distribución por categoría de violencia, y un gráfico de barras de subdimensiones que permite identificar qué variantes específicas son más frecuentes. Los tres gráficos utilizan la paleta de colores definida en la taxonomía para mantener coherencia visual con el resto del sistema.</w:t>
      </w:r>
    </w:p>
    <w:p>
      <w:pPr>
        <w:pStyle w:val="Heading2"/>
      </w:pPr>
      <w:r>
        <w:t>Composición completa del dataset</w:t>
      </w:r>
    </w:p>
    <w:p>
      <w:pPr>
        <w:jc w:val="center"/>
      </w:pPr>
      <w:r>
        <w:drawing>
          <wp:inline xmlns:a="http://schemas.openxmlformats.org/drawingml/2006/main" xmlns:pic="http://schemas.openxmlformats.org/drawingml/2006/picture">
            <wp:extent cx="5029200" cy="387765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877654"/>
                    </a:xfrm>
                    <a:prstGeom prst="rect"/>
                  </pic:spPr>
                </pic:pic>
              </a:graphicData>
            </a:graphic>
          </wp:inline>
        </w:drawing>
      </w:r>
    </w:p>
    <w:p>
      <w:pPr>
        <w:jc w:val="center"/>
      </w:pPr>
      <w:r>
        <w:rPr>
          <w:i/>
          <w:color w:val="7F8C8D"/>
          <w:sz w:val="16"/>
        </w:rPr>
        <w:t>Figura 3 — Distribución del dataset completo: violencia de género, no violencia, basura digital (CÓDIGO 99) y violencia común</w:t>
      </w:r>
    </w:p>
    <w:tbl>
      <w:tblPr>
        <w:tblStyle w:val="TableGrid"/>
        <w:tblW w:type="auto" w:w="0"/>
        <w:jc w:val="center"/>
        <w:tblLook w:firstColumn="1" w:firstRow="1" w:lastColumn="0" w:lastRow="0" w:noHBand="0" w:noVBand="1" w:val="04A0"/>
      </w:tblPr>
      <w:tblGrid>
        <w:gridCol w:w="3010"/>
        <w:gridCol w:w="3010"/>
        <w:gridCol w:w="3010"/>
      </w:tblGrid>
      <w:tr>
        <w:tc>
          <w:tcPr>
            <w:tcW w:type="dxa" w:w="3600"/>
            <w:shd w:fill="2C3E50" w:val="clear"/>
            <w:vAlign w:val="center"/>
          </w:tcPr>
          <w:p>
            <w:pPr>
              <w:jc w:val="center"/>
            </w:pPr>
            <w:r>
              <w:rPr>
                <w:b/>
                <w:color w:val="FFFFFF"/>
                <w:sz w:val="18"/>
              </w:rPr>
              <w:t>Categoría</w:t>
            </w:r>
          </w:p>
        </w:tc>
        <w:tc>
          <w:tcPr>
            <w:tcW w:type="dxa" w:w="1728"/>
            <w:shd w:fill="2C3E50" w:val="clear"/>
            <w:vAlign w:val="center"/>
          </w:tcPr>
          <w:p>
            <w:pPr>
              <w:jc w:val="center"/>
            </w:pPr>
            <w:r>
              <w:rPr>
                <w:b/>
                <w:color w:val="FFFFFF"/>
                <w:sz w:val="18"/>
              </w:rPr>
              <w:t>Cantidad</w:t>
            </w:r>
          </w:p>
        </w:tc>
        <w:tc>
          <w:tcPr>
            <w:tcW w:type="dxa" w:w="1728"/>
            <w:shd w:fill="2C3E50" w:val="clear"/>
            <w:vAlign w:val="center"/>
          </w:tcPr>
          <w:p>
            <w:pPr>
              <w:jc w:val="center"/>
            </w:pPr>
            <w:r>
              <w:rPr>
                <w:b/>
                <w:color w:val="FFFFFF"/>
                <w:sz w:val="18"/>
              </w:rPr>
              <w:t>Porcentaje</w:t>
            </w:r>
          </w:p>
        </w:tc>
      </w:tr>
      <w:tr>
        <w:tc>
          <w:tcPr>
            <w:tcW w:type="dxa" w:w="3600"/>
            <w:shd w:fill="ECF0F1" w:val="clear"/>
          </w:tcPr>
          <w:p>
            <w:pPr>
              <w:jc w:val="left"/>
            </w:pPr>
            <w:r>
              <w:rPr>
                <w:sz w:val="17"/>
              </w:rPr>
              <w:t>Con violencia de género</w:t>
            </w:r>
          </w:p>
        </w:tc>
        <w:tc>
          <w:tcPr>
            <w:tcW w:type="dxa" w:w="1728"/>
            <w:shd w:fill="ECF0F1" w:val="clear"/>
          </w:tcPr>
          <w:p>
            <w:pPr>
              <w:jc w:val="center"/>
            </w:pPr>
            <w:r>
              <w:rPr>
                <w:sz w:val="17"/>
              </w:rPr>
              <w:t>15</w:t>
            </w:r>
          </w:p>
        </w:tc>
        <w:tc>
          <w:tcPr>
            <w:tcW w:type="dxa" w:w="1728"/>
            <w:shd w:fill="ECF0F1" w:val="clear"/>
          </w:tcPr>
          <w:p>
            <w:pPr>
              <w:jc w:val="center"/>
            </w:pPr>
            <w:r>
              <w:rPr>
                <w:sz w:val="17"/>
              </w:rPr>
              <w:t>21.7%</w:t>
            </w:r>
          </w:p>
        </w:tc>
      </w:tr>
      <w:tr>
        <w:tc>
          <w:tcPr>
            <w:tcW w:type="dxa" w:w="3600"/>
          </w:tcPr>
          <w:p>
            <w:pPr>
              <w:jc w:val="left"/>
            </w:pPr>
            <w:r>
              <w:rPr>
                <w:sz w:val="17"/>
              </w:rPr>
              <w:t>Sin violencia</w:t>
            </w:r>
          </w:p>
        </w:tc>
        <w:tc>
          <w:tcPr>
            <w:tcW w:type="dxa" w:w="1728"/>
          </w:tcPr>
          <w:p>
            <w:pPr>
              <w:jc w:val="center"/>
            </w:pPr>
            <w:r>
              <w:rPr>
                <w:sz w:val="17"/>
              </w:rPr>
              <w:t>40</w:t>
            </w:r>
          </w:p>
        </w:tc>
        <w:tc>
          <w:tcPr>
            <w:tcW w:type="dxa" w:w="1728"/>
          </w:tcPr>
          <w:p>
            <w:pPr>
              <w:jc w:val="center"/>
            </w:pPr>
            <w:r>
              <w:rPr>
                <w:sz w:val="17"/>
              </w:rPr>
              <w:t>58.0%</w:t>
            </w:r>
          </w:p>
        </w:tc>
      </w:tr>
      <w:tr>
        <w:tc>
          <w:tcPr>
            <w:tcW w:type="dxa" w:w="3600"/>
            <w:shd w:fill="ECF0F1" w:val="clear"/>
          </w:tcPr>
          <w:p>
            <w:pPr>
              <w:jc w:val="left"/>
            </w:pPr>
            <w:r>
              <w:rPr>
                <w:sz w:val="17"/>
              </w:rPr>
              <w:t>Basura digital (CÓDIGO 99)</w:t>
            </w:r>
          </w:p>
        </w:tc>
        <w:tc>
          <w:tcPr>
            <w:tcW w:type="dxa" w:w="1728"/>
            <w:shd w:fill="ECF0F1" w:val="clear"/>
          </w:tcPr>
          <w:p>
            <w:pPr>
              <w:jc w:val="center"/>
            </w:pPr>
            <w:r>
              <w:rPr>
                <w:sz w:val="17"/>
              </w:rPr>
              <w:t>12</w:t>
            </w:r>
          </w:p>
        </w:tc>
        <w:tc>
          <w:tcPr>
            <w:tcW w:type="dxa" w:w="1728"/>
            <w:shd w:fill="ECF0F1" w:val="clear"/>
          </w:tcPr>
          <w:p>
            <w:pPr>
              <w:jc w:val="center"/>
            </w:pPr>
            <w:r>
              <w:rPr>
                <w:sz w:val="17"/>
              </w:rPr>
              <w:t>17.4%</w:t>
            </w:r>
          </w:p>
        </w:tc>
      </w:tr>
      <w:tr>
        <w:tc>
          <w:tcPr>
            <w:tcW w:type="dxa" w:w="3600"/>
          </w:tcPr>
          <w:p>
            <w:pPr>
              <w:jc w:val="left"/>
            </w:pPr>
            <w:r>
              <w:rPr>
                <w:sz w:val="17"/>
              </w:rPr>
              <w:t>Violencia común (sin sesgo)</w:t>
            </w:r>
          </w:p>
        </w:tc>
        <w:tc>
          <w:tcPr>
            <w:tcW w:type="dxa" w:w="1728"/>
          </w:tcPr>
          <w:p>
            <w:pPr>
              <w:jc w:val="center"/>
            </w:pPr>
            <w:r>
              <w:rPr>
                <w:sz w:val="17"/>
              </w:rPr>
              <w:t>2</w:t>
            </w:r>
          </w:p>
        </w:tc>
        <w:tc>
          <w:tcPr>
            <w:tcW w:type="dxa" w:w="1728"/>
          </w:tcPr>
          <w:p>
            <w:pPr>
              <w:jc w:val="center"/>
            </w:pPr>
            <w:r>
              <w:rPr>
                <w:sz w:val="17"/>
              </w:rPr>
              <w:t>2.9%</w:t>
            </w:r>
          </w:p>
        </w:tc>
      </w:tr>
      <w:tr>
        <w:tc>
          <w:tcPr>
            <w:tcW w:type="dxa" w:w="3600"/>
            <w:shd w:fill="ECF0F1" w:val="clear"/>
          </w:tcPr>
          <w:p>
            <w:pPr>
              <w:jc w:val="left"/>
            </w:pPr>
            <w:r>
              <w:rPr>
                <w:sz w:val="17"/>
              </w:rPr>
              <w:t>TOTAL</w:t>
            </w:r>
          </w:p>
        </w:tc>
        <w:tc>
          <w:tcPr>
            <w:tcW w:type="dxa" w:w="1728"/>
            <w:shd w:fill="ECF0F1" w:val="clear"/>
          </w:tcPr>
          <w:p>
            <w:pPr>
              <w:jc w:val="center"/>
            </w:pPr>
            <w:r>
              <w:rPr>
                <w:sz w:val="17"/>
              </w:rPr>
              <w:t>69</w:t>
            </w:r>
          </w:p>
        </w:tc>
        <w:tc>
          <w:tcPr>
            <w:tcW w:type="dxa" w:w="1728"/>
            <w:shd w:fill="ECF0F1" w:val="clear"/>
          </w:tcPr>
          <w:p>
            <w:pPr>
              <w:jc w:val="center"/>
            </w:pPr>
            <w:r>
              <w:rPr>
                <w:sz w:val="17"/>
              </w:rPr>
              <w:t>100%</w:t>
            </w:r>
          </w:p>
        </w:tc>
      </w:tr>
    </w:tbl>
    <w:p/>
    <w:p>
      <w:pPr>
        <w:pStyle w:val="Heading2"/>
      </w:pPr>
      <w:r>
        <w:t>Distribución por categoría de violencia de género</w:t>
      </w:r>
    </w:p>
    <w:p>
      <w:pPr>
        <w:jc w:val="center"/>
      </w:pPr>
      <w:r>
        <w:drawing>
          <wp:inline xmlns:a="http://schemas.openxmlformats.org/drawingml/2006/main" xmlns:pic="http://schemas.openxmlformats.org/drawingml/2006/picture">
            <wp:extent cx="5029200" cy="279719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797193"/>
                    </a:xfrm>
                    <a:prstGeom prst="rect"/>
                  </pic:spPr>
                </pic:pic>
              </a:graphicData>
            </a:graphic>
          </wp:inline>
        </w:drawing>
      </w:r>
    </w:p>
    <w:p>
      <w:pPr>
        <w:jc w:val="center"/>
      </w:pPr>
      <w:r>
        <w:rPr>
          <w:i/>
          <w:color w:val="7F8C8D"/>
          <w:sz w:val="16"/>
        </w:rPr>
        <w:t>Figura 4 — Distribución de categorías de violencia de género (solo contenido violento válido)</w:t>
      </w:r>
    </w:p>
    <w:tbl>
      <w:tblPr>
        <w:tblStyle w:val="TableGrid"/>
        <w:tblW w:type="auto" w:w="0"/>
        <w:jc w:val="center"/>
        <w:tblLook w:firstColumn="1" w:firstRow="1" w:lastColumn="0" w:lastRow="0" w:noHBand="0" w:noVBand="1" w:val="04A0"/>
      </w:tblPr>
      <w:tblGrid>
        <w:gridCol w:w="3010"/>
        <w:gridCol w:w="3010"/>
        <w:gridCol w:w="3010"/>
      </w:tblGrid>
      <w:tr>
        <w:tc>
          <w:tcPr>
            <w:tcW w:type="dxa" w:w="3600"/>
            <w:shd w:fill="2C3E50" w:val="clear"/>
            <w:vAlign w:val="center"/>
          </w:tcPr>
          <w:p>
            <w:pPr>
              <w:jc w:val="center"/>
            </w:pPr>
            <w:r>
              <w:rPr>
                <w:b/>
                <w:color w:val="FFFFFF"/>
                <w:sz w:val="18"/>
              </w:rPr>
              <w:t>Categoría</w:t>
            </w:r>
          </w:p>
        </w:tc>
        <w:tc>
          <w:tcPr>
            <w:tcW w:type="dxa" w:w="1728"/>
            <w:shd w:fill="2C3E50" w:val="clear"/>
            <w:vAlign w:val="center"/>
          </w:tcPr>
          <w:p>
            <w:pPr>
              <w:jc w:val="center"/>
            </w:pPr>
            <w:r>
              <w:rPr>
                <w:b/>
                <w:color w:val="FFFFFF"/>
                <w:sz w:val="18"/>
              </w:rPr>
              <w:t>Cantidad</w:t>
            </w:r>
          </w:p>
        </w:tc>
        <w:tc>
          <w:tcPr>
            <w:tcW w:type="dxa" w:w="1728"/>
            <w:shd w:fill="2C3E50" w:val="clear"/>
            <w:vAlign w:val="center"/>
          </w:tcPr>
          <w:p>
            <w:pPr>
              <w:jc w:val="center"/>
            </w:pPr>
            <w:r>
              <w:rPr>
                <w:b/>
                <w:color w:val="FFFFFF"/>
                <w:sz w:val="18"/>
              </w:rPr>
              <w:t>Porcentaje</w:t>
            </w:r>
          </w:p>
        </w:tc>
      </w:tr>
      <w:tr>
        <w:tc>
          <w:tcPr>
            <w:tcW w:type="dxa" w:w="3600"/>
            <w:shd w:fill="ECF0F1" w:val="clear"/>
          </w:tcPr>
          <w:p>
            <w:pPr>
              <w:jc w:val="left"/>
            </w:pPr>
            <w:r>
              <w:rPr>
                <w:sz w:val="17"/>
              </w:rPr>
              <w:t>Violencia Simbólica</w:t>
            </w:r>
          </w:p>
        </w:tc>
        <w:tc>
          <w:tcPr>
            <w:tcW w:type="dxa" w:w="1728"/>
            <w:shd w:fill="ECF0F1" w:val="clear"/>
          </w:tcPr>
          <w:p>
            <w:pPr>
              <w:jc w:val="center"/>
            </w:pPr>
            <w:r>
              <w:rPr>
                <w:sz w:val="17"/>
              </w:rPr>
              <w:t>9</w:t>
            </w:r>
          </w:p>
        </w:tc>
        <w:tc>
          <w:tcPr>
            <w:tcW w:type="dxa" w:w="1728"/>
            <w:shd w:fill="ECF0F1" w:val="clear"/>
          </w:tcPr>
          <w:p>
            <w:pPr>
              <w:jc w:val="center"/>
            </w:pPr>
            <w:r>
              <w:rPr>
                <w:sz w:val="17"/>
              </w:rPr>
              <w:t>32.1%</w:t>
            </w:r>
          </w:p>
        </w:tc>
      </w:tr>
      <w:tr>
        <w:tc>
          <w:tcPr>
            <w:tcW w:type="dxa" w:w="3600"/>
          </w:tcPr>
          <w:p>
            <w:pPr>
              <w:jc w:val="left"/>
            </w:pPr>
            <w:r>
              <w:rPr>
                <w:sz w:val="17"/>
              </w:rPr>
              <w:t>Mercantilización Corporal</w:t>
            </w:r>
          </w:p>
        </w:tc>
        <w:tc>
          <w:tcPr>
            <w:tcW w:type="dxa" w:w="1728"/>
          </w:tcPr>
          <w:p>
            <w:pPr>
              <w:jc w:val="center"/>
            </w:pPr>
            <w:r>
              <w:rPr>
                <w:sz w:val="17"/>
              </w:rPr>
              <w:t>7</w:t>
            </w:r>
          </w:p>
        </w:tc>
        <w:tc>
          <w:tcPr>
            <w:tcW w:type="dxa" w:w="1728"/>
          </w:tcPr>
          <w:p>
            <w:pPr>
              <w:jc w:val="center"/>
            </w:pPr>
            <w:r>
              <w:rPr>
                <w:sz w:val="17"/>
              </w:rPr>
              <w:t>25.0%</w:t>
            </w:r>
          </w:p>
        </w:tc>
      </w:tr>
      <w:tr>
        <w:tc>
          <w:tcPr>
            <w:tcW w:type="dxa" w:w="3600"/>
            <w:shd w:fill="ECF0F1" w:val="clear"/>
          </w:tcPr>
          <w:p>
            <w:pPr>
              <w:jc w:val="left"/>
            </w:pPr>
            <w:r>
              <w:rPr>
                <w:sz w:val="17"/>
              </w:rPr>
              <w:t>Hostilidad / Feminicidio</w:t>
            </w:r>
          </w:p>
        </w:tc>
        <w:tc>
          <w:tcPr>
            <w:tcW w:type="dxa" w:w="1728"/>
            <w:shd w:fill="ECF0F1" w:val="clear"/>
          </w:tcPr>
          <w:p>
            <w:pPr>
              <w:jc w:val="center"/>
            </w:pPr>
            <w:r>
              <w:rPr>
                <w:sz w:val="17"/>
              </w:rPr>
              <w:t>1</w:t>
            </w:r>
          </w:p>
        </w:tc>
        <w:tc>
          <w:tcPr>
            <w:tcW w:type="dxa" w:w="1728"/>
            <w:shd w:fill="ECF0F1" w:val="clear"/>
          </w:tcPr>
          <w:p>
            <w:pPr>
              <w:jc w:val="center"/>
            </w:pPr>
            <w:r>
              <w:rPr>
                <w:sz w:val="17"/>
              </w:rPr>
              <w:t>3.6%</w:t>
            </w:r>
          </w:p>
        </w:tc>
      </w:tr>
      <w:tr>
        <w:tc>
          <w:tcPr>
            <w:tcW w:type="dxa" w:w="3600"/>
          </w:tcPr>
          <w:p>
            <w:pPr>
              <w:jc w:val="left"/>
            </w:pPr>
            <w:r>
              <w:rPr>
                <w:sz w:val="17"/>
              </w:rPr>
              <w:t>Manosfera / Antifeminismo</w:t>
            </w:r>
          </w:p>
        </w:tc>
        <w:tc>
          <w:tcPr>
            <w:tcW w:type="dxa" w:w="1728"/>
          </w:tcPr>
          <w:p>
            <w:pPr>
              <w:jc w:val="center"/>
            </w:pPr>
            <w:r>
              <w:rPr>
                <w:sz w:val="17"/>
              </w:rPr>
              <w:t>5</w:t>
            </w:r>
          </w:p>
        </w:tc>
        <w:tc>
          <w:tcPr>
            <w:tcW w:type="dxa" w:w="1728"/>
          </w:tcPr>
          <w:p>
            <w:pPr>
              <w:jc w:val="center"/>
            </w:pPr>
            <w:r>
              <w:rPr>
                <w:sz w:val="17"/>
              </w:rPr>
              <w:t>17.9%</w:t>
            </w:r>
          </w:p>
        </w:tc>
      </w:tr>
      <w:tr>
        <w:tc>
          <w:tcPr>
            <w:tcW w:type="dxa" w:w="3600"/>
            <w:shd w:fill="ECF0F1" w:val="clear"/>
          </w:tcPr>
          <w:p>
            <w:pPr>
              <w:jc w:val="left"/>
            </w:pPr>
            <w:r>
              <w:rPr>
                <w:sz w:val="17"/>
              </w:rPr>
              <w:t>Castigo Del Empoderamiento Femenino</w:t>
            </w:r>
          </w:p>
        </w:tc>
        <w:tc>
          <w:tcPr>
            <w:tcW w:type="dxa" w:w="1728"/>
            <w:shd w:fill="ECF0F1" w:val="clear"/>
          </w:tcPr>
          <w:p>
            <w:pPr>
              <w:jc w:val="center"/>
            </w:pPr>
            <w:r>
              <w:rPr>
                <w:sz w:val="17"/>
              </w:rPr>
              <w:t>1</w:t>
            </w:r>
          </w:p>
        </w:tc>
        <w:tc>
          <w:tcPr>
            <w:tcW w:type="dxa" w:w="1728"/>
            <w:shd w:fill="ECF0F1" w:val="clear"/>
          </w:tcPr>
          <w:p>
            <w:pPr>
              <w:jc w:val="center"/>
            </w:pPr>
            <w:r>
              <w:rPr>
                <w:sz w:val="17"/>
              </w:rPr>
              <w:t>3.6%</w:t>
            </w:r>
          </w:p>
        </w:tc>
      </w:tr>
      <w:tr>
        <w:tc>
          <w:tcPr>
            <w:tcW w:type="dxa" w:w="3600"/>
          </w:tcPr>
          <w:p>
            <w:pPr>
              <w:jc w:val="left"/>
            </w:pPr>
            <w:r>
              <w:rPr>
                <w:sz w:val="17"/>
              </w:rPr>
              <w:t>Salvaguarda (Falso Positivo)</w:t>
            </w:r>
          </w:p>
        </w:tc>
        <w:tc>
          <w:tcPr>
            <w:tcW w:type="dxa" w:w="1728"/>
          </w:tcPr>
          <w:p>
            <w:pPr>
              <w:jc w:val="center"/>
            </w:pPr>
            <w:r>
              <w:rPr>
                <w:sz w:val="17"/>
              </w:rPr>
              <w:t>5</w:t>
            </w:r>
          </w:p>
        </w:tc>
        <w:tc>
          <w:tcPr>
            <w:tcW w:type="dxa" w:w="1728"/>
          </w:tcPr>
          <w:p>
            <w:pPr>
              <w:jc w:val="center"/>
            </w:pPr>
            <w:r>
              <w:rPr>
                <w:sz w:val="17"/>
              </w:rPr>
              <w:t>17.9%</w:t>
            </w:r>
          </w:p>
        </w:tc>
      </w:tr>
    </w:tbl>
    <w:p/>
    <w:p>
      <w:pPr>
        <w:pStyle w:val="Heading2"/>
      </w:pPr>
      <w:r>
        <w:t>Distribución por subdimensión</w:t>
      </w:r>
    </w:p>
    <w:p>
      <w:pPr>
        <w:jc w:val="center"/>
      </w:pPr>
      <w:r>
        <w:drawing>
          <wp:inline xmlns:a="http://schemas.openxmlformats.org/drawingml/2006/main" xmlns:pic="http://schemas.openxmlformats.org/drawingml/2006/picture">
            <wp:extent cx="5029200" cy="35542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554290"/>
                    </a:xfrm>
                    <a:prstGeom prst="rect"/>
                  </pic:spPr>
                </pic:pic>
              </a:graphicData>
            </a:graphic>
          </wp:inline>
        </w:drawing>
      </w:r>
    </w:p>
    <w:p>
      <w:pPr>
        <w:jc w:val="center"/>
      </w:pPr>
      <w:r>
        <w:rPr>
          <w:i/>
          <w:color w:val="7F8C8D"/>
          <w:sz w:val="16"/>
        </w:rPr>
        <w:t>Figura 5 — Distribución de subdimensiones de violencia de género (todas las categorías, orden descendente)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168"/>
            <w:shd w:fill="2C3E50" w:val="clear"/>
            <w:vAlign w:val="center"/>
          </w:tcPr>
          <w:p>
            <w:pPr>
              <w:jc w:val="center"/>
            </w:pPr>
            <w:r>
              <w:rPr>
                <w:b/>
                <w:color w:val="FFFFFF"/>
                <w:sz w:val="18"/>
              </w:rPr>
              <w:t>Categoría</w:t>
            </w:r>
          </w:p>
        </w:tc>
        <w:tc>
          <w:tcPr>
            <w:tcW w:type="dxa" w:w="1440"/>
            <w:shd w:fill="2C3E50" w:val="clear"/>
            <w:vAlign w:val="center"/>
          </w:tcPr>
          <w:p>
            <w:pPr>
              <w:jc w:val="center"/>
            </w:pPr>
            <w:r>
              <w:rPr>
                <w:b/>
                <w:color w:val="FFFFFF"/>
                <w:sz w:val="18"/>
              </w:rPr>
              <w:t>Subdimensión</w:t>
            </w:r>
          </w:p>
        </w:tc>
        <w:tc>
          <w:tcPr>
            <w:tcW w:type="dxa" w:w="1440"/>
            <w:shd w:fill="2C3E50" w:val="clear"/>
            <w:vAlign w:val="center"/>
          </w:tcPr>
          <w:p>
            <w:pPr>
              <w:jc w:val="center"/>
            </w:pPr>
            <w:r>
              <w:rPr>
                <w:b/>
                <w:color w:val="FFFFFF"/>
                <w:sz w:val="18"/>
              </w:rPr>
              <w:t>Cantidad</w:t>
            </w:r>
          </w:p>
        </w:tc>
        <w:tc>
          <w:tcPr>
            <w:tcW w:type="dxa" w:w="1440"/>
            <w:shd w:fill="2C3E50" w:val="clear"/>
            <w:vAlign w:val="center"/>
          </w:tcPr>
          <w:p>
            <w:pPr>
              <w:jc w:val="center"/>
            </w:pPr>
            <w:r>
              <w:rPr>
                <w:b/>
                <w:color w:val="FFFFFF"/>
                <w:sz w:val="18"/>
              </w:rPr>
              <w:t>%</w:t>
            </w:r>
          </w:p>
        </w:tc>
      </w:tr>
      <w:tr>
        <w:tc>
          <w:tcPr>
            <w:tcW w:type="dxa" w:w="3168"/>
            <w:shd w:fill="ECF0F1" w:val="clear"/>
          </w:tcPr>
          <w:p>
            <w:pPr>
              <w:jc w:val="left"/>
            </w:pPr>
            <w:r>
              <w:rPr>
                <w:sz w:val="17"/>
              </w:rPr>
              <w:t>Violencia Simbólica</w:t>
            </w:r>
          </w:p>
        </w:tc>
        <w:tc>
          <w:tcPr>
            <w:tcW w:type="dxa" w:w="1440"/>
            <w:shd w:fill="ECF0F1" w:val="clear"/>
          </w:tcPr>
          <w:p>
            <w:pPr>
              <w:jc w:val="center"/>
            </w:pPr>
            <w:r>
              <w:rPr>
                <w:sz w:val="17"/>
              </w:rPr>
              <w:t>1.3</w:t>
            </w:r>
          </w:p>
        </w:tc>
        <w:tc>
          <w:tcPr>
            <w:tcW w:type="dxa" w:w="1440"/>
            <w:shd w:fill="ECF0F1" w:val="clear"/>
          </w:tcPr>
          <w:p>
            <w:pPr>
              <w:jc w:val="center"/>
            </w:pPr>
            <w:r>
              <w:rPr>
                <w:sz w:val="17"/>
              </w:rPr>
              <w:t>6</w:t>
            </w:r>
          </w:p>
        </w:tc>
        <w:tc>
          <w:tcPr>
            <w:tcW w:type="dxa" w:w="1440"/>
            <w:shd w:fill="ECF0F1" w:val="clear"/>
          </w:tcPr>
          <w:p>
            <w:pPr>
              <w:jc w:val="center"/>
            </w:pPr>
            <w:r>
              <w:rPr>
                <w:sz w:val="17"/>
              </w:rPr>
              <w:t>19.4%</w:t>
            </w:r>
          </w:p>
        </w:tc>
      </w:tr>
      <w:tr>
        <w:tc>
          <w:tcPr>
            <w:tcW w:type="dxa" w:w="3168"/>
          </w:tcPr>
          <w:p>
            <w:pPr>
              <w:jc w:val="left"/>
            </w:pPr>
            <w:r>
              <w:rPr>
                <w:sz w:val="17"/>
              </w:rPr>
              <w:t>Mercantilización Corporal</w:t>
            </w:r>
          </w:p>
        </w:tc>
        <w:tc>
          <w:tcPr>
            <w:tcW w:type="dxa" w:w="1440"/>
          </w:tcPr>
          <w:p>
            <w:pPr>
              <w:jc w:val="center"/>
            </w:pPr>
            <w:r>
              <w:rPr>
                <w:sz w:val="17"/>
              </w:rPr>
              <w:t>2.3</w:t>
            </w:r>
          </w:p>
        </w:tc>
        <w:tc>
          <w:tcPr>
            <w:tcW w:type="dxa" w:w="1440"/>
          </w:tcPr>
          <w:p>
            <w:pPr>
              <w:jc w:val="center"/>
            </w:pPr>
            <w:r>
              <w:rPr>
                <w:sz w:val="17"/>
              </w:rPr>
              <w:t>6</w:t>
            </w:r>
          </w:p>
        </w:tc>
        <w:tc>
          <w:tcPr>
            <w:tcW w:type="dxa" w:w="1440"/>
          </w:tcPr>
          <w:p>
            <w:pPr>
              <w:jc w:val="center"/>
            </w:pPr>
            <w:r>
              <w:rPr>
                <w:sz w:val="17"/>
              </w:rPr>
              <w:t>19.4%</w:t>
            </w:r>
          </w:p>
        </w:tc>
      </w:tr>
      <w:tr>
        <w:tc>
          <w:tcPr>
            <w:tcW w:type="dxa" w:w="3168"/>
            <w:shd w:fill="ECF0F1" w:val="clear"/>
          </w:tcPr>
          <w:p>
            <w:pPr>
              <w:jc w:val="left"/>
            </w:pPr>
            <w:r>
              <w:rPr>
                <w:sz w:val="17"/>
              </w:rPr>
              <w:t>Salvaguarda (Falso Positivo)</w:t>
            </w:r>
          </w:p>
        </w:tc>
        <w:tc>
          <w:tcPr>
            <w:tcW w:type="dxa" w:w="1440"/>
            <w:shd w:fill="ECF0F1" w:val="clear"/>
          </w:tcPr>
          <w:p>
            <w:pPr>
              <w:jc w:val="center"/>
            </w:pPr>
            <w:r>
              <w:rPr>
                <w:sz w:val="17"/>
              </w:rPr>
              <w:t>6.2</w:t>
            </w:r>
          </w:p>
        </w:tc>
        <w:tc>
          <w:tcPr>
            <w:tcW w:type="dxa" w:w="1440"/>
            <w:shd w:fill="ECF0F1" w:val="clear"/>
          </w:tcPr>
          <w:p>
            <w:pPr>
              <w:jc w:val="center"/>
            </w:pPr>
            <w:r>
              <w:rPr>
                <w:sz w:val="17"/>
              </w:rPr>
              <w:t>5</w:t>
            </w:r>
          </w:p>
        </w:tc>
        <w:tc>
          <w:tcPr>
            <w:tcW w:type="dxa" w:w="1440"/>
            <w:shd w:fill="ECF0F1" w:val="clear"/>
          </w:tcPr>
          <w:p>
            <w:pPr>
              <w:jc w:val="center"/>
            </w:pPr>
            <w:r>
              <w:rPr>
                <w:sz w:val="17"/>
              </w:rPr>
              <w:t>16.1%</w:t>
            </w:r>
          </w:p>
        </w:tc>
      </w:tr>
      <w:tr>
        <w:tc>
          <w:tcPr>
            <w:tcW w:type="dxa" w:w="3168"/>
          </w:tcPr>
          <w:p>
            <w:pPr>
              <w:jc w:val="left"/>
            </w:pPr>
            <w:r>
              <w:rPr>
                <w:sz w:val="17"/>
              </w:rPr>
              <w:t>Manosfera / Antifeminismo</w:t>
            </w:r>
          </w:p>
        </w:tc>
        <w:tc>
          <w:tcPr>
            <w:tcW w:type="dxa" w:w="1440"/>
          </w:tcPr>
          <w:p>
            <w:pPr>
              <w:jc w:val="center"/>
            </w:pPr>
            <w:r>
              <w:rPr>
                <w:sz w:val="17"/>
              </w:rPr>
              <w:t>4.3</w:t>
            </w:r>
          </w:p>
        </w:tc>
        <w:tc>
          <w:tcPr>
            <w:tcW w:type="dxa" w:w="1440"/>
          </w:tcPr>
          <w:p>
            <w:pPr>
              <w:jc w:val="center"/>
            </w:pPr>
            <w:r>
              <w:rPr>
                <w:sz w:val="17"/>
              </w:rPr>
              <w:t>4</w:t>
            </w:r>
          </w:p>
        </w:tc>
        <w:tc>
          <w:tcPr>
            <w:tcW w:type="dxa" w:w="1440"/>
          </w:tcPr>
          <w:p>
            <w:pPr>
              <w:jc w:val="center"/>
            </w:pPr>
            <w:r>
              <w:rPr>
                <w:sz w:val="17"/>
              </w:rPr>
              <w:t>12.9%</w:t>
            </w:r>
          </w:p>
        </w:tc>
      </w:tr>
      <w:tr>
        <w:tc>
          <w:tcPr>
            <w:tcW w:type="dxa" w:w="3168"/>
            <w:shd w:fill="ECF0F1" w:val="clear"/>
          </w:tcPr>
          <w:p>
            <w:pPr>
              <w:jc w:val="left"/>
            </w:pPr>
            <w:r>
              <w:rPr>
                <w:sz w:val="17"/>
              </w:rPr>
              <w:t>Violencia Simbólica</w:t>
            </w:r>
          </w:p>
        </w:tc>
        <w:tc>
          <w:tcPr>
            <w:tcW w:type="dxa" w:w="1440"/>
            <w:shd w:fill="ECF0F1" w:val="clear"/>
          </w:tcPr>
          <w:p>
            <w:pPr>
              <w:jc w:val="center"/>
            </w:pPr>
            <w:r>
              <w:rPr>
                <w:sz w:val="17"/>
              </w:rPr>
              <w:t>1.1</w:t>
            </w:r>
          </w:p>
        </w:tc>
        <w:tc>
          <w:tcPr>
            <w:tcW w:type="dxa" w:w="1440"/>
            <w:shd w:fill="ECF0F1" w:val="clear"/>
          </w:tcPr>
          <w:p>
            <w:pPr>
              <w:jc w:val="center"/>
            </w:pPr>
            <w:r>
              <w:rPr>
                <w:sz w:val="17"/>
              </w:rPr>
              <w:t>3</w:t>
            </w:r>
          </w:p>
        </w:tc>
        <w:tc>
          <w:tcPr>
            <w:tcW w:type="dxa" w:w="1440"/>
            <w:shd w:fill="ECF0F1" w:val="clear"/>
          </w:tcPr>
          <w:p>
            <w:pPr>
              <w:jc w:val="center"/>
            </w:pPr>
            <w:r>
              <w:rPr>
                <w:sz w:val="17"/>
              </w:rPr>
              <w:t>9.7%</w:t>
            </w:r>
          </w:p>
        </w:tc>
      </w:tr>
      <w:tr>
        <w:tc>
          <w:tcPr>
            <w:tcW w:type="dxa" w:w="3168"/>
          </w:tcPr>
          <w:p>
            <w:pPr>
              <w:jc w:val="left"/>
            </w:pPr>
            <w:r>
              <w:rPr>
                <w:sz w:val="17"/>
              </w:rPr>
              <w:t>Manosfera / Antifeminismo</w:t>
            </w:r>
          </w:p>
        </w:tc>
        <w:tc>
          <w:tcPr>
            <w:tcW w:type="dxa" w:w="1440"/>
          </w:tcPr>
          <w:p>
            <w:pPr>
              <w:jc w:val="center"/>
            </w:pPr>
            <w:r>
              <w:rPr>
                <w:sz w:val="17"/>
              </w:rPr>
              <w:t>4.2</w:t>
            </w:r>
          </w:p>
        </w:tc>
        <w:tc>
          <w:tcPr>
            <w:tcW w:type="dxa" w:w="1440"/>
          </w:tcPr>
          <w:p>
            <w:pPr>
              <w:jc w:val="center"/>
            </w:pPr>
            <w:r>
              <w:rPr>
                <w:sz w:val="17"/>
              </w:rPr>
              <w:t>1</w:t>
            </w:r>
          </w:p>
        </w:tc>
        <w:tc>
          <w:tcPr>
            <w:tcW w:type="dxa" w:w="1440"/>
          </w:tcPr>
          <w:p>
            <w:pPr>
              <w:jc w:val="center"/>
            </w:pPr>
            <w:r>
              <w:rPr>
                <w:sz w:val="17"/>
              </w:rPr>
              <w:t>3.2%</w:t>
            </w:r>
          </w:p>
        </w:tc>
      </w:tr>
      <w:tr>
        <w:tc>
          <w:tcPr>
            <w:tcW w:type="dxa" w:w="3168"/>
            <w:shd w:fill="ECF0F1" w:val="clear"/>
          </w:tcPr>
          <w:p>
            <w:pPr>
              <w:jc w:val="left"/>
            </w:pPr>
            <w:r>
              <w:rPr>
                <w:sz w:val="17"/>
              </w:rPr>
              <w:t>Violencia Simbólica</w:t>
            </w:r>
          </w:p>
        </w:tc>
        <w:tc>
          <w:tcPr>
            <w:tcW w:type="dxa" w:w="1440"/>
            <w:shd w:fill="ECF0F1" w:val="clear"/>
          </w:tcPr>
          <w:p>
            <w:pPr>
              <w:jc w:val="center"/>
            </w:pPr>
            <w:r>
              <w:rPr>
                <w:sz w:val="17"/>
              </w:rPr>
              <w:t>—</w:t>
            </w:r>
          </w:p>
        </w:tc>
        <w:tc>
          <w:tcPr>
            <w:tcW w:type="dxa" w:w="1440"/>
            <w:shd w:fill="ECF0F1" w:val="clear"/>
          </w:tcPr>
          <w:p>
            <w:pPr>
              <w:jc w:val="center"/>
            </w:pPr>
            <w:r>
              <w:rPr>
                <w:sz w:val="17"/>
              </w:rPr>
              <w:t>1</w:t>
            </w:r>
          </w:p>
        </w:tc>
        <w:tc>
          <w:tcPr>
            <w:tcW w:type="dxa" w:w="1440"/>
            <w:shd w:fill="ECF0F1" w:val="clear"/>
          </w:tcPr>
          <w:p>
            <w:pPr>
              <w:jc w:val="center"/>
            </w:pPr>
            <w:r>
              <w:rPr>
                <w:sz w:val="17"/>
              </w:rPr>
              <w:t>3.2%</w:t>
            </w:r>
          </w:p>
        </w:tc>
      </w:tr>
      <w:tr>
        <w:tc>
          <w:tcPr>
            <w:tcW w:type="dxa" w:w="3168"/>
          </w:tcPr>
          <w:p>
            <w:pPr>
              <w:jc w:val="left"/>
            </w:pPr>
            <w:r>
              <w:rPr>
                <w:sz w:val="17"/>
              </w:rPr>
              <w:t>Salvaguarda (Falso Positivo)</w:t>
            </w:r>
          </w:p>
        </w:tc>
        <w:tc>
          <w:tcPr>
            <w:tcW w:type="dxa" w:w="1440"/>
          </w:tcPr>
          <w:p>
            <w:pPr>
              <w:jc w:val="center"/>
            </w:pPr>
            <w:r>
              <w:rPr>
                <w:sz w:val="17"/>
              </w:rPr>
              <w:t>6.1</w:t>
            </w:r>
          </w:p>
        </w:tc>
        <w:tc>
          <w:tcPr>
            <w:tcW w:type="dxa" w:w="1440"/>
          </w:tcPr>
          <w:p>
            <w:pPr>
              <w:jc w:val="center"/>
            </w:pPr>
            <w:r>
              <w:rPr>
                <w:sz w:val="17"/>
              </w:rPr>
              <w:t>1</w:t>
            </w:r>
          </w:p>
        </w:tc>
        <w:tc>
          <w:tcPr>
            <w:tcW w:type="dxa" w:w="1440"/>
          </w:tcPr>
          <w:p>
            <w:pPr>
              <w:jc w:val="center"/>
            </w:pPr>
            <w:r>
              <w:rPr>
                <w:sz w:val="17"/>
              </w:rPr>
              <w:t>3.2%</w:t>
            </w:r>
          </w:p>
        </w:tc>
      </w:tr>
      <w:tr>
        <w:tc>
          <w:tcPr>
            <w:tcW w:type="dxa" w:w="3168"/>
            <w:shd w:fill="ECF0F1" w:val="clear"/>
          </w:tcPr>
          <w:p>
            <w:pPr>
              <w:jc w:val="left"/>
            </w:pPr>
            <w:r>
              <w:rPr>
                <w:sz w:val="17"/>
              </w:rPr>
              <w:t>Castigo Del Empoderamiento Femenino</w:t>
            </w:r>
          </w:p>
        </w:tc>
        <w:tc>
          <w:tcPr>
            <w:tcW w:type="dxa" w:w="1440"/>
            <w:shd w:fill="ECF0F1" w:val="clear"/>
          </w:tcPr>
          <w:p>
            <w:pPr>
              <w:jc w:val="center"/>
            </w:pPr>
            <w:r>
              <w:rPr>
                <w:sz w:val="17"/>
              </w:rPr>
              <w:t>5.1</w:t>
            </w:r>
          </w:p>
        </w:tc>
        <w:tc>
          <w:tcPr>
            <w:tcW w:type="dxa" w:w="1440"/>
            <w:shd w:fill="ECF0F1" w:val="clear"/>
          </w:tcPr>
          <w:p>
            <w:pPr>
              <w:jc w:val="center"/>
            </w:pPr>
            <w:r>
              <w:rPr>
                <w:sz w:val="17"/>
              </w:rPr>
              <w:t>1</w:t>
            </w:r>
          </w:p>
        </w:tc>
        <w:tc>
          <w:tcPr>
            <w:tcW w:type="dxa" w:w="1440"/>
            <w:shd w:fill="ECF0F1" w:val="clear"/>
          </w:tcPr>
          <w:p>
            <w:pPr>
              <w:jc w:val="center"/>
            </w:pPr>
            <w:r>
              <w:rPr>
                <w:sz w:val="17"/>
              </w:rPr>
              <w:t>3.2%</w:t>
            </w:r>
          </w:p>
        </w:tc>
      </w:tr>
      <w:tr>
        <w:tc>
          <w:tcPr>
            <w:tcW w:type="dxa" w:w="3168"/>
          </w:tcPr>
          <w:p>
            <w:pPr>
              <w:jc w:val="left"/>
            </w:pPr>
            <w:r>
              <w:rPr>
                <w:sz w:val="17"/>
              </w:rPr>
              <w:t>Hostilidad / Feminicidio</w:t>
            </w:r>
          </w:p>
        </w:tc>
        <w:tc>
          <w:tcPr>
            <w:tcW w:type="dxa" w:w="1440"/>
          </w:tcPr>
          <w:p>
            <w:pPr>
              <w:jc w:val="center"/>
            </w:pPr>
            <w:r>
              <w:rPr>
                <w:sz w:val="17"/>
              </w:rPr>
              <w:t>3.2</w:t>
            </w:r>
          </w:p>
        </w:tc>
        <w:tc>
          <w:tcPr>
            <w:tcW w:type="dxa" w:w="1440"/>
          </w:tcPr>
          <w:p>
            <w:pPr>
              <w:jc w:val="center"/>
            </w:pPr>
            <w:r>
              <w:rPr>
                <w:sz w:val="17"/>
              </w:rPr>
              <w:t>1</w:t>
            </w:r>
          </w:p>
        </w:tc>
        <w:tc>
          <w:tcPr>
            <w:tcW w:type="dxa" w:w="1440"/>
          </w:tcPr>
          <w:p>
            <w:pPr>
              <w:jc w:val="center"/>
            </w:pPr>
            <w:r>
              <w:rPr>
                <w:sz w:val="17"/>
              </w:rPr>
              <w:t>3.2%</w:t>
            </w:r>
          </w:p>
        </w:tc>
      </w:tr>
      <w:tr>
        <w:tc>
          <w:tcPr>
            <w:tcW w:type="dxa" w:w="3168"/>
            <w:shd w:fill="ECF0F1" w:val="clear"/>
          </w:tcPr>
          <w:p>
            <w:pPr>
              <w:jc w:val="left"/>
            </w:pPr>
            <w:r>
              <w:rPr>
                <w:sz w:val="17"/>
              </w:rPr>
              <w:t>Mercantilización Corporal</w:t>
            </w:r>
          </w:p>
        </w:tc>
        <w:tc>
          <w:tcPr>
            <w:tcW w:type="dxa" w:w="1440"/>
            <w:shd w:fill="ECF0F1" w:val="clear"/>
          </w:tcPr>
          <w:p>
            <w:pPr>
              <w:jc w:val="center"/>
            </w:pPr>
            <w:r>
              <w:rPr>
                <w:sz w:val="17"/>
              </w:rPr>
              <w:t>2.2</w:t>
            </w:r>
          </w:p>
        </w:tc>
        <w:tc>
          <w:tcPr>
            <w:tcW w:type="dxa" w:w="1440"/>
            <w:shd w:fill="ECF0F1" w:val="clear"/>
          </w:tcPr>
          <w:p>
            <w:pPr>
              <w:jc w:val="center"/>
            </w:pPr>
            <w:r>
              <w:rPr>
                <w:sz w:val="17"/>
              </w:rPr>
              <w:t>1</w:t>
            </w:r>
          </w:p>
        </w:tc>
        <w:tc>
          <w:tcPr>
            <w:tcW w:type="dxa" w:w="1440"/>
            <w:shd w:fill="ECF0F1" w:val="clear"/>
          </w:tcPr>
          <w:p>
            <w:pPr>
              <w:jc w:val="center"/>
            </w:pPr>
            <w:r>
              <w:rPr>
                <w:sz w:val="17"/>
              </w:rPr>
              <w:t>3.2%</w:t>
            </w:r>
          </w:p>
        </w:tc>
      </w:tr>
      <w:tr>
        <w:tc>
          <w:tcPr>
            <w:tcW w:type="dxa" w:w="3168"/>
          </w:tcPr>
          <w:p>
            <w:pPr>
              <w:jc w:val="left"/>
            </w:pPr>
            <w:r>
              <w:rPr>
                <w:sz w:val="17"/>
              </w:rPr>
              <w:t>Violencia Simbólica</w:t>
            </w:r>
          </w:p>
        </w:tc>
        <w:tc>
          <w:tcPr>
            <w:tcW w:type="dxa" w:w="1440"/>
          </w:tcPr>
          <w:p>
            <w:pPr>
              <w:jc w:val="center"/>
            </w:pPr>
            <w:r>
              <w:rPr>
                <w:sz w:val="17"/>
              </w:rPr>
              <w:t>1.2</w:t>
            </w:r>
          </w:p>
        </w:tc>
        <w:tc>
          <w:tcPr>
            <w:tcW w:type="dxa" w:w="1440"/>
          </w:tcPr>
          <w:p>
            <w:pPr>
              <w:jc w:val="center"/>
            </w:pPr>
            <w:r>
              <w:rPr>
                <w:sz w:val="17"/>
              </w:rPr>
              <w:t>1</w:t>
            </w:r>
          </w:p>
        </w:tc>
        <w:tc>
          <w:tcPr>
            <w:tcW w:type="dxa" w:w="1440"/>
          </w:tcPr>
          <w:p>
            <w:pPr>
              <w:jc w:val="center"/>
            </w:pPr>
            <w:r>
              <w:rPr>
                <w:sz w:val="17"/>
              </w:rPr>
              <w:t>3.2%</w:t>
            </w:r>
          </w:p>
        </w:tc>
      </w:tr>
    </w:tbl>
    <w:p/>
    <w:p>
      <w:pPr>
        <w:pStyle w:val="Heading2"/>
      </w:pPr>
      <w:r>
        <w:t>Observaciones</w:t>
      </w:r>
    </w:p>
    <w:p>
      <w:pPr>
        <w:pStyle w:val="ListBullet"/>
      </w:pPr>
      <w:r>
        <w:rPr>
          <w:b/>
          <w:sz w:val="20"/>
        </w:rPr>
        <w:t xml:space="preserve">Composición general: </w:t>
      </w:r>
      <w:r>
        <w:rPr>
          <w:sz w:val="20"/>
        </w:rPr>
        <w:t>De los 69 registros totales del corpus, 15 (21.7%) corresponden a violencia de género, 40 (58.0%) son contenido no violento, 12 (17.4%) son basura digital sin texto analizable, y 2 (2.9%) son agresiones que no cumplen con los criterios de violencia de género. La proporción de contenido excluido (14 registros, 20.3%) coincide con el nivel de alerta CRÍTICO detectado en la Regla 1.</w:t>
      </w:r>
    </w:p>
    <w:p>
      <w:pPr>
        <w:pStyle w:val="ListBullet"/>
      </w:pPr>
      <w:r>
        <w:rPr>
          <w:b/>
          <w:sz w:val="20"/>
        </w:rPr>
        <w:t xml:space="preserve">Categorías principales: </w:t>
      </w:r>
      <w:r>
        <w:rPr>
          <w:sz w:val="20"/>
        </w:rPr>
        <w:t>«Violencia Simbólica» concentra el 32.1% del contenido violento con 9 casos, seguida por «Mercantilización Corporal» (7 casos, 25.0%). Estas dos categorías suman 57.1% del total, lo que sugiere una concentración significativa en un reducido número de tipologías de violencia.</w:t>
      </w:r>
    </w:p>
    <w:p>
      <w:pPr>
        <w:pStyle w:val="ListBullet"/>
      </w:pPr>
      <w:r>
        <w:rPr>
          <w:b/>
          <w:sz w:val="20"/>
        </w:rPr>
        <w:t xml:space="preserve">Subdimensiones líderes: </w:t>
      </w:r>
      <w:r>
        <w:rPr>
          <w:sz w:val="20"/>
        </w:rPr>
        <w:t>Las subdimensiones más frecuentes son «1.3» (6 casos, 19.4%), «2.3» (6 casos, 19.4%), «6.2» (5 casos, 16.1%). Esto permite ir más allá de la categoría padre para entender qué variantes específicas de violencia son más prevalentes en la muestra. Cada subdimensión representa una táctica o manifestación concreta de ciberviolencia de género.</w:t>
      </w:r>
    </w:p>
    <w:p>
      <w:pPr>
        <w:pStyle w:val="ListBullet"/>
      </w:pPr>
      <w:r>
        <w:rPr>
          <w:b/>
          <w:sz w:val="20"/>
        </w:rPr>
        <w:t xml:space="preserve">Diversidad de variantes: </w:t>
      </w:r>
      <w:r>
        <w:rPr>
          <w:sz w:val="20"/>
        </w:rPr>
        <w:t>Del total de 12 subdimensiones con al menos un caso, la distribución es bastante dispersa: las tres más frecuentes concentran el 54.9% del total de votos de clasificación, lo que indica que la violencia de género se manifiesta en múltiples variantes simultáneamente en las páginas analizadas.</w:t>
      </w:r>
    </w:p>
    <w:p>
      <w:r>
        <w:br w:type="page"/>
      </w:r>
    </w:p>
    <w:p>
      <w:r>
        <w:br w:type="page"/>
      </w:r>
    </w:p>
    <w:p>
      <w:pPr>
        <w:pStyle w:val="Heading1"/>
      </w:pPr>
      <w:r>
        <w:t>Regla 6 — Métricas de fiabilidad y validez de la clasificación automática</w:t>
      </w:r>
    </w:p>
    <w:p>
      <w:r>
        <w:rPr>
          <w:b w:val="0"/>
          <w:i w:val="0"/>
          <w:sz w:val="21"/>
        </w:rPr>
        <w:t>Esta regla evalúa qué tan confiable es el clasificador automático. Para ello, se comparan las predicciones del sistema contra el criterio de revisores humanos que examinaron cada contenido y decidieron si estaban o no de acuerdo con la clasificación. El resultado de esta comparación se organiza en una matriz de confusión, que es la herramienta fundamental para entender los aciertos y errores del modelo.</w:t>
      </w:r>
    </w:p>
    <w:p>
      <w:pPr>
        <w:pStyle w:val="Heading2"/>
      </w:pPr>
      <w:r>
        <w:t>¿Qué es la matriz de confusión?</w:t>
      </w:r>
    </w:p>
    <w:p>
      <w:r>
        <w:rPr>
          <w:b w:val="0"/>
          <w:i w:val="0"/>
          <w:sz w:val="21"/>
        </w:rPr>
        <w:t>Imaginemos una tabla de dos por dos. En las filas tenemos lo que el sistema predijo («el contenido es violento» o «el contenido no es violento») y en las columnas tenemos lo que un ser humano determinó después de revisarlo. Las intersecciones producen cuatro escenarios posibles:</w:t>
      </w:r>
    </w:p>
    <w:p>
      <w:pPr>
        <w:pStyle w:val="ListBullet"/>
      </w:pPr>
      <w:r>
        <w:rPr>
          <w:b/>
          <w:sz w:val="20"/>
        </w:rPr>
        <w:t xml:space="preserve">Verdadero Positivo (VP): </w:t>
      </w:r>
      <w:r>
        <w:rPr>
          <w:sz w:val="20"/>
        </w:rPr>
        <w:t>El sistema dice «violentо» y el humano confirma que sí lo es. Es un acierto: el modelo detectó correctamente la violencia. Estos casos se denominan Verdaderos Positivos (VP).</w:t>
      </w:r>
    </w:p>
    <w:p>
      <w:pPr>
        <w:pStyle w:val="ListBullet"/>
      </w:pPr>
      <w:r>
        <w:rPr>
          <w:b/>
          <w:sz w:val="20"/>
        </w:rPr>
        <w:t xml:space="preserve">Verdadero Negativo (VN): </w:t>
      </w:r>
      <w:r>
        <w:rPr>
          <w:sz w:val="20"/>
        </w:rPr>
        <w:t>El sistema dice «no violento» y el humano coincide: el contenido efectivamente no es violento. Otro acierto, esta vez en la clase negativa. Se llama Verdadero Negativo (VN).</w:t>
      </w:r>
    </w:p>
    <w:p>
      <w:pPr>
        <w:pStyle w:val="ListBullet"/>
      </w:pPr>
      <w:r>
        <w:rPr>
          <w:b/>
          <w:sz w:val="20"/>
        </w:rPr>
        <w:t xml:space="preserve">Falso Positivo (FP): </w:t>
      </w:r>
      <w:r>
        <w:rPr>
          <w:sz w:val="20"/>
        </w:rPr>
        <w:t>El sistema dice «violentо» pero el humano revierte: el contenido no es violento. Es un error por exceso, un falso positivo (FP). El sistema «ve» violencia donde no la hay.</w:t>
      </w:r>
    </w:p>
    <w:p>
      <w:pPr>
        <w:pStyle w:val="ListBullet"/>
      </w:pPr>
      <w:r>
        <w:rPr>
          <w:b/>
          <w:sz w:val="20"/>
        </w:rPr>
        <w:t xml:space="preserve">Falso Negativo (FN): </w:t>
      </w:r>
      <w:r>
        <w:rPr>
          <w:sz w:val="20"/>
        </w:rPr>
        <w:t>El sistema dice «no violento» pero el humano corrige: el contenido sí era violento. Es un error por omisión, un falso negativo (FN). El sistema dejó pasar violencia real. Este es el error más grave en un contexto de detección de contenido dañino.</w:t>
      </w:r>
    </w:p>
    <w:p>
      <w:r>
        <w:rPr>
          <w:b w:val="0"/>
          <w:i w:val="0"/>
          <w:sz w:val="21"/>
        </w:rPr>
        <w:t>La diferencia entre FP y FN tiene implicaciones prácticas importantes. Un falso positivo significa que un contenido fue marcado injustificadamente como violento, lo que puede generar una intervención innecesaria. Un falso negativo, en cambio, significa que contenido violento quedó sin detectar, lo cual es más grave porque implica que la víctima no recibe la protección o el monitoreo que correspondería.</w:t>
      </w:r>
    </w:p>
    <w:p>
      <w:pPr>
        <w:pStyle w:val="Heading2"/>
      </w:pPr>
      <w:r>
        <w:t>Matriz de confusión del sistema</w:t>
      </w:r>
    </w:p>
    <w:tbl>
      <w:tblPr>
        <w:tblStyle w:val="TableGrid"/>
        <w:tblW w:type="auto" w:w="0"/>
        <w:jc w:val="center"/>
        <w:tblLook w:firstColumn="1" w:firstRow="1" w:lastColumn="0" w:lastRow="0" w:noHBand="0" w:noVBand="1" w:val="04A0"/>
      </w:tblPr>
      <w:tblGrid>
        <w:gridCol w:w="3010"/>
        <w:gridCol w:w="3010"/>
        <w:gridCol w:w="3010"/>
      </w:tblGrid>
      <w:tr>
        <w:tc>
          <w:tcPr>
            <w:tcW w:type="dxa" w:w="2880"/>
            <w:shd w:fill="2C3E50" w:val="clear"/>
            <w:vAlign w:val="center"/>
          </w:tcPr>
          <w:p>
            <w:pPr>
              <w:jc w:val="center"/>
            </w:pPr>
            <w:r>
              <w:rPr>
                <w:b/>
                <w:color w:val="FFFFFF"/>
                <w:sz w:val="18"/>
              </w:rPr>
            </w:r>
          </w:p>
        </w:tc>
        <w:tc>
          <w:tcPr>
            <w:tcW w:type="dxa" w:w="2160"/>
            <w:shd w:fill="2C3E50" w:val="clear"/>
            <w:vAlign w:val="center"/>
          </w:tcPr>
          <w:p>
            <w:pPr>
              <w:jc w:val="center"/>
            </w:pPr>
            <w:r>
              <w:rPr>
                <w:b/>
                <w:color w:val="FFFFFF"/>
                <w:sz w:val="18"/>
              </w:rPr>
              <w:t>Real: Violencia</w:t>
            </w:r>
          </w:p>
        </w:tc>
        <w:tc>
          <w:tcPr>
            <w:tcW w:type="dxa" w:w="2160"/>
            <w:shd w:fill="2C3E50" w:val="clear"/>
            <w:vAlign w:val="center"/>
          </w:tcPr>
          <w:p>
            <w:pPr>
              <w:jc w:val="center"/>
            </w:pPr>
            <w:r>
              <w:rPr>
                <w:b/>
                <w:color w:val="FFFFFF"/>
                <w:sz w:val="18"/>
              </w:rPr>
              <w:t>Real: No Violencia</w:t>
            </w:r>
          </w:p>
        </w:tc>
      </w:tr>
      <w:tr>
        <w:tc>
          <w:tcPr>
            <w:tcW w:type="dxa" w:w="2880"/>
            <w:shd w:fill="ECF0F1" w:val="clear"/>
          </w:tcPr>
          <w:p>
            <w:pPr>
              <w:jc w:val="left"/>
            </w:pPr>
            <w:r>
              <w:rPr>
                <w:sz w:val="17"/>
              </w:rPr>
              <w:t>Predicho: Violencia</w:t>
            </w:r>
          </w:p>
        </w:tc>
        <w:tc>
          <w:tcPr>
            <w:tcW w:type="dxa" w:w="2160"/>
            <w:shd w:fill="ECF0F1" w:val="clear"/>
          </w:tcPr>
          <w:p>
            <w:pPr>
              <w:jc w:val="center"/>
            </w:pPr>
            <w:r>
              <w:rPr>
                <w:sz w:val="17"/>
              </w:rPr>
              <w:t>9</w:t>
            </w:r>
          </w:p>
        </w:tc>
        <w:tc>
          <w:tcPr>
            <w:tcW w:type="dxa" w:w="2160"/>
            <w:shd w:fill="ECF0F1" w:val="clear"/>
          </w:tcPr>
          <w:p>
            <w:pPr>
              <w:jc w:val="center"/>
            </w:pPr>
            <w:r>
              <w:rPr>
                <w:sz w:val="17"/>
              </w:rPr>
              <w:t>4</w:t>
            </w:r>
          </w:p>
        </w:tc>
      </w:tr>
      <w:tr>
        <w:tc>
          <w:tcPr>
            <w:tcW w:type="dxa" w:w="2880"/>
          </w:tcPr>
          <w:p>
            <w:pPr>
              <w:jc w:val="left"/>
            </w:pPr>
            <w:r>
              <w:rPr>
                <w:sz w:val="17"/>
              </w:rPr>
              <w:t>Predicho: No Violencia</w:t>
            </w:r>
          </w:p>
        </w:tc>
        <w:tc>
          <w:tcPr>
            <w:tcW w:type="dxa" w:w="2160"/>
          </w:tcPr>
          <w:p>
            <w:pPr>
              <w:jc w:val="center"/>
            </w:pPr>
            <w:r>
              <w:rPr>
                <w:sz w:val="17"/>
              </w:rPr>
              <w:t>10</w:t>
            </w:r>
          </w:p>
        </w:tc>
        <w:tc>
          <w:tcPr>
            <w:tcW w:type="dxa" w:w="2160"/>
          </w:tcPr>
          <w:p>
            <w:pPr>
              <w:jc w:val="center"/>
            </w:pPr>
            <w:r>
              <w:rPr>
                <w:sz w:val="17"/>
              </w:rPr>
              <w:t>35</w:t>
            </w:r>
          </w:p>
        </w:tc>
      </w:tr>
    </w:tbl>
    <w:p/>
    <w:p>
      <w:pPr>
        <w:jc w:val="center"/>
      </w:pPr>
      <w:r>
        <w:drawing>
          <wp:inline xmlns:a="http://schemas.openxmlformats.org/drawingml/2006/main" xmlns:pic="http://schemas.openxmlformats.org/drawingml/2006/picture">
            <wp:extent cx="5029200" cy="400409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4004096"/>
                    </a:xfrm>
                    <a:prstGeom prst="rect"/>
                  </pic:spPr>
                </pic:pic>
              </a:graphicData>
            </a:graphic>
          </wp:inline>
        </w:drawing>
      </w:r>
    </w:p>
    <w:p>
      <w:pPr>
        <w:jc w:val="center"/>
      </w:pPr>
      <w:r>
        <w:rPr>
          <w:i/>
          <w:color w:val="7F8C8D"/>
          <w:sz w:val="16"/>
        </w:rPr>
        <w:t>Figura 5 — Visualización de la matriz de confusión</w:t>
      </w:r>
    </w:p>
    <w:p>
      <w:pPr>
        <w:pStyle w:val="Heading2"/>
      </w:pPr>
      <w:r>
        <w:t>¿Qué significan estas métricas?</w:t>
      </w:r>
    </w:p>
    <w:p>
      <w:r>
        <w:rPr>
          <w:b w:val="0"/>
          <w:i w:val="0"/>
          <w:sz w:val="21"/>
        </w:rPr>
        <w:t>A partir de la matriz de confusión se derivan tres indicadores de rendimiento que resumen la capacidad del clasificador en un solo número.</w:t>
      </w:r>
    </w:p>
    <w:p>
      <w:pPr>
        <w:pStyle w:val="Heading3"/>
      </w:pPr>
      <w:r>
        <w:t>Precisión</w:t>
      </w:r>
    </w:p>
    <w:p>
      <w:r>
        <w:rPr>
          <w:b w:val="0"/>
          <w:i w:val="0"/>
          <w:sz w:val="21"/>
        </w:rPr>
        <w:t>La precisión mide: «de todos los contenidos que el sistema marcó como violentos, ¿cuántos realmente lo son?». Se calcula como VP / (VP + FP). En nuestro caso: 9 / (9 + 4) = 0.6923, es decir, 69.2%. Esto significa que cuando el sistema etiqueta un contenido como violento, acierta aproximadamente 7 de cada 10 veces. Es una precisión moderada: no es perfecta, pero tampoco es deficiente.</w:t>
      </w:r>
    </w:p>
    <w:p>
      <w:pPr>
        <w:pStyle w:val="Heading3"/>
      </w:pPr>
      <w:r>
        <w:t>Sensibilidad (Recall)</w:t>
      </w:r>
    </w:p>
    <w:p>
      <w:r>
        <w:rPr>
          <w:b w:val="0"/>
          <w:i w:val="0"/>
          <w:sz w:val="21"/>
        </w:rPr>
        <w:t>La sensibilidad mide: «de todos los contenidos que realmente son violentos, ¿cuántos logra detectar el sistema?». Se calcula como VP / (VP + FN). En nuestro caso: 9 / (9 + 10) = 0.4737, es decir, 47.4%. Este es el indicador más preocupante: el sistema solo detecta poco menos de la mitad de la violencia real. Los 10 falsos negativos representan contenido violento que pasó inadvertido para el clasificador.</w:t>
      </w:r>
    </w:p>
    <w:p>
      <w:pPr>
        <w:pStyle w:val="Heading3"/>
      </w:pPr>
      <w:r>
        <w:t>F1-Score</w:t>
      </w:r>
    </w:p>
    <w:p>
      <w:r>
        <w:rPr>
          <w:b w:val="0"/>
          <w:i w:val="0"/>
          <w:sz w:val="21"/>
        </w:rPr>
        <w:t>El F1-Score es la media armónica entre precisión y sensibilidad. Su valor oscila entre 0 (peor caso) y 1 (perfecto). En nuestro caso: 0.5625, es decir, 56.2%. Esta cifra refleja el equilibrio entre ambos extremos: el sistema no es excesivamente permisivo (que generaría muchos FP) ni excesivamente restrictivo (que generarían muchos FN). Sin embargo, un F1-Score por debajo del 60% sugiere que hay un margen significativo de mejora en la calibración del modelo.</w:t>
      </w:r>
    </w:p>
    <w:p>
      <w:pPr>
        <w:pStyle w:val="Heading3"/>
      </w:pPr>
      <w:r>
        <w:t>Soporte</w:t>
      </w:r>
    </w:p>
    <w:p>
      <w:r>
        <w:rPr>
          <w:b w:val="0"/>
          <w:i w:val="0"/>
          <w:sz w:val="21"/>
        </w:rPr>
        <w:t>El soporte indica cuántos casos fueron evaluados para construir estas métricas. En este caso: 58 revisiones humanas vinculadas a predicciones del sistema. Un soporte mayor proporciona estimaciones más estables y representativas.</w:t>
      </w:r>
    </w:p>
    <w:p>
      <w:pPr>
        <w:pStyle w:val="Heading2"/>
      </w:pPr>
      <w:r>
        <w:t>Tabla resumen de métricas</w:t>
      </w:r>
    </w:p>
    <w:tbl>
      <w:tblPr>
        <w:tblStyle w:val="TableGrid"/>
        <w:tblW w:type="auto" w:w="0"/>
        <w:jc w:val="center"/>
        <w:tblLook w:firstColumn="1" w:firstRow="1" w:lastColumn="0" w:lastRow="0" w:noHBand="0" w:noVBand="1" w:val="04A0"/>
      </w:tblPr>
      <w:tblGrid>
        <w:gridCol w:w="3010"/>
        <w:gridCol w:w="3010"/>
        <w:gridCol w:w="3010"/>
      </w:tblGrid>
      <w:tr>
        <w:tc>
          <w:tcPr>
            <w:tcW w:type="dxa" w:w="2880"/>
            <w:shd w:fill="2C3E50" w:val="clear"/>
            <w:vAlign w:val="center"/>
          </w:tcPr>
          <w:p>
            <w:pPr>
              <w:jc w:val="center"/>
            </w:pPr>
            <w:r>
              <w:rPr>
                <w:b/>
                <w:color w:val="FFFFFF"/>
                <w:sz w:val="18"/>
              </w:rPr>
              <w:t>Métrica</w:t>
            </w:r>
          </w:p>
        </w:tc>
        <w:tc>
          <w:tcPr>
            <w:tcW w:type="dxa" w:w="1728"/>
            <w:shd w:fill="2C3E50" w:val="clear"/>
            <w:vAlign w:val="center"/>
          </w:tcPr>
          <w:p>
            <w:pPr>
              <w:jc w:val="center"/>
            </w:pPr>
            <w:r>
              <w:rPr>
                <w:b/>
                <w:color w:val="FFFFFF"/>
                <w:sz w:val="18"/>
              </w:rPr>
              <w:t>Valor</w:t>
            </w:r>
          </w:p>
        </w:tc>
        <w:tc>
          <w:tcPr>
            <w:tcW w:type="dxa" w:w="4608"/>
            <w:shd w:fill="2C3E50" w:val="clear"/>
            <w:vAlign w:val="center"/>
          </w:tcPr>
          <w:p>
            <w:pPr>
              <w:jc w:val="center"/>
            </w:pPr>
            <w:r>
              <w:rPr>
                <w:b/>
                <w:color w:val="FFFFFF"/>
                <w:sz w:val="18"/>
              </w:rPr>
              <w:t>Interpretación</w:t>
            </w:r>
          </w:p>
        </w:tc>
      </w:tr>
      <w:tr>
        <w:tc>
          <w:tcPr>
            <w:tcW w:type="dxa" w:w="2880"/>
            <w:shd w:fill="ECF0F1" w:val="clear"/>
          </w:tcPr>
          <w:p>
            <w:pPr>
              <w:jc w:val="left"/>
            </w:pPr>
            <w:r>
              <w:rPr>
                <w:sz w:val="17"/>
              </w:rPr>
              <w:t>Verdaderos Positivos (VP)</w:t>
            </w:r>
          </w:p>
        </w:tc>
        <w:tc>
          <w:tcPr>
            <w:tcW w:type="dxa" w:w="1728"/>
            <w:shd w:fill="ECF0F1" w:val="clear"/>
          </w:tcPr>
          <w:p>
            <w:pPr>
              <w:jc w:val="center"/>
            </w:pPr>
            <w:r>
              <w:rPr>
                <w:sz w:val="17"/>
              </w:rPr>
              <w:t>9</w:t>
            </w:r>
          </w:p>
        </w:tc>
        <w:tc>
          <w:tcPr>
            <w:tcW w:type="dxa" w:w="4608"/>
            <w:shd w:fill="ECF0F1" w:val="clear"/>
          </w:tcPr>
          <w:p>
            <w:pPr>
              <w:jc w:val="center"/>
            </w:pPr>
            <w:r>
              <w:rPr>
                <w:sz w:val="17"/>
              </w:rPr>
              <w:t>Aciertos en clase violenta</w:t>
            </w:r>
          </w:p>
        </w:tc>
      </w:tr>
      <w:tr>
        <w:tc>
          <w:tcPr>
            <w:tcW w:type="dxa" w:w="2880"/>
          </w:tcPr>
          <w:p>
            <w:pPr>
              <w:jc w:val="left"/>
            </w:pPr>
            <w:r>
              <w:rPr>
                <w:sz w:val="17"/>
              </w:rPr>
              <w:t>Verdaderos Negativos (VN)</w:t>
            </w:r>
          </w:p>
        </w:tc>
        <w:tc>
          <w:tcPr>
            <w:tcW w:type="dxa" w:w="1728"/>
          </w:tcPr>
          <w:p>
            <w:pPr>
              <w:jc w:val="center"/>
            </w:pPr>
            <w:r>
              <w:rPr>
                <w:sz w:val="17"/>
              </w:rPr>
              <w:t>35</w:t>
            </w:r>
          </w:p>
        </w:tc>
        <w:tc>
          <w:tcPr>
            <w:tcW w:type="dxa" w:w="4608"/>
          </w:tcPr>
          <w:p>
            <w:pPr>
              <w:jc w:val="center"/>
            </w:pPr>
            <w:r>
              <w:rPr>
                <w:sz w:val="17"/>
              </w:rPr>
              <w:t>Aciertos en clase no violenta</w:t>
            </w:r>
          </w:p>
        </w:tc>
      </w:tr>
      <w:tr>
        <w:tc>
          <w:tcPr>
            <w:tcW w:type="dxa" w:w="2880"/>
            <w:shd w:fill="ECF0F1" w:val="clear"/>
          </w:tcPr>
          <w:p>
            <w:pPr>
              <w:jc w:val="left"/>
            </w:pPr>
            <w:r>
              <w:rPr>
                <w:sz w:val="17"/>
              </w:rPr>
              <w:t>Falsos Positivos (FP)</w:t>
            </w:r>
          </w:p>
        </w:tc>
        <w:tc>
          <w:tcPr>
            <w:tcW w:type="dxa" w:w="1728"/>
            <w:shd w:fill="ECF0F1" w:val="clear"/>
          </w:tcPr>
          <w:p>
            <w:pPr>
              <w:jc w:val="center"/>
            </w:pPr>
            <w:r>
              <w:rPr>
                <w:sz w:val="17"/>
              </w:rPr>
              <w:t>4</w:t>
            </w:r>
          </w:p>
        </w:tc>
        <w:tc>
          <w:tcPr>
            <w:tcW w:type="dxa" w:w="4608"/>
            <w:shd w:fill="ECF0F1" w:val="clear"/>
          </w:tcPr>
          <w:p>
            <w:pPr>
              <w:jc w:val="center"/>
            </w:pPr>
            <w:r>
              <w:rPr>
                <w:sz w:val="17"/>
              </w:rPr>
              <w:t>Marcado incorrectamente como violento</w:t>
            </w:r>
          </w:p>
        </w:tc>
      </w:tr>
      <w:tr>
        <w:tc>
          <w:tcPr>
            <w:tcW w:type="dxa" w:w="2880"/>
          </w:tcPr>
          <w:p>
            <w:pPr>
              <w:jc w:val="left"/>
            </w:pPr>
            <w:r>
              <w:rPr>
                <w:sz w:val="17"/>
              </w:rPr>
              <w:t>Falsos Negativos (FN)</w:t>
            </w:r>
          </w:p>
        </w:tc>
        <w:tc>
          <w:tcPr>
            <w:tcW w:type="dxa" w:w="1728"/>
          </w:tcPr>
          <w:p>
            <w:pPr>
              <w:jc w:val="center"/>
            </w:pPr>
            <w:r>
              <w:rPr>
                <w:sz w:val="17"/>
              </w:rPr>
              <w:t>10</w:t>
            </w:r>
          </w:p>
        </w:tc>
        <w:tc>
          <w:tcPr>
            <w:tcW w:type="dxa" w:w="4608"/>
          </w:tcPr>
          <w:p>
            <w:pPr>
              <w:jc w:val="center"/>
            </w:pPr>
            <w:r>
              <w:rPr>
                <w:sz w:val="17"/>
              </w:rPr>
              <w:t>Violencia no detectada (error grave)</w:t>
            </w:r>
          </w:p>
        </w:tc>
      </w:tr>
      <w:tr>
        <w:tc>
          <w:tcPr>
            <w:tcW w:type="dxa" w:w="2880"/>
            <w:shd w:fill="ECF0F1" w:val="clear"/>
          </w:tcPr>
          <w:p>
            <w:pPr>
              <w:jc w:val="left"/>
            </w:pPr>
            <w:r>
              <w:rPr>
                <w:sz w:val="17"/>
              </w:rPr>
              <w:t>Precisión</w:t>
            </w:r>
          </w:p>
        </w:tc>
        <w:tc>
          <w:tcPr>
            <w:tcW w:type="dxa" w:w="1728"/>
            <w:shd w:fill="ECF0F1" w:val="clear"/>
          </w:tcPr>
          <w:p>
            <w:pPr>
              <w:jc w:val="center"/>
            </w:pPr>
            <w:r>
              <w:rPr>
                <w:sz w:val="17"/>
              </w:rPr>
              <w:t>69.2%</w:t>
            </w:r>
          </w:p>
        </w:tc>
        <w:tc>
          <w:tcPr>
            <w:tcW w:type="dxa" w:w="4608"/>
            <w:shd w:fill="ECF0F1" w:val="clear"/>
          </w:tcPr>
          <w:p>
            <w:pPr>
              <w:jc w:val="center"/>
            </w:pPr>
            <w:r>
              <w:rPr>
                <w:sz w:val="17"/>
              </w:rPr>
              <w:t>9 / (9 + 4)</w:t>
            </w:r>
          </w:p>
        </w:tc>
      </w:tr>
      <w:tr>
        <w:tc>
          <w:tcPr>
            <w:tcW w:type="dxa" w:w="2880"/>
          </w:tcPr>
          <w:p>
            <w:pPr>
              <w:jc w:val="left"/>
            </w:pPr>
            <w:r>
              <w:rPr>
                <w:sz w:val="17"/>
              </w:rPr>
              <w:t>Sensibilidad (Recall)</w:t>
            </w:r>
          </w:p>
        </w:tc>
        <w:tc>
          <w:tcPr>
            <w:tcW w:type="dxa" w:w="1728"/>
          </w:tcPr>
          <w:p>
            <w:pPr>
              <w:jc w:val="center"/>
            </w:pPr>
            <w:r>
              <w:rPr>
                <w:sz w:val="17"/>
              </w:rPr>
              <w:t>47.4%</w:t>
            </w:r>
          </w:p>
        </w:tc>
        <w:tc>
          <w:tcPr>
            <w:tcW w:type="dxa" w:w="4608"/>
          </w:tcPr>
          <w:p>
            <w:pPr>
              <w:jc w:val="center"/>
            </w:pPr>
            <w:r>
              <w:rPr>
                <w:sz w:val="17"/>
              </w:rPr>
              <w:t>9 / (9 + 10)</w:t>
            </w:r>
          </w:p>
        </w:tc>
      </w:tr>
      <w:tr>
        <w:tc>
          <w:tcPr>
            <w:tcW w:type="dxa" w:w="2880"/>
            <w:shd w:fill="ECF0F1" w:val="clear"/>
          </w:tcPr>
          <w:p>
            <w:pPr>
              <w:jc w:val="left"/>
            </w:pPr>
            <w:r>
              <w:rPr>
                <w:sz w:val="17"/>
              </w:rPr>
              <w:t>F1-Score</w:t>
            </w:r>
          </w:p>
        </w:tc>
        <w:tc>
          <w:tcPr>
            <w:tcW w:type="dxa" w:w="1728"/>
            <w:shd w:fill="ECF0F1" w:val="clear"/>
          </w:tcPr>
          <w:p>
            <w:pPr>
              <w:jc w:val="center"/>
            </w:pPr>
            <w:r>
              <w:rPr>
                <w:sz w:val="17"/>
              </w:rPr>
              <w:t>56.2%</w:t>
            </w:r>
          </w:p>
        </w:tc>
        <w:tc>
          <w:tcPr>
            <w:tcW w:type="dxa" w:w="4608"/>
            <w:shd w:fill="ECF0F1" w:val="clear"/>
          </w:tcPr>
          <w:p>
            <w:pPr>
              <w:jc w:val="center"/>
            </w:pPr>
            <w:r>
              <w:rPr>
                <w:sz w:val="17"/>
              </w:rPr>
              <w:t>Media armónica de precisión y sensibilidad</w:t>
            </w:r>
          </w:p>
        </w:tc>
      </w:tr>
      <w:tr>
        <w:tc>
          <w:tcPr>
            <w:tcW w:type="dxa" w:w="2880"/>
          </w:tcPr>
          <w:p>
            <w:pPr>
              <w:jc w:val="left"/>
            </w:pPr>
            <w:r>
              <w:rPr>
                <w:sz w:val="17"/>
              </w:rPr>
              <w:t>Soporte total</w:t>
            </w:r>
          </w:p>
        </w:tc>
        <w:tc>
          <w:tcPr>
            <w:tcW w:type="dxa" w:w="1728"/>
          </w:tcPr>
          <w:p>
            <w:pPr>
              <w:jc w:val="center"/>
            </w:pPr>
            <w:r>
              <w:rPr>
                <w:sz w:val="17"/>
              </w:rPr>
              <w:t>58</w:t>
            </w:r>
          </w:p>
        </w:tc>
        <w:tc>
          <w:tcPr>
            <w:tcW w:type="dxa" w:w="4608"/>
          </w:tcPr>
          <w:p>
            <w:pPr>
              <w:jc w:val="center"/>
            </w:pPr>
            <w:r>
              <w:rPr>
                <w:sz w:val="17"/>
              </w:rPr>
              <w:t>Revisiones humanas evaluadas</w:t>
            </w:r>
          </w:p>
        </w:tc>
      </w:tr>
    </w:tbl>
    <w:p/>
    <w:p>
      <w:pPr>
        <w:pStyle w:val="Heading2"/>
      </w:pPr>
      <w:r>
        <w:t>Observaciones y recomendaciones</w:t>
      </w:r>
    </w:p>
    <w:p>
      <w:pPr>
        <w:pStyle w:val="ListBullet"/>
      </w:pPr>
      <w:r>
        <w:rPr>
          <w:b/>
          <w:sz w:val="20"/>
        </w:rPr>
        <w:t xml:space="preserve">Perfil del clasificador: </w:t>
      </w:r>
      <w:r>
        <w:rPr>
          <w:sz w:val="20"/>
        </w:rPr>
        <w:t>El sistema presenta un perfil conservador: su precisión (69.2%) es mayor que su sensibilidad (47.4%). En la práctica, esto significa que cuando el sistema clasifica algo como violento, suele tener razón; pero se le escapa una proporción significativa de contenido violento real. Para un sistema de monitoreo de violencia de género, esta asimetría es problemática porque implica subregistro.</w:t>
      </w:r>
    </w:p>
    <w:p>
      <w:pPr>
        <w:pStyle w:val="ListBullet"/>
      </w:pPr>
      <w:r>
        <w:rPr>
          <w:b/>
          <w:sz w:val="20"/>
        </w:rPr>
        <w:t xml:space="preserve">Falsos negativos: </w:t>
      </w:r>
      <w:r>
        <w:rPr>
          <w:sz w:val="20"/>
        </w:rPr>
        <w:t>Los 10 falsos negativos son la prioridad de mejora. Cada uno representa contenido violento que el sistema no logró identificar. Las causas posibles incluyen: lenguaje implícito o codificado que el modelo no reconoce, violencia que se manifiesta más en el contexto que en el texto, o prompts de clasificación que priorizan la precisión sobre la exhaustividad.</w:t>
      </w:r>
    </w:p>
    <w:p>
      <w:pPr>
        <w:pStyle w:val="ListBullet"/>
      </w:pPr>
      <w:r>
        <w:rPr>
          <w:b/>
          <w:sz w:val="20"/>
        </w:rPr>
        <w:t xml:space="preserve">Falsos positivos: </w:t>
      </w:r>
      <w:r>
        <w:rPr>
          <w:sz w:val="20"/>
        </w:rPr>
        <w:t>Los 4 falsos positivos, aunque menos graves, también merecen atención. Pueden deberse a contenido que menciona violencia de género en contexto de denuncia o análisis, y que el sistema confunde con contenido propiamente violento.</w:t>
      </w:r>
    </w:p>
    <w:p>
      <w:pPr>
        <w:pStyle w:val="ListBullet"/>
      </w:pPr>
      <w:r>
        <w:rPr>
          <w:b/>
          <w:sz w:val="20"/>
        </w:rPr>
        <w:t xml:space="preserve">Recomendación: </w:t>
      </w:r>
      <w:r>
        <w:rPr>
          <w:sz w:val="20"/>
        </w:rPr>
        <w:t>Se recomienda reajustar los prompts de clasificación para aumentar la sensibilidad a costa de una ligera reducción de precisión. En detección de contenido dañino, es preferible generar algunos falsos positivos antes que dejar pasar violencia real. Además, continuar alimentando ChromaDB con las correcciones humanas (los 21 desacuerdos registrados) debería mejorar progresivamente el rendimiento del clasificador RAG.</w:t>
      </w:r>
    </w:p>
    <w:p>
      <w:r>
        <w:br w:type="page"/>
      </w:r>
    </w:p>
    <w:p>
      <w:r>
        <w:br w:type="page"/>
      </w:r>
    </w:p>
    <w:p>
      <w:pPr>
        <w:pStyle w:val="Heading1"/>
      </w:pPr>
      <w:r>
        <w:t>Conclusiones</w:t>
      </w:r>
    </w:p>
    <w:p>
      <w:r>
        <w:rPr>
          <w:b w:val="0"/>
          <w:i w:val="0"/>
          <w:sz w:val="21"/>
        </w:rPr>
        <w:t>El análisis estadístico de los 69 registros del corpus permite esbozar las siguientes conclusiones provisionales:</w:t>
      </w:r>
    </w:p>
    <w:p>
      <w:pPr>
        <w:pStyle w:val="ListBullet"/>
      </w:pPr>
      <w:r>
        <w:rPr>
          <w:b/>
          <w:sz w:val="20"/>
        </w:rPr>
        <w:t xml:space="preserve">Composición del corpus: </w:t>
      </w:r>
      <w:r>
        <w:rPr>
          <w:sz w:val="20"/>
        </w:rPr>
        <w:t>El dataset analizado contiene 69 registros, de los cuales el 21.7% fue clasificado como contenido violento por razones de género. La categoría predominante es «Violencia Simbólica», lo que sugiere que formas de violencia simbólica (minimización, trivialización, estereotipos) son las más extendidas en las páginas muestreadas.</w:t>
      </w:r>
    </w:p>
    <w:p>
      <w:pPr>
        <w:pStyle w:val="ListBullet"/>
      </w:pPr>
      <w:r>
        <w:rPr>
          <w:b/>
          <w:sz w:val="20"/>
        </w:rPr>
        <w:t xml:space="preserve">Calidad de la extracción: </w:t>
      </w:r>
      <w:r>
        <w:rPr>
          <w:sz w:val="20"/>
        </w:rPr>
        <w:t>La fiabilidad de datos es CRÍTICA: el 17.39% del dataset corresponde a basura digital, muy por encima del umbral del 10%. El scraper necesita revisión urgente para evitar descargar contenido multimedia sin texto analizable.</w:t>
      </w:r>
    </w:p>
    <w:p>
      <w:pPr>
        <w:pStyle w:val="ListBullet"/>
      </w:pPr>
      <w:r>
        <w:rPr>
          <w:b/>
          <w:sz w:val="20"/>
        </w:rPr>
        <w:t xml:space="preserve">Rendimiento del clasificador: </w:t>
      </w:r>
      <w:r>
        <w:rPr>
          <w:sz w:val="20"/>
        </w:rPr>
        <w:t>El clasificador RAG alcanza una precisión del 69.2% pero una sensibilidad del 47.4%, con un F1-Score de 56.2%. El sistema es más confiable cuando dice que algo es violentо de cuando dice que no lo es. Esta asimetría debe corregirse priorizando la detección de falsos negativos.</w:t>
      </w:r>
    </w:p>
    <w:p>
      <w:pPr>
        <w:pStyle w:val="ListBullet"/>
      </w:pPr>
      <w:r>
        <w:rPr>
          <w:b/>
          <w:sz w:val="20"/>
        </w:rPr>
        <w:t xml:space="preserve">Validación humana: </w:t>
      </w:r>
      <w:r>
        <w:rPr>
          <w:sz w:val="20"/>
        </w:rPr>
        <w:t>El 100.0% del dataset ha sido validado por humanos, con una tasa de acuerdo del 61.8%. El 30.4% de contenidos requirió corrección manual. Las correcciones con desacuerdo deben indexarse en ChromaDB como ejemplos few-shot para cerrar la brecha entre la clasificación automática y el criterio humano.</w:t>
      </w:r>
    </w:p>
    <w:p>
      <w:pPr>
        <w:pStyle w:val="Heading2"/>
      </w:pPr>
      <w:r>
        <w:t>Recomendaciones</w:t>
      </w:r>
    </w:p>
    <w:p>
      <w:pPr>
        <w:pStyle w:val="ListBullet"/>
      </w:pPr>
      <w:r>
        <w:rPr>
          <w:b/>
          <w:sz w:val="20"/>
        </w:rPr>
        <w:t xml:space="preserve">Mejora del scraper: </w:t>
      </w:r>
      <w:r>
        <w:rPr>
          <w:sz w:val="20"/>
        </w:rPr>
        <w:t>Implementar un filtro previo en el scraper que descarte payloads vacíos antes de persistirlos, reduciendo así la basura digital y mejorando la eficiencia del pipeline.</w:t>
      </w:r>
    </w:p>
    <w:p>
      <w:pPr>
        <w:pStyle w:val="ListBullet"/>
      </w:pPr>
      <w:r>
        <w:rPr>
          <w:b/>
          <w:sz w:val="20"/>
        </w:rPr>
        <w:t xml:space="preserve">Calibración del modelo: </w:t>
      </w:r>
      <w:r>
        <w:rPr>
          <w:sz w:val="20"/>
        </w:rPr>
        <w:t>Ajustar los prompts de clasificación para priorizar la sensibilidad sobre la precisión. En un dominio como la violencia de género, es más costoso dejar pasar contenido violento que marcar erróneamente contenido no violento.</w:t>
      </w:r>
    </w:p>
    <w:p>
      <w:pPr>
        <w:pStyle w:val="ListBullet"/>
      </w:pPr>
      <w:r>
        <w:rPr>
          <w:b/>
          <w:sz w:val="20"/>
        </w:rPr>
        <w:t xml:space="preserve">Retroalimentación RAG: </w:t>
      </w:r>
      <w:r>
        <w:rPr>
          <w:sz w:val="20"/>
        </w:rPr>
        <w:t>Indexar los 21 desacuerdos registrados en ChromaDB para enriquecer la base de ejemplos few-shot del RAGClassifier, lo que debería mejorar las clasificaciones futuras de forma iterativa.</w:t>
      </w:r>
    </w:p>
    <w:p>
      <w:pPr>
        <w:pStyle w:val="ListBullet"/>
      </w:pPr>
      <w:r>
        <w:rPr>
          <w:b/>
          <w:sz w:val="20"/>
        </w:rPr>
        <w:t xml:space="preserve">Cobertura de validación: </w:t>
      </w:r>
      <w:r>
        <w:rPr>
          <w:sz w:val="20"/>
        </w:rPr>
        <w:t>Continuar con el proceso de validación humana hasta alcanzar al menos el 80% de cobertura efectiva del dataset (actualmente el 100% está revisado pero con una muestra pequeña de 69 registros). Con un corpus más amplio, la validación será aún más valiosa.</w:t>
      </w:r>
    </w:p>
    <w:p>
      <w:pPr>
        <w:pStyle w:val="ListBullet"/>
      </w:pPr>
      <w:r>
        <w:rPr>
          <w:b/>
          <w:sz w:val="20"/>
        </w:rPr>
        <w:t xml:space="preserve">Ampliación de la muestra: </w:t>
      </w:r>
      <w:r>
        <w:rPr>
          <w:sz w:val="20"/>
        </w:rPr>
        <w:t>Dado que la muestra actual es reducida (69 registros de 2 páginas), se recomienda ampliar el muestreo a un mayor número de páginas y un período temporal más extenso para obtener conclusiones más generalizables.</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