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ywsojyxtnb4p"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Grooming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cejhcunhwa2"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80sq2t35ukz"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7.2.23</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View groomer schedule</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9/13/2018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10/1/2018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Customer, Pet Staff</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user will view the schedule for all groomers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User request</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has permissions to access to the groomer schedule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User is connected to the schedule database server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user is viewing the groomer schedule</w:t>
            </w:r>
          </w:p>
        </w:tc>
      </w:tr>
      <w:tr>
        <w:trPr>
          <w:trHeight w:val="20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User requests to view the groomer schedule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The Program requests the schedule from the server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The server returns the requested data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     The schedule is displayed on screen.</w:t>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right"/>
              <w:rPr>
                <w:b w:val="1"/>
              </w:rPr>
            </w:pPr>
            <w:r w:rsidDel="00000000" w:rsidR="00000000" w:rsidRPr="00000000">
              <w:rPr>
                <w:b w:val="1"/>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1a. The user may limit results to just themselves on the search</w:t>
            </w:r>
          </w:p>
        </w:tc>
      </w:tr>
      <w:tr>
        <w:trPr>
          <w:trHeight w:val="40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1a. The user doesn’t have permissions necessary to view it</w:t>
            </w:r>
          </w:p>
          <w:p w:rsidR="00000000" w:rsidDel="00000000" w:rsidP="00000000" w:rsidRDefault="00000000" w:rsidRPr="00000000" w14:paraId="00000045">
            <w:pPr>
              <w:ind w:left="420" w:firstLine="0"/>
              <w:rPr>
                <w:color w:val="a6a6a6"/>
              </w:rPr>
            </w:pPr>
            <w:r w:rsidDel="00000000" w:rsidR="00000000" w:rsidRPr="00000000">
              <w:rPr>
                <w:color w:val="a6a6a6"/>
                <w:rtl w:val="0"/>
              </w:rPr>
              <w:t xml:space="preserve">1.      The program displays an error message</w:t>
            </w:r>
          </w:p>
          <w:p w:rsidR="00000000" w:rsidDel="00000000" w:rsidP="00000000" w:rsidRDefault="00000000" w:rsidRPr="00000000" w14:paraId="00000046">
            <w:pPr>
              <w:ind w:left="420" w:firstLine="0"/>
              <w:rPr>
                <w:color w:val="a6a6a6"/>
              </w:rPr>
            </w:pPr>
            <w:r w:rsidDel="00000000" w:rsidR="00000000" w:rsidRPr="00000000">
              <w:rPr>
                <w:color w:val="a6a6a6"/>
                <w:rtl w:val="0"/>
              </w:rPr>
              <w:t xml:space="preserve">2.      Return to step 1</w:t>
            </w:r>
          </w:p>
          <w:p w:rsidR="00000000" w:rsidDel="00000000" w:rsidP="00000000" w:rsidRDefault="00000000" w:rsidRPr="00000000" w14:paraId="00000047">
            <w:pPr>
              <w:rPr>
                <w:color w:val="a6a6a6"/>
              </w:rPr>
            </w:pPr>
            <w:r w:rsidDel="00000000" w:rsidR="00000000" w:rsidRPr="00000000">
              <w:rPr>
                <w:color w:val="a6a6a6"/>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2a. In step 2, if the server cannot be connected to.</w:t>
            </w:r>
          </w:p>
          <w:p w:rsidR="00000000" w:rsidDel="00000000" w:rsidP="00000000" w:rsidRDefault="00000000" w:rsidRPr="00000000" w14:paraId="00000049">
            <w:pPr>
              <w:ind w:left="420" w:firstLine="0"/>
              <w:rPr>
                <w:color w:val="a6a6a6"/>
              </w:rPr>
            </w:pPr>
            <w:r w:rsidDel="00000000" w:rsidR="00000000" w:rsidRPr="00000000">
              <w:rPr>
                <w:color w:val="a6a6a6"/>
                <w:rtl w:val="0"/>
              </w:rPr>
              <w:t xml:space="preserve">1.      The program displays an error message</w:t>
            </w:r>
          </w:p>
          <w:p w:rsidR="00000000" w:rsidDel="00000000" w:rsidP="00000000" w:rsidRDefault="00000000" w:rsidRPr="00000000" w14:paraId="0000004A">
            <w:pPr>
              <w:ind w:left="420" w:firstLine="0"/>
              <w:rPr>
                <w:color w:val="a6a6a6"/>
              </w:rPr>
            </w:pPr>
            <w:r w:rsidDel="00000000" w:rsidR="00000000" w:rsidRPr="00000000">
              <w:rPr>
                <w:color w:val="a6a6a6"/>
                <w:rtl w:val="0"/>
              </w:rPr>
              <w:t xml:space="preserve">2.      Return to step 1</w:t>
            </w:r>
          </w:p>
          <w:p w:rsidR="00000000" w:rsidDel="00000000" w:rsidP="00000000" w:rsidRDefault="00000000" w:rsidRPr="00000000" w14:paraId="0000004B">
            <w:pPr>
              <w:rPr>
                <w:color w:val="a6a6a6"/>
              </w:rPr>
            </w:pPr>
            <w:r w:rsidDel="00000000" w:rsidR="00000000" w:rsidRPr="00000000">
              <w:rPr>
                <w:color w:val="a6a6a6"/>
                <w:rtl w:val="0"/>
              </w:rPr>
              <w:t xml:space="preserve"> </w:t>
            </w:r>
          </w:p>
        </w:tc>
      </w:tr>
      <w:tr>
        <w:trPr>
          <w:trHeight w:val="21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