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ReadEventTalent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ReadEventTalent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who the Talent is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searches for the Event or the Talent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Talent and the Event they re performing at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Talent performing at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Talent performing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The Guest requests to see a Talent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information about the 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