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Server Recipe Browse</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2.2.15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Recipes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Server, Recipe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details on all recipes in the database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listview of all recipes </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viewing recipes by clicking a button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recipes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recipes into a listview window for user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a listview to user, allowing for them to exit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 database query fails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prints an error message to user and awaits acknowledgement </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A">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F">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4">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9">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E">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