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Chef Recipe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2.2.04 View Recipes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Recipes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Cook, Recipe 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details on all recipes in the database</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Logs into the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must have valid login</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listview of all recipes </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successfully logs into the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selects viewing recipes by clicking a button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queries database for recipes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formats recipes into a listview window for user</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presents a listview to user, allowing for them to exit the window</w:t>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F">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2a) The database query fails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2b) The system prints an error message to user and awaits acknowledgement </w:t>
            </w: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A">
            <w:pPr>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c>
          <w:tcPr>
            <w:gridSpan w:val="2"/>
          </w:tcPr>
          <w:p w:rsidR="00000000" w:rsidDel="00000000" w:rsidP="00000000" w:rsidRDefault="00000000" w:rsidRPr="00000000" w14:paraId="0000004D">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F">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4">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7">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9">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C">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E">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