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60" w:before="240" w:line="240" w:lineRule="auto"/>
        <w:ind w:left="432" w:right="0" w:hanging="432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Manager View Maintenance Work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View Maintenance Work Orders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Manager, Maintenance system(secondary)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Allow user to view all maintenance work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logs into the maintenance system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User enters a valid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browsing a list of current maintenance work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logs into the maintenance system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to pull up all current </w:t>
            </w:r>
            <w:r w:rsidDel="00000000" w:rsidR="00000000" w:rsidRPr="00000000">
              <w:rPr>
                <w:rtl w:val="0"/>
              </w:rPr>
              <w:t xml:space="preserve">work orders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provides a list to user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2)Database query fails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2a) System prints an error message alerting user of a problem and awaits user acknowledgement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2b)System returns to basic flow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Maintenance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3+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There is an existing maintenance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Some sort of color coded status tracking?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