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rtl w:val="0"/>
        </w:rPr>
        <w:t xml:space="preserve">(Browse Order Supply)</w:t>
      </w:r>
    </w:p>
    <w:p w:rsidR="00000000" w:rsidDel="00000000" w:rsidP="00000000" w:rsidRDefault="00000000" w:rsidRPr="00000000" w14:paraId="00000002">
      <w:pPr>
        <w:pStyle w:val="Heading2"/>
        <w:numPr>
          <w:ilvl w:val="1"/>
          <w:numId w:val="4"/>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4"/>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2.2.51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Browse Order Supply</w:t>
            </w:r>
            <w:r w:rsidDel="00000000" w:rsidR="00000000" w:rsidRPr="00000000">
              <w:rPr>
                <w:rtl w:val="0"/>
              </w:rPr>
            </w:r>
          </w:p>
        </w:tc>
      </w:tr>
      <w:tr>
        <w:trPr>
          <w:trHeight w:val="240" w:hRule="atLeast"/>
        </w:trP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b w:val="1"/>
              </w:rPr>
            </w:pPr>
            <w:r w:rsidDel="00000000" w:rsidR="00000000" w:rsidRPr="00000000">
              <w:rPr>
                <w:rtl w:val="0"/>
              </w:rPr>
              <w:t xml:space="preserve">Craig Barkley</w:t>
            </w: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Jeff Stobb</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2018-09-20</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2018-11-09</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0"/>
                <w:szCs w:val="20"/>
                <w:highlight w:val="white"/>
                <w:u w:val="none"/>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sz w:val="22"/>
                <w:szCs w:val="22"/>
                <w:rtl w:val="0"/>
              </w:rPr>
              <w:t xml:space="preserve">Browse order supplies </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needs to access order to do work.</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can prioritize work from Order view.</w:t>
            </w:r>
            <w:r w:rsidDel="00000000" w:rsidR="00000000" w:rsidRPr="00000000">
              <w:rPr>
                <w:rtl w:val="0"/>
              </w:rPr>
            </w:r>
          </w:p>
        </w:tc>
      </w:tr>
      <w:tr>
        <w:trPr>
          <w:trHeight w:val="800" w:hRule="atLeast"/>
        </w:trPr>
        <w:tc>
          <w:tcPr>
            <w:gridSpan w:val="2"/>
          </w:tcPr>
          <w:p w:rsidR="00000000" w:rsidDel="00000000" w:rsidP="00000000" w:rsidRDefault="00000000" w:rsidRPr="00000000" w14:paraId="0000002C">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are logged in to the resort CMS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 to necessary Order views</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have current order details</w:t>
            </w:r>
          </w:p>
          <w:p w:rsidR="00000000" w:rsidDel="00000000" w:rsidP="00000000" w:rsidRDefault="00000000" w:rsidRPr="00000000" w14:paraId="00000037">
            <w:pPr>
              <w:numPr>
                <w:ilvl w:val="0"/>
                <w:numId w:val="6"/>
              </w:numPr>
              <w:ind w:left="360" w:hanging="360"/>
              <w:rPr/>
            </w:pPr>
            <w:r w:rsidDel="00000000" w:rsidR="00000000" w:rsidRPr="00000000">
              <w:rPr>
                <w:rFonts w:ascii="Helvetica Neue" w:cs="Helvetica Neue" w:eastAsia="Helvetica Neue" w:hAnsi="Helvetica Neue"/>
                <w:highlight w:val="white"/>
                <w:rtl w:val="0"/>
              </w:rPr>
              <w:t xml:space="preserve">Personnel </w:t>
            </w:r>
            <w:r w:rsidDel="00000000" w:rsidR="00000000" w:rsidRPr="00000000">
              <w:rPr>
                <w:rtl w:val="0"/>
              </w:rPr>
              <w:t xml:space="preserve">has logged out of system.</w:t>
            </w:r>
          </w:p>
          <w:p w:rsidR="00000000" w:rsidDel="00000000" w:rsidP="00000000" w:rsidRDefault="00000000" w:rsidRPr="00000000" w14:paraId="00000038">
            <w:pPr>
              <w:ind w:left="0" w:firstLine="0"/>
              <w:rPr/>
            </w:pPr>
            <w:r w:rsidDel="00000000" w:rsidR="00000000" w:rsidRPr="00000000">
              <w:rPr>
                <w:rtl w:val="0"/>
              </w:rPr>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D">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E">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username or email.</w:t>
            </w:r>
          </w:p>
          <w:p w:rsidR="00000000" w:rsidDel="00000000" w:rsidP="00000000" w:rsidRDefault="00000000" w:rsidRPr="00000000" w14:paraId="0000003F">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40">
            <w:pPr>
              <w:numPr>
                <w:ilvl w:val="0"/>
                <w:numId w:val="3"/>
              </w:numPr>
              <w:ind w:left="360" w:hanging="360"/>
              <w:rPr/>
            </w:pPr>
            <w:r w:rsidDel="00000000" w:rsidR="00000000" w:rsidRPr="00000000">
              <w:rPr>
                <w:rtl w:val="0"/>
              </w:rPr>
              <w:t xml:space="preserve">System validates personnel.</w:t>
            </w:r>
          </w:p>
          <w:p w:rsidR="00000000" w:rsidDel="00000000" w:rsidP="00000000" w:rsidRDefault="00000000" w:rsidRPr="00000000" w14:paraId="00000041">
            <w:pPr>
              <w:numPr>
                <w:ilvl w:val="0"/>
                <w:numId w:val="3"/>
              </w:numPr>
              <w:ind w:left="360" w:hanging="360"/>
              <w:rPr/>
            </w:pPr>
            <w:r w:rsidDel="00000000" w:rsidR="00000000" w:rsidRPr="00000000">
              <w:rPr>
                <w:rtl w:val="0"/>
              </w:rPr>
              <w:t xml:space="preserve">System prompts user to select event edit view.</w:t>
            </w:r>
          </w:p>
          <w:p w:rsidR="00000000" w:rsidDel="00000000" w:rsidP="00000000" w:rsidRDefault="00000000" w:rsidRPr="00000000" w14:paraId="00000042">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selects current order to view.</w:t>
            </w:r>
          </w:p>
          <w:p w:rsidR="00000000" w:rsidDel="00000000" w:rsidP="00000000" w:rsidRDefault="00000000" w:rsidRPr="00000000" w14:paraId="00000043">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view and print details.</w:t>
            </w:r>
          </w:p>
          <w:p w:rsidR="00000000" w:rsidDel="00000000" w:rsidP="00000000" w:rsidRDefault="00000000" w:rsidRPr="00000000" w14:paraId="00000044">
            <w:pPr>
              <w:numPr>
                <w:ilvl w:val="0"/>
                <w:numId w:val="3"/>
              </w:numPr>
              <w:ind w:left="360" w:hanging="360"/>
              <w:rPr/>
            </w:pPr>
            <w:r w:rsidDel="00000000" w:rsidR="00000000" w:rsidRPr="00000000">
              <w:rPr>
                <w:rtl w:val="0"/>
              </w:rPr>
              <w:t xml:space="preserve">Save updates and close records.</w:t>
            </w:r>
            <w:r w:rsidDel="00000000" w:rsidR="00000000" w:rsidRPr="00000000">
              <w:rPr>
                <w:rtl w:val="0"/>
              </w:rPr>
            </w:r>
          </w:p>
        </w:tc>
      </w:tr>
      <w:tr>
        <w:tc>
          <w:tcPr>
            <w:gridSpan w:val="2"/>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8">
            <w:pPr>
              <w:jc w:val="right"/>
              <w:rPr>
                <w:b w:val="1"/>
              </w:rPr>
            </w:pPr>
            <w:r w:rsidDel="00000000" w:rsidR="00000000" w:rsidRPr="00000000">
              <w:rPr>
                <w:rtl w:val="0"/>
              </w:rPr>
            </w:r>
          </w:p>
        </w:tc>
        <w:tc>
          <w:tcPr>
            <w:gridSpan w:val="3"/>
          </w:tcPr>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1a. In step 4 of the normal flow, if the personnel are not online.</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can request Events Details print off from resort or events manager.</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resumes on step 5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4">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5">
            <w:pPr>
              <w:numPr>
                <w:ilvl w:val="0"/>
                <w:numId w:val="1"/>
              </w:numPr>
              <w:ind w:left="360" w:hanging="360"/>
              <w:rPr/>
            </w:pPr>
            <w:r w:rsidDel="00000000" w:rsidR="00000000" w:rsidRPr="00000000">
              <w:rPr>
                <w:rtl w:val="0"/>
              </w:rPr>
              <w:t xml:space="preserve">Transaction is disapproved</w:t>
            </w:r>
          </w:p>
          <w:p w:rsidR="00000000" w:rsidDel="00000000" w:rsidP="00000000" w:rsidRDefault="00000000" w:rsidRPr="00000000" w14:paraId="00000056">
            <w:pPr>
              <w:numPr>
                <w:ilvl w:val="0"/>
                <w:numId w:val="1"/>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7">
            <w:pPr>
              <w:numPr>
                <w:ilvl w:val="0"/>
                <w:numId w:val="1"/>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8">
            <w:pPr>
              <w:numPr>
                <w:ilvl w:val="0"/>
                <w:numId w:val="1"/>
              </w:numPr>
              <w:ind w:left="360" w:hanging="360"/>
              <w:rPr/>
            </w:pPr>
            <w:r w:rsidDel="00000000" w:rsidR="00000000" w:rsidRPr="00000000">
              <w:rPr>
                <w:rtl w:val="0"/>
              </w:rPr>
              <w:t xml:space="preserve">Use Case resumes on step 4 of normal flow</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D">
            <w:pPr>
              <w:rPr/>
            </w:pPr>
            <w:r w:rsidDel="00000000" w:rsidR="00000000" w:rsidRPr="00000000">
              <w:rPr>
                <w:rtl w:val="0"/>
              </w:rPr>
              <w:t xml:space="preserve">Personnel could also email Current Orders updates. The Manager would also have access to this exact flow since they may be printing out the Event details to those who do not have access to email.</w:t>
            </w:r>
          </w:p>
        </w:tc>
      </w:tr>
      <w:tr>
        <w:tc>
          <w:tcPr>
            <w:gridSpan w:val="2"/>
          </w:tcPr>
          <w:p w:rsidR="00000000" w:rsidDel="00000000" w:rsidP="00000000" w:rsidRDefault="00000000" w:rsidRPr="00000000" w14:paraId="00000060">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0"/>
                <w:szCs w:val="20"/>
                <w:highlight w:val="white"/>
                <w:u w:val="none"/>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Use Case will be executed for Each Event Unless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6">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8">
            <w:pPr>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9">
            <w:pPr>
              <w:rPr/>
            </w:pPr>
            <w:r w:rsidDel="00000000" w:rsidR="00000000" w:rsidRPr="00000000">
              <w:rPr>
                <w:rtl w:val="0"/>
              </w:rPr>
            </w:r>
          </w:p>
        </w:tc>
      </w:tr>
      <w:tr>
        <w:tc>
          <w:tcPr>
            <w:gridSpan w:val="2"/>
          </w:tcPr>
          <w:p w:rsidR="00000000" w:rsidDel="00000000" w:rsidP="00000000" w:rsidRDefault="00000000" w:rsidRPr="00000000" w14:paraId="0000006C">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3">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9">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