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spacing w:after="60" w:before="240" w:lineRule="auto"/>
        <w:ind w:left="360" w:hanging="360"/>
        <w:rPr>
          <w:rFonts w:ascii="Arial" w:cs="Arial" w:eastAsia="Arial" w:hAnsi="Arial"/>
          <w:b w:val="1"/>
          <w:color w:val="00000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Feature Name (Delete Suppliers)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spacing w:after="60" w:befor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Feature Process Flow / Use 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spacing w:after="60" w:befor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Use Case(s)</w:t>
      </w: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0.0" w:type="dxa"/>
        <w:tblLayout w:type="fixed"/>
        <w:tblLook w:val="0400"/>
      </w:tblPr>
      <w:tblGrid>
        <w:gridCol w:w="2085"/>
        <w:gridCol w:w="105"/>
        <w:gridCol w:w="2265"/>
        <w:gridCol w:w="2310"/>
        <w:gridCol w:w="2572"/>
        <w:tblGridChange w:id="0">
          <w:tblGrid>
            <w:gridCol w:w="2085"/>
            <w:gridCol w:w="105"/>
            <w:gridCol w:w="2265"/>
            <w:gridCol w:w="2310"/>
            <w:gridCol w:w="2572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3.4.05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Delete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Eduardo Colon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Alisa Roehr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f2f2f2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2018-11-02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Marketing needs to delete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Marketing wants to delete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must have an active account with role privileges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at Browse menu with inactive records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Supplier is deleted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Normal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selects inactive Supplier on the datagrid.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clicks button “Delete”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prompts user with a confirmation window, warning the action cannot be undone.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selects “Yes”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1a.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has active records selected.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selects Inactive radio button.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 to normal flow step 1.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3a.   In step 3 of the normal flow, if the Marketing enters and invalid Password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63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Transaction is disapproved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63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Message to Marketing to re-enter Password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630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Marketing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enters correct Password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63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 Case resumes on step 6 of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1 -5 times a week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0"/>
                <w:szCs w:val="20"/>
                <w:highlight w:val="white"/>
                <w:rtl w:val="0"/>
              </w:rPr>
              <w:t xml:space="preserve">Marketing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will need to have access to the internet to access delete suppliers.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They have corrected permission to delete suppliers.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