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Naming Conventions: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Presentation Layer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Interface naming conventions: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 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Manager naming conventions: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ClassName: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IxxxManager   -example- IRoomManager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Create: CreateXXX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Read: RetrieveXXX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Update: UpdateXXX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Delete: DeleteXXX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ReadAll: RetrieveAllXXX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Deactivate: DeactivateXXX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Access Layer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Accessor naming conventions: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ClassName: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IxxxAccessor   -example- IRoomAccessor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Create: InsertXXX -example- InsertRoom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Read: SelectXXXbyXXX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Update: UpdateXXX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Delete: DeleteXXX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ReadAll: SelectXX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Deactivate: DeactivateXXX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Layer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Stored procedure naming conventions: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Create: sp_insert_xxx()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Read: sp_select_xxx_by_yyy()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Update: sp_update_xxx()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Delete: sp_delete_xxx()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ReadAll: sp_select_xxx()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Deactivate: sp_deactivate_xxx()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Transfer Objects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TableNames: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Match the Table Name you are getting the Data from -example- Room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Context Diagram Names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Table.fileExtension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