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19688EC6" w:rsidR="00DA3B2B" w:rsidRPr="00BE1D5E" w:rsidRDefault="00DA3B2B" w:rsidP="00222450">
      <w:pPr>
        <w:spacing w:after="0" w:line="360" w:lineRule="auto"/>
        <w:ind w:firstLine="720"/>
        <w:jc w:val="center"/>
        <w:rPr>
          <w:color w:val="000000" w:themeColor="text1"/>
          <w:sz w:val="36"/>
          <w:szCs w:val="36"/>
        </w:rPr>
      </w:pPr>
      <w:r w:rsidRPr="00BE1D5E">
        <w:rPr>
          <w:b/>
          <w:color w:val="000000" w:themeColor="text1"/>
          <w:sz w:val="36"/>
          <w:szCs w:val="36"/>
        </w:rPr>
        <w:t xml:space="preserve">The SCM </w:t>
      </w:r>
      <w:r w:rsidR="00BE1D5E" w:rsidRPr="00BE1D5E">
        <w:rPr>
          <w:b/>
          <w:color w:val="000000" w:themeColor="text1"/>
          <w:sz w:val="36"/>
          <w:szCs w:val="36"/>
        </w:rPr>
        <w:t>Concept and Creation of Forcing D</w:t>
      </w:r>
      <w:r w:rsidRPr="00BE1D5E">
        <w:rPr>
          <w:b/>
          <w:color w:val="000000" w:themeColor="text1"/>
          <w:sz w:val="36"/>
          <w:szCs w:val="36"/>
        </w:rPr>
        <w:t>atasets</w:t>
      </w:r>
    </w:p>
    <w:p w14:paraId="6F03C3B4" w14:textId="77777777" w:rsidR="00C50939" w:rsidRPr="00E91A1E" w:rsidRDefault="00C50939" w:rsidP="00222450">
      <w:pPr>
        <w:spacing w:after="0" w:line="360" w:lineRule="auto"/>
        <w:ind w:firstLine="720"/>
        <w:jc w:val="center"/>
        <w:rPr>
          <w:szCs w:val="24"/>
        </w:rPr>
      </w:pPr>
    </w:p>
    <w:p w14:paraId="05A731B6" w14:textId="1F621B80" w:rsidR="00DA3B2B" w:rsidRPr="00BE1D5E" w:rsidRDefault="00DA3B2B" w:rsidP="00222450">
      <w:pPr>
        <w:spacing w:after="0" w:line="360" w:lineRule="auto"/>
        <w:ind w:firstLine="720"/>
        <w:jc w:val="center"/>
        <w:rPr>
          <w:rFonts w:ascii="Times New Roman" w:hAnsi="Times New Roman" w:cs="Times New Roman"/>
          <w:szCs w:val="24"/>
        </w:rPr>
      </w:pPr>
      <w:proofErr w:type="spellStart"/>
      <w:r w:rsidRPr="00BE1D5E">
        <w:rPr>
          <w:rFonts w:ascii="Times New Roman" w:hAnsi="Times New Roman" w:cs="Times New Roman"/>
          <w:szCs w:val="24"/>
        </w:rPr>
        <w:t>Minghua</w:t>
      </w:r>
      <w:proofErr w:type="spellEnd"/>
      <w:r w:rsidRPr="00BE1D5E">
        <w:rPr>
          <w:rFonts w:ascii="Times New Roman" w:hAnsi="Times New Roman" w:cs="Times New Roman"/>
          <w:szCs w:val="24"/>
        </w:rPr>
        <w:t xml:space="preserve"> Zhang, Richard</w:t>
      </w:r>
      <w:r w:rsidR="00DC6617">
        <w:rPr>
          <w:rFonts w:ascii="Times New Roman" w:hAnsi="Times New Roman" w:cs="Times New Roman"/>
          <w:szCs w:val="24"/>
        </w:rPr>
        <w:t xml:space="preserve"> C. J.</w:t>
      </w:r>
      <w:r w:rsidRPr="00BE1D5E">
        <w:rPr>
          <w:rFonts w:ascii="Times New Roman" w:hAnsi="Times New Roman" w:cs="Times New Roman"/>
          <w:szCs w:val="24"/>
        </w:rPr>
        <w:t xml:space="preserve"> Somerville, and </w:t>
      </w:r>
      <w:proofErr w:type="spellStart"/>
      <w:r w:rsidRPr="00BE1D5E">
        <w:rPr>
          <w:rFonts w:ascii="Times New Roman" w:hAnsi="Times New Roman" w:cs="Times New Roman"/>
          <w:szCs w:val="24"/>
        </w:rPr>
        <w:t>Shaocheng</w:t>
      </w:r>
      <w:proofErr w:type="spellEnd"/>
      <w:r w:rsidRPr="00BE1D5E">
        <w:rPr>
          <w:rFonts w:ascii="Times New Roman" w:hAnsi="Times New Roman" w:cs="Times New Roman"/>
          <w:szCs w:val="24"/>
        </w:rPr>
        <w:t xml:space="preserve"> </w:t>
      </w:r>
      <w:proofErr w:type="spellStart"/>
      <w:r w:rsidRPr="00BE1D5E">
        <w:rPr>
          <w:rFonts w:ascii="Times New Roman" w:hAnsi="Times New Roman" w:cs="Times New Roman"/>
          <w:szCs w:val="24"/>
        </w:rPr>
        <w:t>Xie</w:t>
      </w:r>
      <w:proofErr w:type="spellEnd"/>
    </w:p>
    <w:p w14:paraId="7F79444B" w14:textId="77777777" w:rsidR="00FE1BDB" w:rsidRPr="00BE1D5E" w:rsidRDefault="00FE1BDB" w:rsidP="00FE1BDB">
      <w:pPr>
        <w:spacing w:before="100" w:beforeAutospacing="1" w:after="0" w:line="360" w:lineRule="auto"/>
        <w:jc w:val="both"/>
        <w:rPr>
          <w:rFonts w:ascii="Times New Roman" w:hAnsi="Times New Roman" w:cs="Times New Roman"/>
          <w:szCs w:val="24"/>
        </w:rPr>
      </w:pPr>
    </w:p>
    <w:p w14:paraId="28D3F618" w14:textId="77777777" w:rsidR="00FE1BDB" w:rsidRPr="00BE1D5E" w:rsidRDefault="00FE1BDB" w:rsidP="00FE1BDB">
      <w:pPr>
        <w:pStyle w:val="ListParagraph"/>
        <w:spacing w:line="360" w:lineRule="auto"/>
        <w:ind w:left="0"/>
        <w:jc w:val="center"/>
        <w:rPr>
          <w:rFonts w:ascii="Times New Roman" w:hAnsi="Times New Roman" w:cs="Times New Roman"/>
          <w:b/>
          <w:sz w:val="24"/>
          <w:szCs w:val="24"/>
        </w:rPr>
      </w:pPr>
      <w:r w:rsidRPr="00BE1D5E">
        <w:rPr>
          <w:rFonts w:ascii="Times New Roman" w:hAnsi="Times New Roman" w:cs="Times New Roman"/>
          <w:b/>
          <w:sz w:val="24"/>
          <w:szCs w:val="24"/>
        </w:rPr>
        <w:t>Abstract</w:t>
      </w:r>
    </w:p>
    <w:p w14:paraId="6694BA87" w14:textId="77777777" w:rsidR="00FE1BDB" w:rsidRPr="00BE1D5E" w:rsidRDefault="00FE1BDB" w:rsidP="00FE1BDB">
      <w:pPr>
        <w:pStyle w:val="ListParagraph"/>
        <w:spacing w:line="360" w:lineRule="auto"/>
        <w:ind w:left="0"/>
        <w:jc w:val="center"/>
        <w:rPr>
          <w:rFonts w:ascii="Times New Roman" w:hAnsi="Times New Roman" w:cs="Times New Roman"/>
          <w:b/>
          <w:sz w:val="24"/>
          <w:szCs w:val="24"/>
        </w:rPr>
      </w:pPr>
    </w:p>
    <w:p w14:paraId="72C4B5A4" w14:textId="2741EA73" w:rsidR="00FE1BDB" w:rsidRPr="00BE1D5E" w:rsidRDefault="00FE1BDB" w:rsidP="00FE1BDB">
      <w:pPr>
        <w:pStyle w:val="ListParagraph"/>
        <w:spacing w:line="360" w:lineRule="auto"/>
        <w:ind w:left="0" w:firstLine="360"/>
        <w:jc w:val="both"/>
        <w:rPr>
          <w:rFonts w:ascii="Times New Roman" w:hAnsi="Times New Roman" w:cs="Times New Roman"/>
          <w:sz w:val="24"/>
          <w:szCs w:val="24"/>
        </w:rPr>
      </w:pPr>
      <w:r w:rsidRPr="00BE1D5E">
        <w:rPr>
          <w:rFonts w:ascii="Times New Roman" w:hAnsi="Times New Roman" w:cs="Times New Roman"/>
          <w:sz w:val="24"/>
          <w:szCs w:val="24"/>
        </w:rPr>
        <w:t>This chapter discusses the concept of Single-Column Models (SCM) and the required forcing data to run these models</w:t>
      </w:r>
      <w:r w:rsidR="00F15858">
        <w:rPr>
          <w:rFonts w:ascii="Times New Roman" w:hAnsi="Times New Roman" w:cs="Times New Roman"/>
          <w:sz w:val="24"/>
          <w:szCs w:val="24"/>
        </w:rPr>
        <w:t xml:space="preserve"> as well as their applications</w:t>
      </w:r>
      <w:r w:rsidRPr="00BE1D5E">
        <w:rPr>
          <w:rFonts w:ascii="Times New Roman" w:hAnsi="Times New Roman" w:cs="Times New Roman"/>
          <w:sz w:val="24"/>
          <w:szCs w:val="24"/>
        </w:rPr>
        <w:t xml:space="preserve">. The ARM variational analysis method to derive the forcing data is described, along with the input data and ongoing research to improve the data accuracy. Available ARM forcing data at various sites are presented.  The chapter also </w:t>
      </w:r>
      <w:r w:rsidR="00F15858">
        <w:rPr>
          <w:rFonts w:ascii="Times New Roman" w:hAnsi="Times New Roman" w:cs="Times New Roman"/>
          <w:sz w:val="24"/>
          <w:szCs w:val="24"/>
        </w:rPr>
        <w:t>Highlights of SCM results</w:t>
      </w:r>
      <w:r w:rsidRPr="00BE1D5E">
        <w:rPr>
          <w:rFonts w:ascii="Times New Roman" w:hAnsi="Times New Roman" w:cs="Times New Roman"/>
          <w:sz w:val="24"/>
          <w:szCs w:val="24"/>
        </w:rPr>
        <w:t xml:space="preserve"> by using the ARM forcing data to understand model physical processes and to improve physical parameterizations</w:t>
      </w:r>
      <w:r w:rsidR="00F15858">
        <w:rPr>
          <w:rFonts w:ascii="Times New Roman" w:hAnsi="Times New Roman" w:cs="Times New Roman"/>
          <w:sz w:val="24"/>
          <w:szCs w:val="24"/>
        </w:rPr>
        <w:t xml:space="preserve"> are also presented</w:t>
      </w:r>
      <w:r w:rsidRPr="00BE1D5E">
        <w:rPr>
          <w:rFonts w:ascii="Times New Roman" w:hAnsi="Times New Roman" w:cs="Times New Roman"/>
          <w:sz w:val="24"/>
          <w:szCs w:val="24"/>
        </w:rPr>
        <w:t>.</w:t>
      </w:r>
    </w:p>
    <w:p w14:paraId="6E9A1992" w14:textId="77777777" w:rsidR="00FE1BDB" w:rsidRPr="00E91A1E" w:rsidRDefault="00FE1BD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1C0053E8"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xml:space="preserve">). </w:t>
      </w:r>
      <w:r w:rsidR="00B10FD9">
        <w:rPr>
          <w:rFonts w:ascii="Times New Roman" w:hAnsi="Times New Roman"/>
          <w:sz w:val="24"/>
          <w:szCs w:val="24"/>
        </w:rPr>
        <w:t xml:space="preserve"> </w:t>
      </w:r>
      <w:r>
        <w:rPr>
          <w:rFonts w:ascii="Times New Roman" w:hAnsi="Times New Roman"/>
          <w:sz w:val="24"/>
          <w:szCs w:val="24"/>
        </w:rPr>
        <w:t>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w:t>
      </w:r>
      <w:r w:rsidRPr="007003E8">
        <w:rPr>
          <w:rFonts w:ascii="Times New Roman" w:hAnsi="Times New Roman"/>
          <w:sz w:val="24"/>
          <w:szCs w:val="24"/>
        </w:rPr>
        <w:lastRenderedPageBreak/>
        <w:t xml:space="preserve">at each vertical level and at every time step with neighboring columns, providing horizontal fluxes of heat, water and momentum to and from these neighbors. </w:t>
      </w:r>
      <w:r w:rsidR="00B10FD9">
        <w:rPr>
          <w:rFonts w:ascii="Times New Roman" w:hAnsi="Times New Roman"/>
          <w:sz w:val="24"/>
          <w:szCs w:val="24"/>
        </w:rPr>
        <w:t xml:space="preserve"> </w:t>
      </w:r>
      <w:r w:rsidRPr="007003E8">
        <w:rPr>
          <w:rFonts w:ascii="Times New Roman" w:hAnsi="Times New Roman"/>
          <w:sz w:val="24"/>
          <w:szCs w:val="24"/>
        </w:rPr>
        <w:t xml:space="preserve">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w:t>
      </w:r>
      <w:r w:rsidR="00B10FD9">
        <w:rPr>
          <w:rFonts w:ascii="Times New Roman" w:hAnsi="Times New Roman"/>
          <w:sz w:val="24"/>
          <w:szCs w:val="24"/>
        </w:rPr>
        <w:t xml:space="preserve"> </w:t>
      </w:r>
      <w:r w:rsidRPr="007003E8">
        <w:rPr>
          <w:rFonts w:ascii="Times New Roman" w:hAnsi="Times New Roman"/>
          <w:sz w:val="24"/>
          <w:szCs w:val="24"/>
        </w:rPr>
        <w:t xml:space="preserve">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t>
      </w:r>
      <w:r>
        <w:rPr>
          <w:rFonts w:ascii="Times New Roman" w:hAnsi="Times New Roman"/>
          <w:sz w:val="24"/>
          <w:szCs w:val="24"/>
        </w:rPr>
        <w:lastRenderedPageBreak/>
        <w:t>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lastRenderedPageBreak/>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0044C11F"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r w:rsidR="00AC4151">
        <w:rPr>
          <w:rFonts w:ascii="Times New Roman" w:hAnsi="Times New Roman"/>
          <w:sz w:val="24"/>
          <w:szCs w:val="24"/>
        </w:rPr>
        <w:t xml:space="preserve">. </w:t>
      </w:r>
      <w:r w:rsidRPr="007003E8">
        <w:rPr>
          <w:rFonts w:ascii="Times New Roman" w:hAnsi="Times New Roman"/>
          <w:sz w:val="24"/>
          <w:szCs w:val="24"/>
        </w:rPr>
        <w:t xml:space="preserve"> </w:t>
      </w:r>
      <w:r w:rsidR="00AC4151">
        <w:rPr>
          <w:rFonts w:ascii="Times New Roman" w:hAnsi="Times New Roman"/>
          <w:sz w:val="24"/>
          <w:szCs w:val="24"/>
        </w:rPr>
        <w:t>I</w:t>
      </w:r>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2BF9D9FA"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r w:rsidR="00AC4151">
        <w:rPr>
          <w:rFonts w:ascii="Times New Roman" w:hAnsi="Times New Roman"/>
          <w:szCs w:val="24"/>
        </w:rPr>
        <w:t>s</w:t>
      </w:r>
      <w:r w:rsidRPr="007003E8">
        <w:rPr>
          <w:rFonts w:ascii="Times New Roman" w:hAnsi="Times New Roman"/>
          <w:szCs w:val="24"/>
        </w:rPr>
        <w:t>.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lastRenderedPageBreak/>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68B18060"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proofErr w:type="spellStart"/>
      <w:r w:rsidR="00B10FD9">
        <w:rPr>
          <w:rFonts w:ascii="Times New Roman" w:hAnsi="Times New Roman" w:cs="Times New Roman"/>
          <w:szCs w:val="24"/>
        </w:rPr>
        <w:t>v</w:t>
      </w:r>
      <w:r w:rsidR="00B10FD9" w:rsidRPr="00F418EB">
        <w:rPr>
          <w:rFonts w:ascii="Times New Roman" w:hAnsi="Times New Roman" w:cs="Times New Roman"/>
          <w:szCs w:val="24"/>
        </w:rPr>
        <w:t>aper</w:t>
      </w:r>
      <w:proofErr w:type="spellEnd"/>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3.75pt" o:ole="">
            <v:imagedata r:id="rId7" o:title=""/>
          </v:shape>
          <o:OLEObject Type="Embed" ProgID="Equation.3" ShapeID="_x0000_i1025" DrawAspect="Content" ObjectID="_1444057357"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5pt;height:34.5pt" o:ole="">
            <v:imagedata r:id="rId9" o:title=""/>
          </v:shape>
          <o:OLEObject Type="Embed" ProgID="Equation.3" ShapeID="_x0000_i1026" DrawAspect="Content" ObjectID="_1444057358"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r w:rsidR="00B10FD9">
        <w:rPr>
          <w:rFonts w:ascii="Times New Roman" w:hAnsi="Times New Roman" w:cs="Times New Roman"/>
          <w:szCs w:val="24"/>
        </w:rPr>
        <w:t>the last term</w:t>
      </w:r>
      <w:r w:rsidR="00B850EC">
        <w:rPr>
          <w:rFonts w:ascii="Times New Roman" w:hAnsi="Times New Roman" w:cs="Times New Roman"/>
          <w:szCs w:val="24"/>
        </w:rPr>
        <w:t xml:space="preserve"> on the right hand side</w:t>
      </w:r>
      <w:r w:rsidR="00B10FD9">
        <w:rPr>
          <w:rFonts w:ascii="Times New Roman" w:hAnsi="Times New Roman" w:cs="Times New Roman"/>
          <w:szCs w:val="24"/>
        </w:rPr>
        <w:t xml:space="preserve">, </w:t>
      </w:r>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pt;height:20.25pt" o:ole="">
            <v:imagedata r:id="rId12" o:title=""/>
          </v:shape>
          <o:OLEObject Type="Embed" ProgID="Equation.3" ShapeID="_x0000_i1027" DrawAspect="Content" ObjectID="_1444057359"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25pt;height:18pt" o:ole="">
            <v:imagedata r:id="rId14" o:title=""/>
          </v:shape>
          <o:OLEObject Type="Embed" ProgID="Equation.3" ShapeID="_x0000_i1028" DrawAspect="Content" ObjectID="_1444057360"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pt;height:20.25pt" o:ole="">
            <v:imagedata r:id="rId12" o:title=""/>
          </v:shape>
          <o:OLEObject Type="Embed" ProgID="Equation.3" ShapeID="_x0000_i1029" DrawAspect="Content" ObjectID="_1444057361" r:id="rId16"/>
        </w:object>
      </w:r>
      <w:r w:rsidR="0055604F" w:rsidRPr="00F418EB">
        <w:rPr>
          <w:position w:val="-28"/>
          <w:szCs w:val="24"/>
        </w:rPr>
        <w:object w:dxaOrig="1180" w:dyaOrig="700" w14:anchorId="24075592">
          <v:shape id="_x0000_i1030" type="#_x0000_t75" style="width:58.5pt;height:35.25pt" o:ole="">
            <v:imagedata r:id="rId17" o:title=""/>
          </v:shape>
          <o:OLEObject Type="Embed" ProgID="Equation.3" ShapeID="_x0000_i1030" DrawAspect="Content" ObjectID="_1444057362"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r w:rsidR="00B10FD9">
        <w:rPr>
          <w:szCs w:val="24"/>
        </w:rPr>
        <w:t xml:space="preserve"> In calculating the </w:t>
      </w:r>
      <w:r w:rsidR="00B850EC" w:rsidRPr="00F418EB">
        <w:rPr>
          <w:rFonts w:ascii="Times New Roman" w:hAnsi="Times New Roman" w:cs="Times New Roman"/>
          <w:szCs w:val="24"/>
        </w:rPr>
        <w:t xml:space="preserve"> </w:t>
      </w:r>
      <w:r w:rsidR="00B850EC" w:rsidRPr="00F418EB">
        <w:rPr>
          <w:position w:val="-12"/>
          <w:szCs w:val="24"/>
        </w:rPr>
        <w:object w:dxaOrig="300" w:dyaOrig="360" w14:anchorId="2A71A128">
          <v:shape id="_x0000_i1031" type="#_x0000_t75" style="width:15pt;height:18pt" o:ole="">
            <v:imagedata r:id="rId19" o:title=""/>
          </v:shape>
          <o:OLEObject Type="Embed" ProgID="Equation.3" ShapeID="_x0000_i1031" DrawAspect="Content" ObjectID="_1444057363" r:id="rId20"/>
        </w:object>
      </w:r>
      <w:r w:rsidR="00B850EC" w:rsidRPr="00F418EB">
        <w:rPr>
          <w:rFonts w:ascii="Times New Roman" w:hAnsi="Times New Roman" w:cs="Times New Roman"/>
          <w:szCs w:val="24"/>
        </w:rPr>
        <w:t xml:space="preserve">and </w:t>
      </w:r>
      <w:r w:rsidR="00B850EC" w:rsidRPr="00F418EB">
        <w:rPr>
          <w:position w:val="-12"/>
          <w:szCs w:val="24"/>
        </w:rPr>
        <w:object w:dxaOrig="300" w:dyaOrig="360" w14:anchorId="64404C27">
          <v:shape id="_x0000_i1032" type="#_x0000_t75" style="width:15pt;height:18pt" o:ole="">
            <v:imagedata r:id="rId21" o:title=""/>
          </v:shape>
          <o:OLEObject Type="Embed" ProgID="Equation.3" ShapeID="_x0000_i1032" DrawAspect="Content" ObjectID="_1444057364" r:id="rId22"/>
        </w:object>
      </w:r>
      <w:r w:rsidR="00B850EC">
        <w:rPr>
          <w:szCs w:val="24"/>
        </w:rPr>
        <w:t xml:space="preserve"> </w:t>
      </w:r>
      <w:r w:rsidR="00B10FD9">
        <w:rPr>
          <w:rFonts w:ascii="Times New Roman" w:hAnsi="Times New Roman" w:cs="Times New Roman"/>
          <w:szCs w:val="24"/>
        </w:rPr>
        <w:t xml:space="preserve">physical tendencies,  </w:t>
      </w:r>
      <w:r w:rsidR="00B850EC">
        <w:rPr>
          <w:rFonts w:ascii="Times New Roman" w:hAnsi="Times New Roman" w:cs="Times New Roman"/>
          <w:szCs w:val="24"/>
        </w:rPr>
        <w:t xml:space="preserve">the first term on the right hand side of  Equations (1) and (2), </w:t>
      </w:r>
      <w:r w:rsidR="00B10FD9">
        <w:rPr>
          <w:rFonts w:ascii="Times New Roman" w:hAnsi="Times New Roman" w:cs="Times New Roman"/>
          <w:szCs w:val="24"/>
        </w:rPr>
        <w:t>SCMs compute the clouds, convection, precipitation, radiation and turbulent mixing</w:t>
      </w:r>
      <w:r w:rsidR="00B850EC">
        <w:rPr>
          <w:rFonts w:ascii="Times New Roman" w:hAnsi="Times New Roman" w:cs="Times New Roman"/>
          <w:szCs w:val="24"/>
        </w:rPr>
        <w:t xml:space="preserve"> that can be compared with observations.</w:t>
      </w:r>
    </w:p>
    <w:p w14:paraId="2198FF94" w14:textId="15E0895C"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r w:rsidR="00B850EC">
        <w:rPr>
          <w:rFonts w:ascii="Times New Roman" w:hAnsi="Times New Roman" w:cs="Times New Roman"/>
          <w:szCs w:val="24"/>
        </w:rPr>
        <w:t xml:space="preserve">also </w:t>
      </w:r>
      <w:r w:rsidR="00D87B20" w:rsidRPr="00F418EB">
        <w:rPr>
          <w:rFonts w:ascii="Times New Roman" w:hAnsi="Times New Roman" w:cs="Times New Roman"/>
          <w:szCs w:val="24"/>
        </w:rPr>
        <w:t>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5pt;height:18pt" o:ole="">
            <v:imagedata r:id="rId19" o:title=""/>
          </v:shape>
          <o:OLEObject Type="Embed" ProgID="Equation.3" ShapeID="_x0000_i1033" DrawAspect="Content" ObjectID="_1444057365" r:id="rId23"/>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5pt;height:18pt" o:ole="">
            <v:imagedata r:id="rId21" o:title=""/>
          </v:shape>
          <o:OLEObject Type="Embed" ProgID="Equation.3" ShapeID="_x0000_i1034" DrawAspect="Content" ObjectID="_1444057366" r:id="rId24"/>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4D591965"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uncertainties</w:t>
      </w:r>
      <w:r w:rsidR="00B850EC">
        <w:rPr>
          <w:rFonts w:ascii="Times New Roman" w:hAnsi="Times New Roman" w:cs="Times New Roman"/>
          <w:szCs w:val="24"/>
        </w:rPr>
        <w:t xml:space="preserve"> that </w:t>
      </w:r>
      <w:r>
        <w:rPr>
          <w:rFonts w:ascii="Times New Roman" w:hAnsi="Times New Roman" w:cs="Times New Roman"/>
          <w:szCs w:val="24"/>
        </w:rPr>
        <w:t>can direct</w:t>
      </w:r>
      <w:r w:rsidR="00AC4151">
        <w:rPr>
          <w:rFonts w:ascii="Times New Roman" w:hAnsi="Times New Roman" w:cs="Times New Roman"/>
          <w:szCs w:val="24"/>
        </w:rPr>
        <w:t>ly</w:t>
      </w:r>
      <w:r>
        <w:rPr>
          <w:rFonts w:ascii="Times New Roman" w:hAnsi="Times New Roman" w:cs="Times New Roman"/>
          <w:szCs w:val="24"/>
        </w:rPr>
        <w:t xml:space="preserve">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lastRenderedPageBreak/>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8.75pt;height:13.5pt" o:ole="">
            <v:imagedata r:id="rId25" o:title=""/>
          </v:shape>
          <o:OLEObject Type="Embed" ProgID="Equation.3" ShapeID="_x0000_i1035" DrawAspect="Content" ObjectID="_1444057367" r:id="rId26"/>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25pt;height:16.5pt" o:ole="">
            <v:imagedata r:id="rId27" o:title=""/>
          </v:shape>
          <o:OLEObject Type="Embed" ProgID="Equation.3" ShapeID="_x0000_i1036" DrawAspect="Content" ObjectID="_1444057368" r:id="rId28"/>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25pt;height:13.5pt" o:ole="">
            <v:imagedata r:id="rId29" o:title=""/>
          </v:shape>
          <o:OLEObject Type="Embed" ProgID="Equation.3" ShapeID="_x0000_i1037" DrawAspect="Content" ObjectID="_1444057369" r:id="rId30"/>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38" type="#_x0000_t75" style="width:279.75pt;height:35.25pt" o:ole="">
            <v:imagedata r:id="rId31" o:title=""/>
          </v:shape>
          <o:OLEObject Type="Embed" ProgID="Equation.3" ShapeID="_x0000_i1038" DrawAspect="Content" ObjectID="_1444057370" r:id="rId32"/>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39" type="#_x0000_t75" style="width:310.5pt;height:35.25pt" o:ole="">
            <v:imagedata r:id="rId33" o:title=""/>
          </v:shape>
          <o:OLEObject Type="Embed" ProgID="Equation.3" ShapeID="_x0000_i1039" DrawAspect="Content" ObjectID="_1444057371" r:id="rId34"/>
        </w:object>
      </w:r>
    </w:p>
    <w:p w14:paraId="3E2BF235" w14:textId="37BAFC0E" w:rsidR="00F16B93" w:rsidRPr="00F418EB" w:rsidRDefault="00301A0B" w:rsidP="00FE1BDB">
      <w:pPr>
        <w:spacing w:line="360" w:lineRule="auto"/>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75pt;height:18pt" o:ole="">
            <v:imagedata r:id="rId35" o:title=""/>
          </v:shape>
          <o:OLEObject Type="Embed" ProgID="Equation.3" ShapeID="_x0000_i1040" DrawAspect="Content" ObjectID="_1444057372" r:id="rId36"/>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1" type="#_x0000_t75" style="width:91.5pt;height:17.25pt" o:ole="">
            <v:imagedata r:id="rId37" o:title=""/>
          </v:shape>
          <o:OLEObject Type="Embed" ProgID="Equation.3" ShapeID="_x0000_i1041" DrawAspect="Content" ObjectID="_1444057373" r:id="rId38"/>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2" type="#_x0000_t75" style="width:107.25pt;height:17.25pt" o:ole="">
            <v:imagedata r:id="rId39" o:title=""/>
          </v:shape>
          <o:OLEObject Type="Embed" ProgID="Equation.3" ShapeID="_x0000_i1042" DrawAspect="Content" ObjectID="_1444057374" r:id="rId40"/>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F3431E">
      <w:pPr>
        <w:spacing w:line="360" w:lineRule="auto"/>
        <w:jc w:val="both"/>
        <w:rPr>
          <w:rFonts w:ascii="Times New Roman" w:hAnsi="Times New Roman" w:cs="Times New Roman"/>
          <w:szCs w:val="24"/>
        </w:rPr>
      </w:pPr>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proofErr w:type="gramEnd"/>
      <w:r w:rsidRPr="00E034E9">
        <w:rPr>
          <w:position w:val="-6"/>
          <w:szCs w:val="24"/>
        </w:rPr>
        <w:object w:dxaOrig="340" w:dyaOrig="279" w14:anchorId="5640E397">
          <v:shape id="_x0000_i1043" type="#_x0000_t75" style="width:17.25pt;height:14.25pt" o:ole="">
            <v:imagedata r:id="rId41" o:title=""/>
          </v:shape>
          <o:OLEObject Type="Embed" ProgID="Equation.3" ShapeID="_x0000_i1043" DrawAspect="Content" ObjectID="_1444057375" r:id="rId42"/>
        </w:object>
      </w:r>
      <w:r>
        <w:rPr>
          <w:szCs w:val="24"/>
        </w:rPr>
        <w:t xml:space="preserve">. </w:t>
      </w:r>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4" type="#_x0000_t75" style="width:332.25pt;height:35.25pt" o:ole="">
            <v:imagedata r:id="rId43" o:title=""/>
          </v:shape>
          <o:OLEObject Type="Embed" ProgID="Equation.3" ShapeID="_x0000_i1044" DrawAspect="Content" ObjectID="_1444057376" r:id="rId44"/>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5" type="#_x0000_t75" style="width:351pt;height:33.75pt" o:ole="">
            <v:imagedata r:id="rId45" o:title=""/>
          </v:shape>
          <o:OLEObject Type="Embed" ProgID="Equation.3" ShapeID="_x0000_i1045" DrawAspect="Content" ObjectID="_1444057377" r:id="rId46"/>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6" type="#_x0000_t75" style="width:48pt;height:33.75pt" o:ole="">
            <v:imagedata r:id="rId47" o:title=""/>
          </v:shape>
          <o:OLEObject Type="Embed" ProgID="Equation.3" ShapeID="_x0000_i1046" DrawAspect="Content" ObjectID="_1444057378" r:id="rId48"/>
        </w:object>
      </w:r>
      <w:r w:rsidRPr="00F418EB">
        <w:rPr>
          <w:rFonts w:ascii="Times New Roman" w:hAnsi="Times New Roman" w:cs="Times New Roman"/>
          <w:szCs w:val="24"/>
        </w:rPr>
        <w:t>.</w:t>
      </w:r>
    </w:p>
    <w:p w14:paraId="747851BE" w14:textId="00871C6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r w:rsidR="00AC4151">
        <w:rPr>
          <w:rFonts w:ascii="Times New Roman" w:hAnsi="Times New Roman" w:cs="Times New Roman"/>
          <w:szCs w:val="24"/>
        </w:rPr>
        <w:t>:</w:t>
      </w:r>
      <w:r w:rsidRPr="00F418EB">
        <w:rPr>
          <w:rFonts w:ascii="Times New Roman" w:hAnsi="Times New Roman" w:cs="Times New Roman"/>
          <w:szCs w:val="24"/>
        </w:rPr>
        <w:t xml:space="preserve"> </w:t>
      </w:r>
    </w:p>
    <w:p w14:paraId="4766C410" w14:textId="1EBB45E8" w:rsidR="00514FF0" w:rsidRPr="00F418EB" w:rsidRDefault="00B850EC"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20" w:dyaOrig="340" w14:anchorId="4C7C6245">
          <v:shape id="_x0000_i1047" type="#_x0000_t75" style="width:70.5pt;height:17.25pt" o:ole="">
            <v:imagedata r:id="rId49" o:title=""/>
          </v:shape>
          <o:OLEObject Type="Embed" ProgID="Equation.3" ShapeID="_x0000_i1047" DrawAspect="Content" ObjectID="_1444057379" r:id="rId50"/>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pt;height:16.5pt" o:ole="">
            <v:imagedata r:id="rId51" o:title=""/>
          </v:shape>
          <o:OLEObject Type="Embed" ProgID="Equation.3" ShapeID="_x0000_i1048" DrawAspect="Content" ObjectID="_1444057380" r:id="rId52"/>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474DE6DC"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r w:rsidR="00B850EC">
        <w:rPr>
          <w:rFonts w:ascii="Times New Roman" w:hAnsi="Times New Roman" w:cs="Times New Roman"/>
          <w:szCs w:val="24"/>
        </w:rPr>
        <w:t xml:space="preserve"> across the space</w:t>
      </w:r>
      <w:r w:rsidR="00BD1CE6" w:rsidRPr="00F418EB">
        <w:rPr>
          <w:rFonts w:ascii="Times New Roman" w:hAnsi="Times New Roman" w:cs="Times New Roman"/>
          <w:szCs w:val="24"/>
        </w:rPr>
        <w:t xml:space="preserve">, the systematic instrument errors are removed if the same equipment is used </w:t>
      </w:r>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 xml:space="preserve">the domain, </w:t>
      </w:r>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r w:rsidR="00B850EC">
        <w:rPr>
          <w:rFonts w:ascii="Times New Roman" w:hAnsi="Times New Roman" w:cs="Times New Roman"/>
          <w:szCs w:val="24"/>
        </w:rPr>
        <w:t xml:space="preserve">assumed </w:t>
      </w:r>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w:t>
      </w:r>
      <w:r w:rsidR="00B03E79" w:rsidRPr="00F418EB">
        <w:rPr>
          <w:rFonts w:ascii="Times New Roman" w:hAnsi="Times New Roman" w:cs="Times New Roman"/>
          <w:szCs w:val="24"/>
        </w:rPr>
        <w:lastRenderedPageBreak/>
        <w:t xml:space="preserve">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w:t>
      </w:r>
      <w:r w:rsidR="00B850EC">
        <w:rPr>
          <w:rFonts w:ascii="Times New Roman" w:hAnsi="Times New Roman" w:cs="Times New Roman"/>
          <w:szCs w:val="24"/>
        </w:rPr>
        <w:t xml:space="preserve">method </w:t>
      </w:r>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610BCAAA"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r w:rsidR="00B850EC">
        <w:rPr>
          <w:rFonts w:ascii="Times New Roman" w:hAnsi="Times New Roman" w:cs="Times New Roman"/>
          <w:szCs w:val="24"/>
        </w:rPr>
        <w:t>in calculating</w:t>
      </w:r>
      <w:r w:rsidRPr="00F418EB">
        <w:rPr>
          <w:rFonts w:ascii="Times New Roman" w:hAnsi="Times New Roman" w:cs="Times New Roman"/>
          <w:szCs w:val="24"/>
        </w:rPr>
        <w:t xml:space="preserve"> the lateral boundary fluxes. </w:t>
      </w:r>
    </w:p>
    <w:p w14:paraId="73DD8FC9" w14:textId="029EDBC2"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r w:rsidR="00B850EC">
        <w:rPr>
          <w:rFonts w:ascii="Times New Roman" w:hAnsi="Times New Roman" w:cs="Times New Roman"/>
          <w:szCs w:val="24"/>
        </w:rPr>
        <w:t xml:space="preserve">well-positioned </w:t>
      </w:r>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485D56DF"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r w:rsidR="00AC4151">
        <w:rPr>
          <w:rFonts w:ascii="Times New Roman" w:hAnsi="Times New Roman" w:cs="Times New Roman"/>
          <w:szCs w:val="24"/>
        </w:rPr>
        <w:t xml:space="preserve">has </w:t>
      </w:r>
      <w:r w:rsidRPr="00F418EB">
        <w:rPr>
          <w:rFonts w:ascii="Times New Roman" w:hAnsi="Times New Roman" w:cs="Times New Roman"/>
          <w:szCs w:val="24"/>
        </w:rPr>
        <w:t xml:space="preserve">been widely used, a standard analysis algorithm is not available because many subjective procedures and </w:t>
      </w:r>
      <w:r w:rsidR="00F12DAC" w:rsidRPr="00F418EB">
        <w:rPr>
          <w:rFonts w:ascii="Times New Roman" w:hAnsi="Times New Roman" w:cs="Times New Roman"/>
          <w:szCs w:val="24"/>
        </w:rPr>
        <w:t>judgment</w:t>
      </w:r>
      <w:r w:rsidR="00AC4151">
        <w:rPr>
          <w:rFonts w:ascii="Times New Roman" w:hAnsi="Times New Roman" w:cs="Times New Roman"/>
          <w:szCs w:val="24"/>
        </w:rPr>
        <w:t>s</w:t>
      </w:r>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73B050F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C132C0">
        <w:rPr>
          <w:rFonts w:ascii="Times New Roman" w:hAnsi="Times New Roman" w:cs="Times New Roman"/>
          <w:szCs w:val="24"/>
        </w:rPr>
        <w:t xml:space="preserve"> </w:t>
      </w:r>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132C0">
        <w:rPr>
          <w:rFonts w:ascii="Times New Roman" w:hAnsi="Times New Roman" w:cs="Times New Roman"/>
          <w:szCs w:val="24"/>
        </w:rPr>
        <w:t>was</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w:t>
      </w:r>
      <w:r w:rsidR="005C2F81" w:rsidRPr="00F418EB">
        <w:rPr>
          <w:rFonts w:ascii="Times New Roman" w:hAnsi="Times New Roman" w:cs="Times New Roman"/>
          <w:szCs w:val="24"/>
        </w:rPr>
        <w:lastRenderedPageBreak/>
        <w:t xml:space="preserve">Julian Oscillation (MJO), their use to simulate the observed cloud fields </w:t>
      </w:r>
      <w:r w:rsidR="000443CB">
        <w:rPr>
          <w:rFonts w:ascii="Times New Roman" w:hAnsi="Times New Roman" w:cs="Times New Roman"/>
          <w:szCs w:val="24"/>
        </w:rPr>
        <w:t xml:space="preserve">for direct comparison with transient measurements of clouds can </w:t>
      </w:r>
      <w:r w:rsidR="00C132C0">
        <w:rPr>
          <w:rFonts w:ascii="Times New Roman" w:hAnsi="Times New Roman" w:cs="Times New Roman"/>
          <w:szCs w:val="24"/>
        </w:rPr>
        <w:t>have large biases</w:t>
      </w:r>
      <w:r w:rsidR="000443CB">
        <w:rPr>
          <w:rFonts w:ascii="Times New Roman" w:hAnsi="Times New Roman" w:cs="Times New Roman"/>
          <w:szCs w:val="24"/>
        </w:rPr>
        <w:t>.</w:t>
      </w:r>
    </w:p>
    <w:p w14:paraId="0A929088" w14:textId="09BDE0D2" w:rsidR="009E66B2" w:rsidRDefault="00C132C0"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SCM</w:t>
      </w:r>
      <w:r w:rsidR="00DE41F8"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00DE41F8"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00DE41F8"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00DE41F8"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00DE41F8"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Pr>
          <w:rFonts w:ascii="Times New Roman" w:hAnsi="Times New Roman" w:cs="Times New Roman"/>
          <w:szCs w:val="24"/>
        </w:rPr>
        <w:t xml:space="preserve"> caused by scale aliasing, as stated succinctly by </w:t>
      </w:r>
      <w:proofErr w:type="spellStart"/>
      <w:r>
        <w:rPr>
          <w:rFonts w:ascii="Times New Roman" w:hAnsi="Times New Roman" w:cs="Times New Roman"/>
          <w:szCs w:val="24"/>
        </w:rPr>
        <w:t>Ooyama</w:t>
      </w:r>
      <w:proofErr w:type="spellEnd"/>
      <w:r>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Pr>
          <w:rFonts w:ascii="Times New Roman" w:hAnsi="Times New Roman" w:cs="Times New Roman"/>
          <w:szCs w:val="24"/>
        </w:rPr>
        <w:t>.</w:t>
      </w:r>
      <w:r w:rsidR="00544E21" w:rsidRPr="00F418EB">
        <w:rPr>
          <w:rFonts w:ascii="Times New Roman" w:hAnsi="Times New Roman" w:cs="Times New Roman"/>
          <w:szCs w:val="24"/>
        </w:rPr>
        <w:t>”</w:t>
      </w:r>
    </w:p>
    <w:p w14:paraId="57B27CF0" w14:textId="4C045F17"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w:t>
      </w:r>
      <w:proofErr w:type="gramStart"/>
      <w:r>
        <w:rPr>
          <w:rFonts w:ascii="Times New Roman" w:hAnsi="Times New Roman" w:cs="Times New Roman"/>
          <w:szCs w:val="24"/>
        </w:rPr>
        <w:t xml:space="preserve">analysis </w:t>
      </w:r>
      <w:r w:rsidR="00C132C0">
        <w:rPr>
          <w:rFonts w:ascii="Times New Roman" w:hAnsi="Times New Roman" w:cs="Times New Roman"/>
          <w:szCs w:val="24"/>
        </w:rPr>
        <w:t xml:space="preserve"> </w:t>
      </w:r>
      <w:r>
        <w:rPr>
          <w:rFonts w:ascii="Times New Roman" w:hAnsi="Times New Roman" w:cs="Times New Roman"/>
          <w:szCs w:val="24"/>
        </w:rPr>
        <w:t>can</w:t>
      </w:r>
      <w:proofErr w:type="gramEnd"/>
      <w:r>
        <w:rPr>
          <w:rFonts w:ascii="Times New Roman" w:hAnsi="Times New Roman" w:cs="Times New Roman"/>
          <w:szCs w:val="24"/>
        </w:rPr>
        <w:t xml:space="preserve"> also </w:t>
      </w:r>
      <w:r w:rsidR="00AC4151">
        <w:rPr>
          <w:rFonts w:ascii="Times New Roman" w:hAnsi="Times New Roman" w:cs="Times New Roman"/>
          <w:szCs w:val="24"/>
        </w:rPr>
        <w:t xml:space="preserve">be </w:t>
      </w:r>
      <w:r>
        <w:rPr>
          <w:rFonts w:ascii="Times New Roman" w:hAnsi="Times New Roman" w:cs="Times New Roman"/>
          <w:szCs w:val="24"/>
        </w:rPr>
        <w:t xml:space="preserve">used to obtain the large-scale forcing.  However, because the operational models suffer from biases of cloud and precipitation parameterizations 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r w:rsidR="00C132C0">
        <w:rPr>
          <w:rFonts w:ascii="Times New Roman" w:hAnsi="Times New Roman" w:cs="Times New Roman"/>
          <w:szCs w:val="24"/>
        </w:rPr>
        <w:t xml:space="preserve"> and it has been shown that cloud fields in these products contain large errors and the biases in the vertical may be large during precipitation events</w:t>
      </w:r>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4987CC4C"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r w:rsidR="00C132C0">
        <w:rPr>
          <w:rFonts w:ascii="Times New Roman" w:hAnsi="Times New Roman"/>
          <w:szCs w:val="24"/>
        </w:rPr>
        <w:t>SCM forcing data</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r w:rsidR="00AC4151">
        <w:rPr>
          <w:rFonts w:ascii="Times New Roman" w:hAnsi="Times New Roman"/>
          <w:szCs w:val="24"/>
        </w:rPr>
        <w:t>:</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9" type="#_x0000_t75" style="width:93.75pt;height:33.75pt" o:ole="">
            <v:imagedata r:id="rId53" o:title="" cropleft="-352f" cropright="-352f"/>
          </v:shape>
          <o:OLEObject Type="Embed" ProgID="Equation.2" ShapeID="_x0000_i1049" DrawAspect="Content" ObjectID="_1444057381" r:id="rId54">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50" type="#_x0000_t75" style="width:213pt;height:28.5pt" o:ole="">
            <v:imagedata r:id="rId55" o:title="" cropleft="-155f" cropright="-155f"/>
          </v:shape>
          <o:OLEObject Type="Embed" ProgID="Equation.2" ShapeID="_x0000_i1050" DrawAspect="Content" ObjectID="_1444057382" r:id="rId56">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51" type="#_x0000_t75" style="width:302.25pt;height:28.5pt" o:ole="">
            <v:imagedata r:id="rId57" o:title="" cropleft="-109f" cropright="-109f"/>
          </v:shape>
          <o:OLEObject Type="Embed" ProgID="Equation.2" ShapeID="_x0000_i1051" DrawAspect="Content" ObjectID="_1444057383" r:id="rId58">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52" type="#_x0000_t75" style="width:220.5pt;height:30.75pt" o:ole="">
            <v:imagedata r:id="rId59" o:title="" cropleft="-143f" cropright="-143f"/>
          </v:shape>
          <o:OLEObject Type="Embed" ProgID="Equation.DSMT4" ShapeID="_x0000_i1052" DrawAspect="Content" ObjectID="_1444057384" r:id="rId60">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79B55074" w:rsidR="0069519C" w:rsidRPr="00F418EB" w:rsidRDefault="00C9113D" w:rsidP="00F3431E">
      <w:pPr>
        <w:spacing w:line="360" w:lineRule="auto"/>
        <w:ind w:firstLine="360"/>
        <w:jc w:val="both"/>
        <w:rPr>
          <w:szCs w:val="24"/>
        </w:rPr>
      </w:pPr>
      <w:r>
        <w:rPr>
          <w:szCs w:val="24"/>
        </w:rPr>
        <w:t xml:space="preserve">The </w:t>
      </w:r>
      <w:r w:rsidR="00C132C0">
        <w:rPr>
          <w:szCs w:val="24"/>
        </w:rPr>
        <w:t xml:space="preserve">final </w:t>
      </w:r>
      <w:r w:rsidR="0069519C" w:rsidRPr="00F418EB">
        <w:rPr>
          <w:szCs w:val="24"/>
        </w:rPr>
        <w:t>analysis is obtained by minimizing the cost function of</w:t>
      </w:r>
      <w:r w:rsidR="00AC4151">
        <w:rPr>
          <w:szCs w:val="24"/>
        </w:rPr>
        <w:t>:</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53" type="#_x0000_t75" style="width:438.75pt;height:19.5pt" o:ole="" fillcolor="window">
            <v:imagedata r:id="rId61" o:title="" cropleft="-89f" cropright="-89f"/>
          </v:shape>
          <o:OLEObject Type="Embed" ProgID="Equation.DSMT4" ShapeID="_x0000_i1053" DrawAspect="Content" ObjectID="_1444057385" r:id="rId62">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r w:rsidR="00C132C0">
        <w:rPr>
          <w:szCs w:val="24"/>
        </w:rPr>
        <w:t xml:space="preserve"> or operational analysis</w:t>
      </w:r>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130D0C71"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 xml:space="preserve">Terms on the </w:t>
      </w:r>
      <w:r w:rsidR="00C132C0">
        <w:rPr>
          <w:szCs w:val="24"/>
        </w:rPr>
        <w:t xml:space="preserve">right </w:t>
      </w:r>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t>
      </w:r>
      <w:r w:rsidR="00C132C0">
        <w:rPr>
          <w:szCs w:val="24"/>
        </w:rPr>
        <w:t>are</w:t>
      </w:r>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r w:rsidR="00C132C0">
        <w:rPr>
          <w:rFonts w:ascii="Times New Roman" w:hAnsi="Times New Roman" w:cs="Times New Roman"/>
          <w:szCs w:val="24"/>
        </w:rPr>
        <w:t xml:space="preserve">instrumentation and </w:t>
      </w:r>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w:t>
      </w:r>
      <w:r w:rsidRPr="00F418EB">
        <w:rPr>
          <w:rFonts w:ascii="Times New Roman" w:hAnsi="Times New Roman" w:cs="Times New Roman"/>
          <w:szCs w:val="24"/>
        </w:rPr>
        <w:lastRenderedPageBreak/>
        <w:t xml:space="preserve">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r w:rsidR="00E034E9">
        <w:rPr>
          <w:rFonts w:ascii="Times New Roman" w:hAnsi="Times New Roman" w:cs="Times New Roman"/>
          <w:szCs w:val="24"/>
        </w:rPr>
        <w:t xml:space="preserve">or operational analysis </w:t>
      </w:r>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E034E9">
        <w:rPr>
          <w:rFonts w:ascii="Times New Roman" w:hAnsi="Times New Roman" w:cs="Times New Roman"/>
          <w:szCs w:val="24"/>
        </w:rPr>
        <w:t>.</w:t>
      </w:r>
      <w:r w:rsidR="009D72DE">
        <w:rPr>
          <w:rFonts w:ascii="Times New Roman" w:hAnsi="Times New Roman" w:cs="Times New Roman"/>
          <w:szCs w:val="24"/>
        </w:rPr>
        <w:t xml:space="preserve"> </w:t>
      </w:r>
    </w:p>
    <w:p w14:paraId="3BE7900E" w14:textId="0BA2E84E"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r w:rsidR="00AC4151">
        <w:rPr>
          <w:rFonts w:ascii="Times New Roman" w:hAnsi="Times New Roman" w:cs="Times New Roman"/>
          <w:szCs w:val="24"/>
        </w:rPr>
        <w:t xml:space="preserve">the </w:t>
      </w:r>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56BF55F"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T</w:t>
      </w:r>
      <w:r w:rsidR="002F3595" w:rsidRPr="00F418EB">
        <w:rPr>
          <w:rFonts w:ascii="Times New Roman" w:hAnsi="Times New Roman" w:cs="Times New Roman"/>
          <w:szCs w:val="24"/>
        </w:rPr>
        <w:t xml:space="preserve">he </w:t>
      </w:r>
      <w:r w:rsidR="00E034E9">
        <w:rPr>
          <w:rFonts w:ascii="Times New Roman" w:hAnsi="Times New Roman" w:cs="Times New Roman"/>
          <w:szCs w:val="24"/>
        </w:rPr>
        <w:t>terms on the right</w:t>
      </w:r>
      <w:r w:rsidR="00E034E9" w:rsidRPr="00F418EB">
        <w:rPr>
          <w:rFonts w:ascii="Times New Roman" w:hAnsi="Times New Roman" w:cs="Times New Roman"/>
          <w:szCs w:val="24"/>
        </w:rPr>
        <w:t xml:space="preserve"> </w:t>
      </w:r>
      <w:r w:rsidR="002F3595" w:rsidRPr="00F418EB">
        <w:rPr>
          <w:rFonts w:ascii="Times New Roman" w:hAnsi="Times New Roman" w:cs="Times New Roman"/>
          <w:szCs w:val="24"/>
        </w:rPr>
        <w:t xml:space="preserve">hand side </w:t>
      </w:r>
      <w:r w:rsidR="00E034E9">
        <w:rPr>
          <w:rFonts w:ascii="Times New Roman" w:hAnsi="Times New Roman" w:cs="Times New Roman"/>
          <w:szCs w:val="24"/>
        </w:rPr>
        <w:t>of</w:t>
      </w:r>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proofErr w:type="spellStart"/>
      <w:r w:rsidR="00C16EC2">
        <w:rPr>
          <w:rFonts w:ascii="Times New Roman" w:hAnsi="Times New Roman" w:cs="Times New Roman"/>
          <w:szCs w:val="24"/>
        </w:rPr>
        <w:t>ar</w:t>
      </w:r>
      <w:proofErr w:type="spellEnd"/>
      <w:r>
        <w:rPr>
          <w:rFonts w:ascii="Times New Roman" w:hAnsi="Times New Roman" w:cs="Times New Roman"/>
          <w:szCs w:val="24"/>
        </w:rPr>
        <w:t xml:space="preserve">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sidR="00E034E9">
        <w:rPr>
          <w:rFonts w:ascii="Times New Roman" w:hAnsi="Times New Roman" w:cs="Times New Roman"/>
          <w:szCs w:val="24"/>
        </w:rPr>
        <w:t xml:space="preserve"> </w:t>
      </w:r>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sidR="00E034E9">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w:t>
      </w:r>
      <w:r w:rsidR="00FE1BDB">
        <w:rPr>
          <w:rFonts w:ascii="Times New Roman" w:hAnsi="Times New Roman" w:cs="Times New Roman"/>
          <w:szCs w:val="24"/>
        </w:rPr>
        <w:t xml:space="preserve"> Ensemble forcing data are another approach to treat uncertainties of the forcing data (</w:t>
      </w:r>
      <w:proofErr w:type="spellStart"/>
      <w:r w:rsidR="00FE1BDB">
        <w:rPr>
          <w:rFonts w:ascii="Times New Roman" w:hAnsi="Times New Roman" w:cs="Times New Roman"/>
          <w:szCs w:val="24"/>
        </w:rPr>
        <w:t>Humme</w:t>
      </w:r>
      <w:proofErr w:type="spellEnd"/>
      <w:r w:rsidR="00FE1BDB">
        <w:rPr>
          <w:rFonts w:ascii="Times New Roman" w:hAnsi="Times New Roman" w:cs="Times New Roman"/>
          <w:szCs w:val="24"/>
        </w:rPr>
        <w:t xml:space="preserve"> and </w:t>
      </w:r>
      <w:proofErr w:type="spellStart"/>
      <w:r w:rsidR="00FE1BDB">
        <w:rPr>
          <w:rFonts w:ascii="Times New Roman" w:hAnsi="Times New Roman" w:cs="Times New Roman"/>
          <w:szCs w:val="24"/>
        </w:rPr>
        <w:t>Jakob</w:t>
      </w:r>
      <w:proofErr w:type="spellEnd"/>
      <w:r w:rsidR="00FE1BDB">
        <w:rPr>
          <w:rFonts w:ascii="Times New Roman" w:hAnsi="Times New Roman" w:cs="Times New Roman"/>
          <w:szCs w:val="24"/>
        </w:rPr>
        <w:t xml:space="preserve"> 2005; Davis et al. 2013).  </w:t>
      </w:r>
      <w:r w:rsidR="005614FD" w:rsidRPr="00F418EB">
        <w:rPr>
          <w:rFonts w:ascii="Times New Roman" w:hAnsi="Times New Roman" w:cs="Times New Roman"/>
          <w:szCs w:val="24"/>
        </w:rPr>
        <w:t xml:space="preserve">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r w:rsidR="00FE1BDB">
        <w:rPr>
          <w:rFonts w:ascii="Times New Roman" w:hAnsi="Times New Roman" w:cs="Times New Roman"/>
          <w:szCs w:val="24"/>
        </w:rPr>
        <w:t xml:space="preserve"> </w:t>
      </w:r>
    </w:p>
    <w:p w14:paraId="7F8251C2" w14:textId="44888159" w:rsidR="00533FDD" w:rsidRDefault="00E034E9"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 </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46EE7D18" w:rsidR="009D46FA" w:rsidRPr="00C16EC2"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w:t>
      </w:r>
      <w:r w:rsidRPr="00C16EC2">
        <w:rPr>
          <w:rFonts w:ascii="Times New Roman" w:hAnsi="Times New Roman"/>
          <w:szCs w:val="24"/>
        </w:rPr>
        <w:t>measurements (</w:t>
      </w:r>
      <w:r w:rsidR="0082747E" w:rsidRPr="00C16EC2">
        <w:rPr>
          <w:rFonts w:ascii="Times New Roman" w:hAnsi="Times New Roman"/>
          <w:szCs w:val="24"/>
        </w:rPr>
        <w:t>Figure 1a</w:t>
      </w:r>
      <w:r w:rsidRPr="00C16EC2">
        <w:rPr>
          <w:rFonts w:ascii="Times New Roman" w:hAnsi="Times New Roman"/>
          <w:szCs w:val="24"/>
        </w:rPr>
        <w:t xml:space="preserve">). </w:t>
      </w:r>
    </w:p>
    <w:p w14:paraId="51EB5D27" w14:textId="4641DF01" w:rsidR="009D46FA" w:rsidRPr="00C16EC2" w:rsidRDefault="009D46FA" w:rsidP="00071F6B">
      <w:pPr>
        <w:spacing w:line="360" w:lineRule="auto"/>
        <w:ind w:firstLine="360"/>
        <w:jc w:val="both"/>
        <w:rPr>
          <w:rFonts w:ascii="Times New Roman" w:hAnsi="Times New Roman"/>
          <w:szCs w:val="24"/>
        </w:rPr>
      </w:pPr>
      <w:r w:rsidRPr="00C16EC2">
        <w:rPr>
          <w:rFonts w:ascii="Times New Roman" w:hAnsi="Times New Roman"/>
          <w:szCs w:val="24"/>
        </w:rPr>
        <w:t xml:space="preserve">The variational analysis analyzes the original upper-air measurements from radiosondes and wind profilers over the analysis grid points </w:t>
      </w:r>
      <w:r w:rsidR="0082747E" w:rsidRPr="00C16EC2">
        <w:rPr>
          <w:rFonts w:ascii="Times New Roman" w:hAnsi="Times New Roman"/>
          <w:szCs w:val="24"/>
        </w:rPr>
        <w:t xml:space="preserve">(Figure 1a) </w:t>
      </w:r>
      <w:r w:rsidRPr="00C16EC2">
        <w:rPr>
          <w:rFonts w:ascii="Times New Roman" w:hAnsi="Times New Roman"/>
          <w:szCs w:val="24"/>
        </w:rPr>
        <w:t xml:space="preserve">using the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interpolation scheme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(Fig</w:t>
      </w:r>
      <w:r w:rsidR="0082747E" w:rsidRPr="00C16EC2">
        <w:rPr>
          <w:rFonts w:ascii="Times New Roman" w:hAnsi="Times New Roman"/>
          <w:szCs w:val="24"/>
        </w:rPr>
        <w:t>ure 1b</w:t>
      </w:r>
      <w:r w:rsidRPr="00C16EC2">
        <w:rPr>
          <w:rFonts w:ascii="Times New Roman" w:hAnsi="Times New Roman"/>
          <w:szCs w:val="24"/>
        </w:rPr>
        <w:t>)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t>
      </w:r>
    </w:p>
    <w:p w14:paraId="4D618A24" w14:textId="1A9756AE" w:rsidR="009D46FA" w:rsidRPr="00C16EC2" w:rsidRDefault="009D46FA" w:rsidP="00FE1BDB">
      <w:pPr>
        <w:spacing w:line="360" w:lineRule="auto"/>
        <w:ind w:left="360"/>
        <w:jc w:val="both"/>
        <w:rPr>
          <w:rFonts w:ascii="Times New Roman" w:hAnsi="Times New Roman"/>
          <w:szCs w:val="24"/>
        </w:rPr>
      </w:pPr>
      <w:r w:rsidRPr="00C16EC2">
        <w:rPr>
          <w:rFonts w:ascii="Times New Roman" w:hAnsi="Times New Roman"/>
          <w:szCs w:val="24"/>
        </w:rPr>
        <w:t>The required constraint variables are derived from measurements of surface observational networks and satellites. Around the ARM SGP site, there is a dense surface network (Fig</w:t>
      </w:r>
      <w:r w:rsidR="0082747E" w:rsidRPr="00C16EC2">
        <w:rPr>
          <w:rFonts w:ascii="Times New Roman" w:hAnsi="Times New Roman"/>
          <w:szCs w:val="24"/>
        </w:rPr>
        <w:t>ure 1c</w:t>
      </w:r>
      <w:r w:rsidRPr="00C16EC2">
        <w:rPr>
          <w:rFonts w:ascii="Times New Roman" w:hAnsi="Times New Roman"/>
          <w:szCs w:val="24"/>
        </w:rPr>
        <w:t>). The observation platforms include the follows.</w:t>
      </w:r>
    </w:p>
    <w:p w14:paraId="31FD7347" w14:textId="35A1C763"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lastRenderedPageBreak/>
        <w:t>Surface Meteorological Observation Stations (SMOS) measuring surface precipitation, surface pressure, surface winds, temperature, and relative humidity</w:t>
      </w:r>
      <w:r w:rsidR="00AC4151" w:rsidRPr="00C16EC2">
        <w:rPr>
          <w:rFonts w:ascii="Times New Roman" w:hAnsi="Times New Roman"/>
          <w:sz w:val="24"/>
          <w:szCs w:val="24"/>
        </w:rPr>
        <w:t>.</w:t>
      </w:r>
    </w:p>
    <w:p w14:paraId="633C295B"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Oklahoma and Kansas mesonet stations (OKM and KAM) measuring surface precipitation, pressure, winds, and temperature.</w:t>
      </w:r>
    </w:p>
    <w:p w14:paraId="54FD18F5" w14:textId="51F65CF2"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Microwave Radiometer (MWR) stations measuring the column precipitable water and total cloud liquid water</w:t>
      </w:r>
      <w:r w:rsidR="00AC4151" w:rsidRPr="00C16EC2">
        <w:rPr>
          <w:rFonts w:ascii="Times New Roman" w:hAnsi="Times New Roman"/>
          <w:sz w:val="24"/>
          <w:szCs w:val="24"/>
        </w:rPr>
        <w:t>.</w:t>
      </w:r>
    </w:p>
    <w:p w14:paraId="0CB34AA5"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071F6B">
      <w:pPr>
        <w:spacing w:line="360" w:lineRule="auto"/>
        <w:ind w:firstLine="360"/>
        <w:jc w:val="both"/>
        <w:rPr>
          <w:rFonts w:ascii="Times New Roman" w:hAnsi="Times New Roman" w:cs="Times New Roman"/>
          <w:szCs w:val="24"/>
        </w:rPr>
      </w:pPr>
      <w:r w:rsidRPr="00C16EC2">
        <w:rPr>
          <w:rFonts w:ascii="Times New Roman" w:hAnsi="Times New Roman"/>
          <w:szCs w:val="24"/>
        </w:rPr>
        <w:t>The Geostationary Operational Environmental Satellite (GOES) provides satellite measurements</w:t>
      </w:r>
      <w:r w:rsidR="00AC4151" w:rsidRPr="00C16EC2">
        <w:rPr>
          <w:rFonts w:ascii="Times New Roman" w:hAnsi="Times New Roman"/>
          <w:szCs w:val="24"/>
        </w:rPr>
        <w:t>,</w:t>
      </w:r>
      <w:r w:rsidRPr="00C16EC2">
        <w:rPr>
          <w:rFonts w:ascii="Times New Roman" w:hAnsi="Times New Roman"/>
          <w:szCs w:val="24"/>
        </w:rPr>
        <w:t xml:space="preserve"> clouds</w:t>
      </w:r>
      <w:r w:rsidR="00AC4151" w:rsidRPr="00C16EC2">
        <w:rPr>
          <w:rFonts w:ascii="Times New Roman" w:hAnsi="Times New Roman"/>
          <w:szCs w:val="24"/>
        </w:rPr>
        <w:t>,</w:t>
      </w:r>
      <w:r w:rsidRPr="00C16EC2">
        <w:rPr>
          <w:rFonts w:ascii="Times New Roman" w:hAnsi="Times New Roman"/>
          <w:szCs w:val="24"/>
        </w:rPr>
        <w:t xml:space="preserve"> and broadband radiative fluxes at TOA over the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x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grids (Fig</w:t>
      </w:r>
      <w:r w:rsidR="0082747E" w:rsidRPr="00C16EC2">
        <w:rPr>
          <w:rFonts w:ascii="Times New Roman" w:hAnsi="Times New Roman" w:cs="Times New Roman"/>
          <w:szCs w:val="24"/>
        </w:rPr>
        <w:t>ure 1d</w:t>
      </w:r>
      <w:r w:rsidRPr="00C16EC2">
        <w:rPr>
          <w:rFonts w:ascii="Times New Roman" w:hAnsi="Times New Roman" w:cs="Times New Roman"/>
          <w:szCs w:val="24"/>
        </w:rPr>
        <w:t>)</w:t>
      </w:r>
      <w:r w:rsidR="00F3431E" w:rsidRPr="00C16EC2">
        <w:rPr>
          <w:rFonts w:ascii="Times New Roman" w:hAnsi="Times New Roman" w:cs="Times New Roman"/>
          <w:szCs w:val="24"/>
        </w:rPr>
        <w:t xml:space="preserve"> (</w:t>
      </w:r>
      <w:proofErr w:type="spellStart"/>
      <w:r w:rsidR="00F3431E" w:rsidRPr="00C16EC2">
        <w:rPr>
          <w:rFonts w:ascii="Times New Roman" w:hAnsi="Times New Roman" w:cs="Times New Roman"/>
          <w:szCs w:val="24"/>
        </w:rPr>
        <w:t>Minnis</w:t>
      </w:r>
      <w:proofErr w:type="spellEnd"/>
      <w:r w:rsidR="00F3431E" w:rsidRPr="00C16EC2">
        <w:rPr>
          <w:rFonts w:ascii="Times New Roman" w:hAnsi="Times New Roman" w:cs="Times New Roman"/>
          <w:szCs w:val="24"/>
        </w:rPr>
        <w:t xml:space="preserve"> et al. 1995)</w:t>
      </w:r>
      <w:r w:rsidRPr="00C16EC2">
        <w:rPr>
          <w:rFonts w:ascii="Times New Roman" w:hAnsi="Times New Roman" w:cs="Times New Roman"/>
          <w:szCs w:val="24"/>
        </w:rPr>
        <w:t xml:space="preserve">. All the constraint variables </w:t>
      </w:r>
      <w:r w:rsidR="00F3431E" w:rsidRPr="00C16EC2">
        <w:rPr>
          <w:rFonts w:ascii="Times New Roman" w:hAnsi="Times New Roman" w:cs="Times New Roman"/>
          <w:szCs w:val="24"/>
        </w:rPr>
        <w:t>are</w:t>
      </w:r>
      <w:r w:rsidRPr="00C16EC2">
        <w:rPr>
          <w:rFonts w:ascii="Times New Roman" w:hAnsi="Times New Roman" w:cs="Times New Roman"/>
          <w:szCs w:val="24"/>
        </w:rPr>
        <w:t xml:space="preserve"> area-averaged quantities over the analysis domain. To avoid biases of using overcrowding measurement stations in some areas</w:t>
      </w:r>
      <w:r>
        <w:rPr>
          <w:rFonts w:ascii="Times New Roman" w:hAnsi="Times New Roman" w:cs="Times New Roman"/>
          <w:szCs w:val="24"/>
        </w:rPr>
        <w:t xml:space="preserve">,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Pr>
          <w:rFonts w:ascii="Times New Roman" w:hAnsi="Times New Roman" w:cs="Times New Roman"/>
          <w:szCs w:val="24"/>
        </w:rPr>
        <w:t>are</w:t>
      </w:r>
      <w:r w:rsidR="00AC4151">
        <w:rPr>
          <w:rFonts w:ascii="Times New Roman" w:hAnsi="Times New Roman" w:cs="Times New Roman"/>
          <w:szCs w:val="24"/>
        </w:rPr>
        <w:t xml:space="preserve"> </w:t>
      </w:r>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792930">
      <w:pPr>
        <w:spacing w:line="360" w:lineRule="auto"/>
        <w:ind w:firstLine="360"/>
        <w:jc w:val="center"/>
        <w:rPr>
          <w:rFonts w:ascii="Times New Roman" w:hAnsi="Times New Roman"/>
          <w:szCs w:val="24"/>
        </w:rPr>
      </w:pPr>
    </w:p>
    <w:p w14:paraId="0207BCE8" w14:textId="391EC397" w:rsidR="0082747E" w:rsidRDefault="0082747E" w:rsidP="00792930">
      <w:pPr>
        <w:spacing w:line="360" w:lineRule="auto"/>
        <w:ind w:firstLine="360"/>
        <w:jc w:val="center"/>
        <w:rPr>
          <w:rFonts w:ascii="Times New Roman" w:hAnsi="Times New Roman"/>
          <w:szCs w:val="24"/>
        </w:rPr>
      </w:pPr>
      <w:r>
        <w:rPr>
          <w:noProof/>
          <w:lang w:eastAsia="zh-CN"/>
        </w:rPr>
        <w:lastRenderedPageBreak/>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0309" cy="4479290"/>
                    </a:xfrm>
                    <a:prstGeom prst="rect">
                      <a:avLst/>
                    </a:prstGeom>
                  </pic:spPr>
                </pic:pic>
              </a:graphicData>
            </a:graphic>
          </wp:inline>
        </w:drawing>
      </w:r>
    </w:p>
    <w:p w14:paraId="78075427" w14:textId="0D69ADC5" w:rsidR="0082747E" w:rsidRDefault="009D46FA" w:rsidP="0082747E">
      <w:pPr>
        <w:pStyle w:val="NormalWeb"/>
        <w:spacing w:before="0" w:beforeAutospacing="0" w:after="200" w:line="360" w:lineRule="auto"/>
        <w:ind w:firstLine="360"/>
        <w:rPr>
          <w:rFonts w:ascii="Times New Roman" w:hAnsi="Times New Roman"/>
          <w:sz w:val="24"/>
          <w:szCs w:val="24"/>
        </w:rPr>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proofErr w:type="spellStart"/>
      <w:r w:rsidR="0082747E" w:rsidRPr="0082747E">
        <w:rPr>
          <w:rFonts w:ascii="Times New Roman" w:hAnsi="Times New Roman"/>
          <w:sz w:val="22"/>
          <w:szCs w:val="22"/>
        </w:rPr>
        <w:t>circiles</w:t>
      </w:r>
      <w:proofErr w:type="spellEnd"/>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16AEA90D" w14:textId="5FF705DC" w:rsidR="009D46FA" w:rsidRDefault="0082747E" w:rsidP="00DF6243">
      <w:pPr>
        <w:spacing w:line="360" w:lineRule="auto"/>
        <w:ind w:firstLine="360"/>
        <w:rPr>
          <w:rFonts w:ascii="Times New Roman" w:hAnsi="Times New Roman"/>
          <w:szCs w:val="24"/>
        </w:rPr>
      </w:pPr>
      <w:r>
        <w:rPr>
          <w:rFonts w:ascii="Times New Roman" w:hAnsi="Times New Roman"/>
          <w:szCs w:val="24"/>
        </w:rPr>
        <w:t xml:space="preserve"> </w:t>
      </w: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Pr>
          <w:rFonts w:ascii="Times New Roman" w:hAnsi="Times New Roman"/>
          <w:sz w:val="24"/>
          <w:szCs w:val="24"/>
        </w:rPr>
        <w:lastRenderedPageBreak/>
        <w:t xml:space="preserve">measurements are not available. For both types of the forcing datasets, the large-scale state variables are constrained with surface and satellite observations. </w:t>
      </w:r>
    </w:p>
    <w:p w14:paraId="6222AE47" w14:textId="43D71111" w:rsidR="009D46FA" w:rsidRDefault="009D46FA" w:rsidP="00DF6243">
      <w:pPr>
        <w:spacing w:line="360" w:lineRule="auto"/>
        <w:ind w:firstLine="360"/>
        <w:jc w:val="both"/>
        <w:rPr>
          <w:rFonts w:ascii="Times New Roman" w:hAnsi="Times New Roman"/>
          <w:szCs w:val="24"/>
        </w:rPr>
      </w:pPr>
      <w:r w:rsidRPr="00966448">
        <w:rPr>
          <w:rFonts w:ascii="Times New Roman" w:hAnsi="Times New Roman"/>
          <w:szCs w:val="24"/>
        </w:rPr>
        <w:t>Table 1 lists</w:t>
      </w:r>
      <w:r>
        <w:rPr>
          <w:rFonts w:ascii="Times New Roman" w:hAnsi="Times New Roman"/>
          <w:szCs w:val="24"/>
        </w:rPr>
        <w:t xml:space="preserve">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r w:rsidR="00AC4151">
        <w:rPr>
          <w:rFonts w:ascii="Times New Roman" w:hAnsi="Times New Roman"/>
          <w:szCs w:val="24"/>
        </w:rPr>
        <w:t>took</w:t>
      </w:r>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12CA83B7" w14:textId="77777777" w:rsidR="00966448" w:rsidRDefault="00966448" w:rsidP="00071F6B">
      <w:pPr>
        <w:pStyle w:val="NormalWeb"/>
        <w:spacing w:before="0" w:beforeAutospacing="0" w:after="200" w:line="276" w:lineRule="auto"/>
        <w:rPr>
          <w:rFonts w:ascii="Times New Roman" w:hAnsi="Times New Roman"/>
          <w:sz w:val="24"/>
          <w:szCs w:val="24"/>
        </w:rPr>
      </w:pPr>
    </w:p>
    <w:p w14:paraId="7090ED8A" w14:textId="56C2E364" w:rsidR="009D46FA" w:rsidRDefault="009D46FA" w:rsidP="00966448">
      <w:pPr>
        <w:pStyle w:val="NormalWeb"/>
        <w:spacing w:before="0" w:beforeAutospacing="0" w:after="200" w:line="276" w:lineRule="auto"/>
        <w:jc w:val="center"/>
        <w:rPr>
          <w:rFonts w:ascii="Times New Roman" w:hAnsi="Times New Roman"/>
          <w:sz w:val="24"/>
          <w:szCs w:val="24"/>
        </w:rPr>
      </w:pPr>
      <w:proofErr w:type="gramStart"/>
      <w:r>
        <w:rPr>
          <w:rFonts w:ascii="Times New Roman" w:hAnsi="Times New Roman"/>
          <w:sz w:val="24"/>
          <w:szCs w:val="24"/>
        </w:rPr>
        <w:lastRenderedPageBreak/>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C16EC2">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2EA7E23" w:rsidR="00EF6604" w:rsidRPr="00F23980" w:rsidRDefault="0071338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966448">
        <w:rPr>
          <w:rFonts w:ascii="Times New Roman" w:hAnsi="Times New Roman" w:cs="Times New Roman"/>
          <w:color w:val="000000" w:themeColor="text1"/>
          <w:szCs w:val="24"/>
        </w:rPr>
        <w:t>a, b</w:t>
      </w:r>
      <w:r w:rsidR="00B46ECB" w:rsidRPr="00F23980">
        <w:rPr>
          <w:rFonts w:ascii="Times New Roman" w:hAnsi="Times New Roman" w:cs="Times New Roman"/>
          <w:color w:val="000000" w:themeColor="text1"/>
          <w:szCs w:val="24"/>
        </w:rPr>
        <w:t xml:space="preserve">; </w:t>
      </w:r>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966448">
        <w:rPr>
          <w:rFonts w:ascii="Times New Roman" w:hAnsi="Times New Roman" w:cs="Times New Roman"/>
          <w:color w:val="000000" w:themeColor="text1"/>
          <w:szCs w:val="24"/>
        </w:rPr>
        <w:t xml:space="preserve">; Hume and </w:t>
      </w:r>
      <w:proofErr w:type="spellStart"/>
      <w:r w:rsidR="00966448">
        <w:rPr>
          <w:rFonts w:ascii="Times New Roman" w:hAnsi="Times New Roman" w:cs="Times New Roman"/>
          <w:color w:val="000000" w:themeColor="text1"/>
          <w:szCs w:val="24"/>
        </w:rPr>
        <w:t>Jakob</w:t>
      </w:r>
      <w:proofErr w:type="spellEnd"/>
      <w:r w:rsidR="00966448">
        <w:rPr>
          <w:rFonts w:ascii="Times New Roman" w:hAnsi="Times New Roman" w:cs="Times New Roman"/>
          <w:color w:val="000000" w:themeColor="text1"/>
          <w:szCs w:val="24"/>
        </w:rPr>
        <w:t xml:space="preserve">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macrophysical schemes (e.g.</w:t>
      </w:r>
      <w:r w:rsidR="006D58D3">
        <w:rPr>
          <w:rFonts w:ascii="Times New Roman" w:hAnsi="Times New Roman" w:cs="Times New Roman"/>
          <w:color w:val="000000" w:themeColor="text1"/>
          <w:szCs w:val="24"/>
        </w:rPr>
        <w:t xml:space="preserve"> Kennedy et al. 2010;</w:t>
      </w:r>
      <w:r w:rsidR="00B46ECB" w:rsidRPr="00F23980">
        <w:rPr>
          <w:rFonts w:ascii="Times New Roman" w:hAnsi="Times New Roman" w:cs="Times New Roman"/>
          <w:color w:val="000000" w:themeColor="text1"/>
          <w:szCs w:val="24"/>
        </w:rPr>
        <w:t xml:space="preserve">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parameterization of deep convection (Wu et al. 2009), the parameterization shallow convection and boundary-layer turbulence (</w:t>
      </w:r>
      <w:proofErr w:type="spellStart"/>
      <w:r w:rsidR="006D58D3" w:rsidRPr="00EA7B2F">
        <w:rPr>
          <w:rFonts w:ascii="Times New Roman" w:eastAsia="Times New Roman" w:hAnsi="Times New Roman" w:cs="Times New Roman"/>
          <w:color w:val="000000" w:themeColor="text1"/>
          <w:szCs w:val="24"/>
          <w:lang w:eastAsia="zh-CN"/>
        </w:rPr>
        <w:t>Sušelj</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2012), among others. The third is to use SCMs under ARM forcing data to improve understanding of processes, including growth of ice particles (Comstock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w:t>
      </w:r>
      <w:r w:rsidR="00EF6604" w:rsidRPr="00F23980">
        <w:rPr>
          <w:rFonts w:ascii="Times New Roman" w:hAnsi="Times New Roman" w:cs="Times New Roman"/>
          <w:color w:val="000000" w:themeColor="text1"/>
          <w:szCs w:val="24"/>
          <w:bdr w:val="none" w:sz="0" w:space="0" w:color="auto" w:frame="1"/>
          <w:shd w:val="clear" w:color="auto" w:fill="FFFFFF"/>
        </w:rPr>
        <w:lastRenderedPageBreak/>
        <w:t>(2005),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7D61C01F" w:rsidR="001C5A44" w:rsidRPr="00F23980" w:rsidRDefault="00B8280F" w:rsidP="00C16EC2">
      <w:pPr>
        <w:spacing w:after="240" w:line="360" w:lineRule="auto"/>
        <w:ind w:firstLine="360"/>
        <w:textAlignment w:val="baseline"/>
        <w:rPr>
          <w:rFonts w:ascii="Times New Roman" w:eastAsia="Times New Roman" w:hAnsi="Times New Roman" w:cs="Times New Roman"/>
          <w:color w:val="000000" w:themeColor="text1"/>
          <w:szCs w:val="24"/>
          <w:lang w:eastAsia="zh-CN"/>
        </w:rPr>
      </w:pPr>
      <w:r>
        <w:rPr>
          <w:rFonts w:ascii="Times New Roman" w:eastAsia="Times New Roman" w:hAnsi="Times New Roman" w:cs="Times New Roman"/>
          <w:color w:val="000000" w:themeColor="text1"/>
          <w:szCs w:val="24"/>
          <w:lang w:eastAsia="zh-CN"/>
        </w:rPr>
        <w:t>The s</w:t>
      </w:r>
      <w:r w:rsidR="001C5A44" w:rsidRPr="00F23980">
        <w:rPr>
          <w:rFonts w:ascii="Times New Roman" w:eastAsia="Times New Roman" w:hAnsi="Times New Roman" w:cs="Times New Roman"/>
          <w:color w:val="000000" w:themeColor="text1"/>
          <w:szCs w:val="24"/>
          <w:lang w:eastAsia="zh-CN"/>
        </w:rPr>
        <w:t xml:space="preserve">econd ARM SCM case study by </w:t>
      </w:r>
      <w:proofErr w:type="spellStart"/>
      <w:r w:rsidR="001C5A44" w:rsidRPr="00F23980">
        <w:rPr>
          <w:rFonts w:ascii="Times New Roman" w:eastAsia="Times New Roman" w:hAnsi="Times New Roman" w:cs="Times New Roman"/>
          <w:color w:val="000000" w:themeColor="text1"/>
          <w:szCs w:val="24"/>
          <w:lang w:eastAsia="zh-CN"/>
        </w:rPr>
        <w:t>Xie</w:t>
      </w:r>
      <w:proofErr w:type="spellEnd"/>
      <w:r w:rsidR="001C5A44"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001C5A44" w:rsidRPr="00F23980">
        <w:rPr>
          <w:rFonts w:ascii="Times New Roman" w:eastAsia="Times New Roman" w:hAnsi="Times New Roman" w:cs="Times New Roman"/>
          <w:color w:val="000000" w:themeColor="text1"/>
          <w:szCs w:val="24"/>
          <w:lang w:eastAsia="zh-CN"/>
        </w:rPr>
        <w:t>Ghan</w:t>
      </w:r>
      <w:proofErr w:type="spellEnd"/>
      <w:r w:rsidR="001C5A44" w:rsidRPr="00F23980">
        <w:rPr>
          <w:rFonts w:ascii="Times New Roman" w:eastAsia="Times New Roman" w:hAnsi="Times New Roman" w:cs="Times New Roman"/>
          <w:color w:val="000000" w:themeColor="text1"/>
          <w:szCs w:val="24"/>
          <w:lang w:eastAsia="zh-CN"/>
        </w:rPr>
        <w:t xml:space="preserve"> et al. (2000).  It was shown that d</w:t>
      </w:r>
      <w:r w:rsidR="001C5A44" w:rsidRPr="00B46ECB">
        <w:rPr>
          <w:rFonts w:ascii="Times New Roman" w:eastAsia="Times New Roman" w:hAnsi="Times New Roman" w:cs="Times New Roman"/>
          <w:color w:val="000000" w:themeColor="text1"/>
          <w:szCs w:val="24"/>
          <w:lang w:eastAsia="zh-CN"/>
        </w:rPr>
        <w:t xml:space="preserve">eficiencies in convective triggering mechanisms </w:t>
      </w:r>
      <w:r w:rsidR="001C5A44" w:rsidRPr="00F23980">
        <w:rPr>
          <w:rFonts w:ascii="Times New Roman" w:eastAsia="Times New Roman" w:hAnsi="Times New Roman" w:cs="Times New Roman"/>
          <w:color w:val="000000" w:themeColor="text1"/>
          <w:szCs w:val="24"/>
          <w:lang w:eastAsia="zh-CN"/>
        </w:rPr>
        <w:t xml:space="preserve">were </w:t>
      </w:r>
      <w:r>
        <w:rPr>
          <w:rFonts w:ascii="Times New Roman" w:eastAsia="Times New Roman" w:hAnsi="Times New Roman" w:cs="Times New Roman"/>
          <w:color w:val="000000" w:themeColor="text1"/>
          <w:szCs w:val="24"/>
          <w:lang w:eastAsia="zh-CN"/>
        </w:rPr>
        <w:t>the</w:t>
      </w:r>
      <w:r w:rsidR="001C5A44" w:rsidRPr="00B46ECB">
        <w:rPr>
          <w:rFonts w:ascii="Times New Roman" w:eastAsia="Times New Roman" w:hAnsi="Times New Roman" w:cs="Times New Roman"/>
          <w:color w:val="000000" w:themeColor="text1"/>
          <w:szCs w:val="24"/>
          <w:lang w:eastAsia="zh-CN"/>
        </w:rPr>
        <w:t xml:space="preserve"> major reasons</w:t>
      </w:r>
      <w:r w:rsidR="001C5A44"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001C5A44"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001C5A44"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001C5A44" w:rsidRPr="00B46ECB">
        <w:rPr>
          <w:rFonts w:ascii="Times New Roman" w:eastAsia="Times New Roman" w:hAnsi="Times New Roman" w:cs="Times New Roman"/>
          <w:color w:val="000000" w:themeColor="text1"/>
          <w:szCs w:val="24"/>
          <w:lang w:eastAsia="zh-CN"/>
        </w:rPr>
        <w:t>midlatitude</w:t>
      </w:r>
      <w:proofErr w:type="spellEnd"/>
      <w:r w:rsidR="001C5A44"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001C5A44" w:rsidRPr="00F23980">
        <w:rPr>
          <w:rFonts w:ascii="Times New Roman" w:eastAsia="Times New Roman" w:hAnsi="Times New Roman" w:cs="Times New Roman"/>
          <w:color w:val="000000" w:themeColor="text1"/>
          <w:szCs w:val="24"/>
          <w:lang w:eastAsia="zh-CN"/>
        </w:rPr>
        <w:t xml:space="preserve">  </w:t>
      </w:r>
      <w:r w:rsidR="001C5A44"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001C5A44"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C16EC2">
      <w:pPr>
        <w:tabs>
          <w:tab w:val="left" w:pos="360"/>
        </w:tabs>
        <w:spacing w:line="360" w:lineRule="auto"/>
        <w:ind w:firstLine="360"/>
        <w:jc w:val="both"/>
        <w:rPr>
          <w:rFonts w:ascii="Times New Roman" w:eastAsia="Times New Roman" w:hAnsi="Times New Roman" w:cs="Times New Roman"/>
          <w:color w:val="000000" w:themeColor="text1"/>
          <w:szCs w:val="24"/>
          <w:lang w:eastAsia="zh-CN"/>
        </w:rPr>
      </w:pPr>
      <w:r w:rsidRPr="00F23980">
        <w:rPr>
          <w:rFonts w:ascii="Times New Roman" w:hAnsi="Times New Roman" w:cs="Times New Roman"/>
          <w:color w:val="000000" w:themeColor="text1"/>
          <w:szCs w:val="24"/>
          <w:shd w:val="clear" w:color="auto" w:fill="FFFFFF"/>
        </w:rPr>
        <w:t xml:space="preserve">Another ARM case study was published by </w:t>
      </w:r>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3F53CFFB" w:rsidR="00F23980" w:rsidRPr="00F23980" w:rsidRDefault="00F23980"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with huge biases of both signs in cloud ice.  The SCMs overall underestimate middle clouds, which also appeared in CRMs.  They attributed some of these biases to the</w:t>
      </w:r>
      <w:r w:rsidR="00B8280F">
        <w:rPr>
          <w:rFonts w:ascii="Times New Roman" w:hAnsi="Times New Roman" w:cs="Times New Roman"/>
          <w:color w:val="000000" w:themeColor="text1"/>
          <w:szCs w:val="24"/>
        </w:rPr>
        <w:t xml:space="preserve"> lack of subgrid-scale dynamics.</w:t>
      </w:r>
      <w:r w:rsidRPr="00F23980">
        <w:rPr>
          <w:rFonts w:ascii="Times New Roman" w:hAnsi="Times New Roman" w:cs="Times New Roman"/>
          <w:color w:val="000000" w:themeColor="text1"/>
          <w:szCs w:val="24"/>
          <w:shd w:val="clear" w:color="auto" w:fill="E9EFF0"/>
        </w:rPr>
        <w:t xml:space="preserve"> </w:t>
      </w:r>
    </w:p>
    <w:p w14:paraId="6B61BA85" w14:textId="0D5E9D83" w:rsidR="001C5A44" w:rsidRPr="00F23980" w:rsidRDefault="001C5A4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lastRenderedPageBreak/>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r w:rsidRPr="00F23980">
        <w:rPr>
          <w:rFonts w:ascii="Times New Roman" w:hAnsi="Times New Roman" w:cs="Times New Roman"/>
          <w:color w:val="000000" w:themeColor="text1"/>
          <w:szCs w:val="24"/>
        </w:rPr>
        <w:t xml:space="preserve">Klein et al. (2010) </w:t>
      </w:r>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 xml:space="preserve">the simulated ice water path is generally consistent with observed values, </w:t>
      </w:r>
      <w:r w:rsidR="00B8280F">
        <w:rPr>
          <w:rFonts w:ascii="Times New Roman" w:eastAsia="Times New Roman" w:hAnsi="Times New Roman" w:cs="Times New Roman"/>
          <w:color w:val="000000" w:themeColor="text1"/>
          <w:szCs w:val="24"/>
          <w:lang w:eastAsia="zh-CN"/>
        </w:rPr>
        <w:t xml:space="preserve">and </w:t>
      </w:r>
      <w:r w:rsidR="00BE58A3" w:rsidRPr="00B46ECB">
        <w:rPr>
          <w:rFonts w:ascii="Times New Roman" w:eastAsia="Times New Roman" w:hAnsi="Times New Roman" w:cs="Times New Roman"/>
          <w:color w:val="000000" w:themeColor="text1"/>
          <w:szCs w:val="24"/>
          <w:lang w:eastAsia="zh-CN"/>
        </w:rPr>
        <w:t>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1A67203F" w:rsidR="00AD27E7"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shd w:val="clear" w:color="auto" w:fill="FFFFFF"/>
        </w:rPr>
      </w:pPr>
      <w:r w:rsidRPr="00F23980">
        <w:rPr>
          <w:rFonts w:ascii="Times New Roman" w:hAnsi="Times New Roman" w:cs="Times New Roman"/>
          <w:color w:val="000000" w:themeColor="text1"/>
          <w:szCs w:val="24"/>
        </w:rPr>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Fridland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B8280F">
        <w:rPr>
          <w:rFonts w:ascii="Times New Roman" w:hAnsi="Times New Roman" w:cs="Times New Roman"/>
          <w:color w:val="000000" w:themeColor="text1"/>
          <w:szCs w:val="24"/>
          <w:shd w:val="clear" w:color="auto" w:fill="FFFFFF"/>
        </w:rPr>
        <w:t>s</w:t>
      </w:r>
      <w:proofErr w:type="spellEnd"/>
      <w:r w:rsidR="00B8280F">
        <w:rPr>
          <w:rFonts w:ascii="Times New Roman" w:hAnsi="Times New Roman" w:cs="Times New Roman"/>
          <w:color w:val="000000" w:themeColor="text1"/>
          <w:szCs w:val="24"/>
          <w:shd w:val="clear" w:color="auto" w:fill="FFFFFF"/>
        </w:rPr>
        <w:t xml:space="preserve"> results have been given</w:t>
      </w:r>
      <w:r w:rsidR="00AD27E7" w:rsidRPr="00F23980">
        <w:rPr>
          <w:rFonts w:ascii="Times New Roman" w:hAnsi="Times New Roman" w:cs="Times New Roman"/>
          <w:color w:val="000000" w:themeColor="text1"/>
          <w:szCs w:val="24"/>
          <w:shd w:val="clear" w:color="auto" w:fill="FFFFFF"/>
        </w:rPr>
        <w:t xml:space="preserve">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966448">
        <w:rPr>
          <w:rFonts w:ascii="Times New Roman" w:hAnsi="Times New Roman" w:cs="Times New Roman"/>
          <w:color w:val="000000" w:themeColor="text1"/>
          <w:szCs w:val="24"/>
          <w:shd w:val="clear" w:color="auto" w:fill="FFFFFF"/>
        </w:rPr>
        <w:t xml:space="preserve"> impact</w:t>
      </w:r>
      <w:r w:rsidR="00AD27E7" w:rsidRPr="00F23980">
        <w:rPr>
          <w:rFonts w:ascii="Times New Roman" w:hAnsi="Times New Roman" w:cs="Times New Roman"/>
          <w:color w:val="000000" w:themeColor="text1"/>
          <w:szCs w:val="24"/>
          <w:shd w:val="clear" w:color="auto" w:fill="FFFFFF"/>
        </w:rPr>
        <w:t xml:space="preserve"> the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 xml:space="preserve">. </w:t>
      </w:r>
      <w:bookmarkStart w:id="0" w:name="_GoBack"/>
      <w:bookmarkEnd w:id="0"/>
    </w:p>
    <w:p w14:paraId="0FAE5532" w14:textId="2003E20F" w:rsidR="0076274B"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shd w:val="clear" w:color="auto" w:fill="FFFFFF"/>
        </w:rPr>
        <w:t xml:space="preserve">  </w:t>
      </w:r>
      <w:r w:rsidR="0076274B" w:rsidRPr="00F23980">
        <w:rPr>
          <w:rFonts w:ascii="Times New Roman" w:hAnsi="Times New Roman" w:cs="Times New Roman"/>
          <w:color w:val="000000" w:themeColor="text1"/>
          <w:szCs w:val="24"/>
        </w:rPr>
        <w:t xml:space="preserve">The most important contribution of the SCMs is </w:t>
      </w:r>
      <w:r w:rsidR="005B5EF0" w:rsidRPr="00F23980">
        <w:rPr>
          <w:rFonts w:ascii="Times New Roman" w:hAnsi="Times New Roman" w:cs="Times New Roman"/>
          <w:color w:val="000000" w:themeColor="text1"/>
          <w:szCs w:val="24"/>
        </w:rPr>
        <w:t xml:space="preserve">perhaps </w:t>
      </w:r>
      <w:r w:rsidR="0076274B" w:rsidRPr="00F23980">
        <w:rPr>
          <w:rFonts w:ascii="Times New Roman" w:hAnsi="Times New Roman" w:cs="Times New Roman"/>
          <w:color w:val="000000" w:themeColor="text1"/>
          <w:szCs w:val="24"/>
        </w:rPr>
        <w:t xml:space="preserve">that </w:t>
      </w:r>
      <w:r w:rsidR="005B5EF0" w:rsidRPr="00F23980">
        <w:rPr>
          <w:rFonts w:ascii="Times New Roman" w:hAnsi="Times New Roman" w:cs="Times New Roman"/>
          <w:color w:val="000000" w:themeColor="text1"/>
          <w:szCs w:val="24"/>
        </w:rPr>
        <w:t xml:space="preserve">they have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hypothesis and improvements can be first tested in SCMs, then evaluated against CRMs or LESs, and 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p>
    <w:p w14:paraId="344F111D" w14:textId="77777777" w:rsidR="00F23980" w:rsidRDefault="00F23980" w:rsidP="00C16EC2">
      <w:pPr>
        <w:spacing w:before="100" w:beforeAutospacing="1" w:after="0" w:line="360" w:lineRule="auto"/>
        <w:rPr>
          <w:rFonts w:ascii="Times New Roman" w:hAnsi="Times New Roman"/>
          <w:b/>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5850430D" w14:textId="77777777" w:rsidR="00F23980" w:rsidRDefault="00F23980" w:rsidP="00C25475">
      <w:pPr>
        <w:spacing w:after="0" w:line="360" w:lineRule="auto"/>
        <w:ind w:left="720" w:hanging="720"/>
        <w:rPr>
          <w:rFonts w:ascii="Times New Roman" w:hAnsi="Times New Roman" w:cs="Times New Roman"/>
          <w:color w:val="000000" w:themeColor="text1"/>
          <w:szCs w:val="24"/>
        </w:rPr>
      </w:pPr>
    </w:p>
    <w:p w14:paraId="6B3B5082"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BEA2834" w14:textId="77777777" w:rsidR="004A717E"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lastRenderedPageBreak/>
        <w:t>Comstock, J. M.</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R.-F. Lin</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D. O'C. Starr</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P. Yang</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2008</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Understanding ice </w:t>
      </w:r>
      <w:proofErr w:type="spellStart"/>
      <w:r w:rsidRPr="00EA7B2F">
        <w:rPr>
          <w:rFonts w:ascii="Times New Roman" w:hAnsi="Times New Roman" w:cs="Times New Roman"/>
          <w:color w:val="000000" w:themeColor="text1"/>
          <w:szCs w:val="24"/>
          <w:bdr w:val="none" w:sz="0" w:space="0" w:color="auto" w:frame="1"/>
          <w:shd w:val="clear" w:color="auto" w:fill="FFFFFF"/>
        </w:rPr>
        <w:t>supersaturation</w:t>
      </w:r>
      <w:proofErr w:type="spellEnd"/>
      <w:r w:rsidRPr="00EA7B2F">
        <w:rPr>
          <w:rFonts w:ascii="Times New Roman" w:hAnsi="Times New Roman" w:cs="Times New Roman"/>
          <w:color w:val="000000" w:themeColor="text1"/>
          <w:szCs w:val="24"/>
          <w:bdr w:val="none" w:sz="0" w:space="0" w:color="auto" w:frame="1"/>
          <w:shd w:val="clear" w:color="auto" w:fill="FFFFFF"/>
        </w:rPr>
        <w:t xml:space="preserve">, particle </w:t>
      </w:r>
      <w:proofErr w:type="gramStart"/>
      <w:r w:rsidRPr="00EA7B2F">
        <w:rPr>
          <w:rFonts w:ascii="Times New Roman" w:hAnsi="Times New Roman" w:cs="Times New Roman"/>
          <w:color w:val="000000" w:themeColor="text1"/>
          <w:szCs w:val="24"/>
          <w:bdr w:val="none" w:sz="0" w:space="0" w:color="auto" w:frame="1"/>
          <w:shd w:val="clear" w:color="auto" w:fill="FFFFFF"/>
        </w:rPr>
        <w:t>growth,</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and number concentration in cirrus clouds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113</w:t>
      </w:r>
      <w:r w:rsidRPr="00EA7B2F">
        <w:rPr>
          <w:rFonts w:ascii="Times New Roman" w:hAnsi="Times New Roman" w:cs="Times New Roman"/>
          <w:color w:val="000000" w:themeColor="text1"/>
          <w:szCs w:val="24"/>
          <w:shd w:val="clear" w:color="auto" w:fill="FFFFFF"/>
        </w:rPr>
        <w:t>, D23211,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"http://dx.doi.org/10.1029/2008JD010332" \o "Link to external resource: 10.1029/2008JD010332"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10.1029/2008JD010332</w:t>
      </w:r>
      <w:r w:rsidRPr="00EA7B2F">
        <w:rPr>
          <w:rFonts w:ascii="Times New Roman" w:hAnsi="Times New Roman" w:cs="Times New Roman"/>
          <w:color w:val="000000" w:themeColor="text1"/>
          <w:szCs w:val="24"/>
        </w:rPr>
        <w:fldChar w:fldCharType="end"/>
      </w:r>
    </w:p>
    <w:p w14:paraId="3FD5C70A" w14:textId="77777777" w:rsidR="004A717E" w:rsidRPr="00C25475" w:rsidRDefault="004A717E" w:rsidP="00C9231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Default="0074483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718E531C"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r w:rsidRPr="00EA7B2F">
        <w:rPr>
          <w:rFonts w:ascii="Times New Roman" w:hAnsi="Times New Roman" w:cs="Times New Roman"/>
          <w:color w:val="000000"/>
          <w:szCs w:val="24"/>
          <w:shd w:val="clear" w:color="auto" w:fill="FFFFFF"/>
        </w:rPr>
        <w:t xml:space="preserve">Davies, L., C.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K. Cheung,</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 xml:space="preserve">A. Del </w:t>
      </w:r>
      <w:proofErr w:type="spellStart"/>
      <w:r w:rsidRPr="00EA7B2F">
        <w:rPr>
          <w:rStyle w:val="gissauthor"/>
          <w:rFonts w:ascii="Times New Roman" w:hAnsi="Times New Roman" w:cs="Times New Roman"/>
          <w:color w:val="000000"/>
          <w:szCs w:val="24"/>
          <w:shd w:val="clear" w:color="auto" w:fill="FFFFFF"/>
        </w:rPr>
        <w:t>Genio</w:t>
      </w:r>
      <w:proofErr w:type="spellEnd"/>
      <w:r w:rsidRPr="00EA7B2F">
        <w:rPr>
          <w:rFonts w:ascii="Times New Roman" w:hAnsi="Times New Roman" w:cs="Times New Roman"/>
          <w:color w:val="000000"/>
          <w:szCs w:val="24"/>
          <w:shd w:val="clear" w:color="auto" w:fill="FFFFFF"/>
        </w:rPr>
        <w:t xml:space="preserve">, A. Hill, T. Hume, R.J. Keane, T. Komori, V.E. Larson, Y. Lin, X. Liu, B.J. Nielsen, J. </w:t>
      </w:r>
      <w:proofErr w:type="spell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R.S. Plant, M.S. Singh, X. Shi, X. Song, W. Wang, M.A. </w:t>
      </w:r>
      <w:proofErr w:type="spellStart"/>
      <w:r w:rsidRPr="00EA7B2F">
        <w:rPr>
          <w:rFonts w:ascii="Times New Roman" w:hAnsi="Times New Roman" w:cs="Times New Roman"/>
          <w:color w:val="000000"/>
          <w:szCs w:val="24"/>
          <w:shd w:val="clear" w:color="auto" w:fill="FFFFFF"/>
        </w:rPr>
        <w:t>Whitall</w:t>
      </w:r>
      <w:proofErr w:type="spellEnd"/>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A. Wolf</w:t>
      </w:r>
      <w:r w:rsidRPr="00EA7B2F">
        <w:rPr>
          <w:rFonts w:ascii="Times New Roman" w:hAnsi="Times New Roman" w:cs="Times New Roman"/>
          <w:color w:val="000000"/>
          <w:szCs w:val="24"/>
          <w:shd w:val="clear" w:color="auto" w:fill="FFFFFF"/>
        </w:rPr>
        <w:t xml:space="preserve">, S.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and G. Zhang, 2013: A single-column model ensemble approach applied to the TWP-ICE experiment.</w:t>
      </w:r>
      <w:r w:rsidRPr="00EA7B2F">
        <w:rPr>
          <w:rStyle w:val="apple-converted-space"/>
          <w:rFonts w:ascii="Times New Roman" w:hAnsi="Times New Roman" w:cs="Times New Roman"/>
          <w:color w:val="000000"/>
          <w:szCs w:val="24"/>
          <w:shd w:val="clear" w:color="auto" w:fill="FFFFFF"/>
        </w:rPr>
        <w:t> </w:t>
      </w:r>
      <w:r w:rsidRPr="00EA7B2F">
        <w:rPr>
          <w:rStyle w:val="HTMLCite"/>
          <w:rFonts w:ascii="Times New Roman" w:hAnsi="Times New Roman" w:cs="Times New Roman"/>
          <w:color w:val="000000"/>
          <w:szCs w:val="24"/>
          <w:shd w:val="clear" w:color="auto" w:fill="FFFFFF"/>
        </w:rPr>
        <w:t xml:space="preserve">J. </w:t>
      </w:r>
      <w:proofErr w:type="spellStart"/>
      <w:r w:rsidRPr="00EA7B2F">
        <w:rPr>
          <w:rStyle w:val="HTMLCite"/>
          <w:rFonts w:ascii="Times New Roman" w:hAnsi="Times New Roman" w:cs="Times New Roman"/>
          <w:color w:val="000000"/>
          <w:szCs w:val="24"/>
          <w:shd w:val="clear" w:color="auto" w:fill="FFFFFF"/>
        </w:rPr>
        <w:t>Geophys</w:t>
      </w:r>
      <w:proofErr w:type="spellEnd"/>
      <w:r w:rsidRPr="00EA7B2F">
        <w:rPr>
          <w:rStyle w:val="HTMLCite"/>
          <w:rFonts w:ascii="Times New Roman" w:hAnsi="Times New Roman" w:cs="Times New Roman"/>
          <w:color w:val="000000"/>
          <w:szCs w:val="24"/>
          <w:shd w:val="clear" w:color="auto" w:fill="FFFFFF"/>
        </w:rPr>
        <w:t xml:space="preserve">. </w:t>
      </w:r>
      <w:proofErr w:type="gramStart"/>
      <w:r w:rsidRPr="00EA7B2F">
        <w:rPr>
          <w:rStyle w:val="HTMLCite"/>
          <w:rFonts w:ascii="Times New Roman" w:hAnsi="Times New Roman" w:cs="Times New Roman"/>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118</w:t>
      </w:r>
      <w:r w:rsidRPr="00EA7B2F">
        <w:rPr>
          <w:rFonts w:ascii="Times New Roman" w:hAnsi="Times New Roman" w:cs="Times New Roman"/>
          <w:color w:val="000000"/>
          <w:szCs w:val="24"/>
          <w:shd w:val="clear" w:color="auto" w:fill="FFFFFF"/>
        </w:rPr>
        <w:t>, 6544-6563, doi:10.1002/jgrd.50450.</w:t>
      </w:r>
      <w:proofErr w:type="gramEnd"/>
    </w:p>
    <w:p w14:paraId="4E7C3AB2" w14:textId="31FA0543" w:rsidR="00071F6B" w:rsidRPr="00C25475" w:rsidRDefault="00071F6B"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w:t>
      </w:r>
      <w:proofErr w:type="gramEnd"/>
      <w:r w:rsidRPr="00C25475">
        <w:rPr>
          <w:rFonts w:ascii="Times New Roman" w:hAnsi="Times New Roman" w:cs="Times New Roman"/>
          <w:color w:val="000000" w:themeColor="text1"/>
          <w:szCs w:val="24"/>
        </w:rPr>
        <w:t xml:space="preserve">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DF753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shd w:val="clear" w:color="auto" w:fill="FFFFFF"/>
        </w:rPr>
      </w:pPr>
      <w:proofErr w:type="spellStart"/>
      <w:r w:rsidRPr="00EA7B2F">
        <w:rPr>
          <w:rFonts w:ascii="Times New Roman" w:hAnsi="Times New Roman" w:cs="Times New Roman"/>
          <w:color w:val="000000" w:themeColor="text1"/>
          <w:szCs w:val="24"/>
          <w:shd w:val="clear" w:color="auto" w:fill="FFFFFF"/>
        </w:rPr>
        <w:t>Fridlind</w:t>
      </w:r>
      <w:proofErr w:type="spellEnd"/>
      <w:r w:rsidRPr="00EA7B2F">
        <w:rPr>
          <w:rFonts w:ascii="Times New Roman" w:hAnsi="Times New Roman" w:cs="Times New Roman"/>
          <w:color w:val="000000" w:themeColor="text1"/>
          <w:szCs w:val="24"/>
          <w:shd w:val="clear" w:color="auto" w:fill="FFFFFF"/>
        </w:rPr>
        <w:t xml:space="preserve">, A.M., A.S. Ackerman, J.-P. </w:t>
      </w:r>
      <w:proofErr w:type="spellStart"/>
      <w:r w:rsidRPr="00EA7B2F">
        <w:rPr>
          <w:rFonts w:ascii="Times New Roman" w:hAnsi="Times New Roman" w:cs="Times New Roman"/>
          <w:color w:val="000000" w:themeColor="text1"/>
          <w:szCs w:val="24"/>
          <w:shd w:val="clear" w:color="auto" w:fill="FFFFFF"/>
        </w:rPr>
        <w:t>Chaboureau</w:t>
      </w:r>
      <w:proofErr w:type="spellEnd"/>
      <w:r w:rsidRPr="00EA7B2F">
        <w:rPr>
          <w:rFonts w:ascii="Times New Roman" w:hAnsi="Times New Roman" w:cs="Times New Roman"/>
          <w:color w:val="000000" w:themeColor="text1"/>
          <w:szCs w:val="24"/>
          <w:shd w:val="clear" w:color="auto" w:fill="FFFFFF"/>
        </w:rPr>
        <w:t xml:space="preserve">, J. Fan, W.W. Grabowski, A. Hill, T.R. Jones, M.M. </w:t>
      </w:r>
      <w:proofErr w:type="spellStart"/>
      <w:r w:rsidRPr="00EA7B2F">
        <w:rPr>
          <w:rFonts w:ascii="Times New Roman" w:hAnsi="Times New Roman" w:cs="Times New Roman"/>
          <w:color w:val="000000" w:themeColor="text1"/>
          <w:szCs w:val="24"/>
          <w:shd w:val="clear" w:color="auto" w:fill="FFFFFF"/>
        </w:rPr>
        <w:t>Khaiyer</w:t>
      </w:r>
      <w:proofErr w:type="spellEnd"/>
      <w:r w:rsidRPr="00EA7B2F">
        <w:rPr>
          <w:rFonts w:ascii="Times New Roman" w:hAnsi="Times New Roman" w:cs="Times New Roman"/>
          <w:color w:val="000000" w:themeColor="text1"/>
          <w:szCs w:val="24"/>
          <w:shd w:val="clear" w:color="auto" w:fill="FFFFFF"/>
        </w:rPr>
        <w:t xml:space="preserve">, G. Liu, P. </w:t>
      </w:r>
      <w:proofErr w:type="spellStart"/>
      <w:r w:rsidRPr="00EA7B2F">
        <w:rPr>
          <w:rFonts w:ascii="Times New Roman" w:hAnsi="Times New Roman" w:cs="Times New Roman"/>
          <w:color w:val="000000" w:themeColor="text1"/>
          <w:szCs w:val="24"/>
          <w:shd w:val="clear" w:color="auto" w:fill="FFFFFF"/>
        </w:rPr>
        <w:t>Minnis</w:t>
      </w:r>
      <w:proofErr w:type="spellEnd"/>
      <w:r w:rsidRPr="00EA7B2F">
        <w:rPr>
          <w:rFonts w:ascii="Times New Roman" w:hAnsi="Times New Roman" w:cs="Times New Roman"/>
          <w:color w:val="000000" w:themeColor="text1"/>
          <w:szCs w:val="24"/>
          <w:shd w:val="clear" w:color="auto" w:fill="FFFFFF"/>
        </w:rPr>
        <w:t xml:space="preserve">, H. Morrison, L. Nguyen, S. Park, J.C. </w:t>
      </w:r>
      <w:proofErr w:type="spellStart"/>
      <w:r w:rsidRPr="00EA7B2F">
        <w:rPr>
          <w:rFonts w:ascii="Times New Roman" w:hAnsi="Times New Roman" w:cs="Times New Roman"/>
          <w:color w:val="000000" w:themeColor="text1"/>
          <w:szCs w:val="24"/>
          <w:shd w:val="clear" w:color="auto" w:fill="FFFFFF"/>
        </w:rPr>
        <w:t>Petch</w:t>
      </w:r>
      <w:proofErr w:type="spellEnd"/>
      <w:r w:rsidRPr="00EA7B2F">
        <w:rPr>
          <w:rFonts w:ascii="Times New Roman" w:hAnsi="Times New Roman" w:cs="Times New Roman"/>
          <w:color w:val="000000" w:themeColor="text1"/>
          <w:szCs w:val="24"/>
          <w:shd w:val="clear" w:color="auto" w:fill="FFFFFF"/>
        </w:rPr>
        <w:t xml:space="preserve">, J.-P. </w:t>
      </w:r>
      <w:proofErr w:type="spellStart"/>
      <w:r w:rsidRPr="00EA7B2F">
        <w:rPr>
          <w:rFonts w:ascii="Times New Roman" w:hAnsi="Times New Roman" w:cs="Times New Roman"/>
          <w:color w:val="000000" w:themeColor="text1"/>
          <w:szCs w:val="24"/>
          <w:shd w:val="clear" w:color="auto" w:fill="FFFFFF"/>
        </w:rPr>
        <w:t>Pinty</w:t>
      </w:r>
      <w:proofErr w:type="spellEnd"/>
      <w:r w:rsidRPr="00EA7B2F">
        <w:rPr>
          <w:rFonts w:ascii="Times New Roman" w:hAnsi="Times New Roman" w:cs="Times New Roman"/>
          <w:color w:val="000000" w:themeColor="text1"/>
          <w:szCs w:val="24"/>
          <w:shd w:val="clear" w:color="auto" w:fill="FFFFFF"/>
        </w:rPr>
        <w:t xml:space="preserve">, C. Schumacher, B. Shipway, A.C. </w:t>
      </w:r>
      <w:proofErr w:type="spellStart"/>
      <w:r w:rsidRPr="00EA7B2F">
        <w:rPr>
          <w:rFonts w:ascii="Times New Roman" w:hAnsi="Times New Roman" w:cs="Times New Roman"/>
          <w:color w:val="000000" w:themeColor="text1"/>
          <w:szCs w:val="24"/>
          <w:shd w:val="clear" w:color="auto" w:fill="FFFFFF"/>
        </w:rPr>
        <w:t>Varble</w:t>
      </w:r>
      <w:proofErr w:type="spellEnd"/>
      <w:r w:rsidRPr="00EA7B2F">
        <w:rPr>
          <w:rFonts w:ascii="Times New Roman" w:hAnsi="Times New Roman" w:cs="Times New Roman"/>
          <w:color w:val="000000" w:themeColor="text1"/>
          <w:szCs w:val="24"/>
          <w:shd w:val="clear" w:color="auto" w:fill="FFFFFF"/>
        </w:rPr>
        <w:t xml:space="preserve">, X. Wu, S. </w:t>
      </w:r>
      <w:proofErr w:type="spellStart"/>
      <w:r w:rsidRPr="00EA7B2F">
        <w:rPr>
          <w:rFonts w:ascii="Times New Roman" w:hAnsi="Times New Roman" w:cs="Times New Roman"/>
          <w:color w:val="000000" w:themeColor="text1"/>
          <w:szCs w:val="24"/>
          <w:shd w:val="clear" w:color="auto" w:fill="FFFFFF"/>
        </w:rPr>
        <w:t>Xie</w:t>
      </w:r>
      <w:proofErr w:type="spellEnd"/>
      <w:r w:rsidRPr="00EA7B2F">
        <w:rPr>
          <w:rFonts w:ascii="Times New Roman" w:hAnsi="Times New Roman" w:cs="Times New Roman"/>
          <w:color w:val="000000" w:themeColor="text1"/>
          <w:szCs w:val="24"/>
          <w:shd w:val="clear" w:color="auto" w:fill="FFFFFF"/>
        </w:rPr>
        <w:t>, and M. Zhang, 2012: </w:t>
      </w:r>
      <w:hyperlink r:id="rId64" w:history="1">
        <w:r w:rsidRPr="00EA7B2F">
          <w:rPr>
            <w:rFonts w:ascii="Times New Roman" w:hAnsi="Times New Roman" w:cs="Times New Roman"/>
            <w:color w:val="000000" w:themeColor="text1"/>
            <w:szCs w:val="24"/>
            <w:shd w:val="clear" w:color="auto" w:fill="FFFFFF"/>
          </w:rPr>
          <w:t>A comparison of TWP-ICE observational data with cloud-resolving model results</w:t>
        </w:r>
      </w:hyperlink>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i/>
          <w:iCs/>
          <w:color w:val="000000" w:themeColor="text1"/>
          <w:szCs w:val="24"/>
          <w:shd w:val="clear" w:color="auto" w:fill="FFFFFF"/>
        </w:rPr>
        <w:t xml:space="preserve">J. </w:t>
      </w:r>
      <w:proofErr w:type="spellStart"/>
      <w:r w:rsidRPr="00EA7B2F">
        <w:rPr>
          <w:rFonts w:ascii="Times New Roman" w:hAnsi="Times New Roman" w:cs="Times New Roman"/>
          <w:i/>
          <w:iCs/>
          <w:color w:val="000000" w:themeColor="text1"/>
          <w:szCs w:val="24"/>
          <w:shd w:val="clear" w:color="auto" w:fill="FFFFFF"/>
        </w:rPr>
        <w:t>Geophys</w:t>
      </w:r>
      <w:proofErr w:type="spellEnd"/>
      <w:r w:rsidRPr="00EA7B2F">
        <w:rPr>
          <w:rFonts w:ascii="Times New Roman" w:hAnsi="Times New Roman" w:cs="Times New Roman"/>
          <w:i/>
          <w:iCs/>
          <w:color w:val="000000" w:themeColor="text1"/>
          <w:szCs w:val="24"/>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b/>
          <w:bCs/>
          <w:color w:val="000000" w:themeColor="text1"/>
          <w:szCs w:val="24"/>
          <w:shd w:val="clear" w:color="auto" w:fill="FFFFFF"/>
        </w:rPr>
        <w:t>117</w:t>
      </w:r>
      <w:r w:rsidRPr="00EA7B2F">
        <w:rPr>
          <w:rFonts w:ascii="Times New Roman" w:hAnsi="Times New Roman" w:cs="Times New Roman"/>
          <w:color w:val="000000" w:themeColor="text1"/>
          <w:szCs w:val="24"/>
          <w:shd w:val="clear" w:color="auto" w:fill="FFFFFF"/>
        </w:rPr>
        <w:t>, D05204, doi</w:t>
      </w:r>
      <w:proofErr w:type="gramStart"/>
      <w:r w:rsidRPr="00EA7B2F">
        <w:rPr>
          <w:rFonts w:ascii="Times New Roman" w:hAnsi="Times New Roman" w:cs="Times New Roman"/>
          <w:color w:val="000000" w:themeColor="text1"/>
          <w:szCs w:val="24"/>
          <w:shd w:val="clear" w:color="auto" w:fill="FFFFFF"/>
        </w:rPr>
        <w:t>:10.1029</w:t>
      </w:r>
      <w:proofErr w:type="gramEnd"/>
      <w:r w:rsidRPr="00EA7B2F">
        <w:rPr>
          <w:rFonts w:ascii="Times New Roman" w:hAnsi="Times New Roman" w:cs="Times New Roman"/>
          <w:color w:val="000000" w:themeColor="text1"/>
          <w:szCs w:val="24"/>
          <w:shd w:val="clear" w:color="auto" w:fill="FFFFFF"/>
        </w:rPr>
        <w:t>/2011JD016595.</w:t>
      </w:r>
    </w:p>
    <w:p w14:paraId="454876D5" w14:textId="77777777" w:rsidR="004A717E" w:rsidRPr="00C25475" w:rsidRDefault="004A717E"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 M.,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xml:space="preserve">, 1996: </w:t>
      </w:r>
      <w:proofErr w:type="spellStart"/>
      <w:r w:rsidRPr="00C25475">
        <w:rPr>
          <w:rFonts w:ascii="Times New Roman" w:hAnsi="Times New Roman" w:cs="Times New Roman"/>
          <w:color w:val="000000" w:themeColor="text1"/>
          <w:szCs w:val="24"/>
        </w:rPr>
        <w:t>Rawinsonde</w:t>
      </w:r>
      <w:proofErr w:type="spellEnd"/>
      <w:r w:rsidRPr="00C25475">
        <w:rPr>
          <w:rFonts w:ascii="Times New Roman" w:hAnsi="Times New Roman" w:cs="Times New Roman"/>
          <w:color w:val="000000" w:themeColor="text1"/>
          <w:szCs w:val="24"/>
        </w:rPr>
        <w:t xml:space="preserve"> budget analyses 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73A07CB8"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rPr>
      </w:pPr>
      <w:r w:rsidRPr="00EA7B2F">
        <w:rPr>
          <w:rFonts w:ascii="Times New Roman" w:hAnsi="Times New Roman" w:cs="Times New Roman"/>
          <w:color w:val="000000" w:themeColor="text1"/>
          <w:szCs w:val="24"/>
          <w:shd w:val="clear" w:color="auto" w:fill="FFFFFF"/>
        </w:rPr>
        <w:t xml:space="preserve">Franklin, C. N., </w:t>
      </w:r>
      <w:proofErr w:type="spellStart"/>
      <w:r w:rsidRPr="00EA7B2F">
        <w:rPr>
          <w:rFonts w:ascii="Times New Roman" w:hAnsi="Times New Roman" w:cs="Times New Roman"/>
          <w:color w:val="000000" w:themeColor="text1"/>
          <w:szCs w:val="24"/>
          <w:shd w:val="clear" w:color="auto" w:fill="FFFFFF"/>
        </w:rPr>
        <w:t>Jakob</w:t>
      </w:r>
      <w:proofErr w:type="spellEnd"/>
      <w:r w:rsidRPr="00EA7B2F">
        <w:rPr>
          <w:rFonts w:ascii="Times New Roman" w:hAnsi="Times New Roman" w:cs="Times New Roman"/>
          <w:color w:val="000000" w:themeColor="text1"/>
          <w:szCs w:val="24"/>
          <w:shd w:val="clear" w:color="auto" w:fill="FFFFFF"/>
        </w:rPr>
        <w:t xml:space="preserve">, C., Dix, M., </w:t>
      </w:r>
      <w:proofErr w:type="spellStart"/>
      <w:r w:rsidRPr="00EA7B2F">
        <w:rPr>
          <w:rFonts w:ascii="Times New Roman" w:hAnsi="Times New Roman" w:cs="Times New Roman"/>
          <w:color w:val="000000" w:themeColor="text1"/>
          <w:szCs w:val="24"/>
          <w:shd w:val="clear" w:color="auto" w:fill="FFFFFF"/>
        </w:rPr>
        <w:t>Protat</w:t>
      </w:r>
      <w:proofErr w:type="spellEnd"/>
      <w:r w:rsidRPr="00EA7B2F">
        <w:rPr>
          <w:rFonts w:ascii="Times New Roman" w:hAnsi="Times New Roman" w:cs="Times New Roman"/>
          <w:color w:val="000000" w:themeColor="text1"/>
          <w:szCs w:val="24"/>
          <w:shd w:val="clear" w:color="auto" w:fill="FFFFFF"/>
        </w:rPr>
        <w:t xml:space="preserve">, A. and </w:t>
      </w:r>
      <w:proofErr w:type="spellStart"/>
      <w:r w:rsidRPr="00EA7B2F">
        <w:rPr>
          <w:rFonts w:ascii="Times New Roman" w:hAnsi="Times New Roman" w:cs="Times New Roman"/>
          <w:color w:val="000000" w:themeColor="text1"/>
          <w:szCs w:val="24"/>
          <w:shd w:val="clear" w:color="auto" w:fill="FFFFFF"/>
        </w:rPr>
        <w:t>Roff</w:t>
      </w:r>
      <w:proofErr w:type="spellEnd"/>
      <w:r w:rsidRPr="00EA7B2F">
        <w:rPr>
          <w:rFonts w:ascii="Times New Roman" w:hAnsi="Times New Roman" w:cs="Times New Roman"/>
          <w:color w:val="000000" w:themeColor="text1"/>
          <w:szCs w:val="24"/>
          <w:shd w:val="clear" w:color="auto" w:fill="FFFFFF"/>
        </w:rPr>
        <w:t xml:space="preserve">, G. (2012), Assessing the performance of a prognostic and a diagnostic cloud scheme using single column model simulations of TWP–ICE. Q.J.R. </w:t>
      </w:r>
      <w:proofErr w:type="spellStart"/>
      <w:r w:rsidRPr="00EA7B2F">
        <w:rPr>
          <w:rFonts w:ascii="Times New Roman" w:hAnsi="Times New Roman" w:cs="Times New Roman"/>
          <w:color w:val="000000" w:themeColor="text1"/>
          <w:szCs w:val="24"/>
          <w:shd w:val="clear" w:color="auto" w:fill="FFFFFF"/>
        </w:rPr>
        <w:t>Meteorol</w:t>
      </w:r>
      <w:proofErr w:type="spellEnd"/>
      <w:r w:rsidRPr="00EA7B2F">
        <w:rPr>
          <w:rFonts w:ascii="Times New Roman" w:hAnsi="Times New Roman" w:cs="Times New Roman"/>
          <w:color w:val="000000" w:themeColor="text1"/>
          <w:szCs w:val="24"/>
          <w:shd w:val="clear" w:color="auto" w:fill="FFFFFF"/>
        </w:rPr>
        <w:t xml:space="preserve">. Soc., 138: 734–754. </w:t>
      </w:r>
      <w:proofErr w:type="spellStart"/>
      <w:proofErr w:type="gramStart"/>
      <w:r w:rsidRPr="00EA7B2F">
        <w:rPr>
          <w:rFonts w:ascii="Times New Roman" w:hAnsi="Times New Roman" w:cs="Times New Roman"/>
          <w:color w:val="000000" w:themeColor="text1"/>
          <w:szCs w:val="24"/>
          <w:shd w:val="clear" w:color="auto" w:fill="FFFFFF"/>
        </w:rPr>
        <w:t>doi</w:t>
      </w:r>
      <w:proofErr w:type="spellEnd"/>
      <w:proofErr w:type="gramEnd"/>
      <w:r w:rsidRPr="00EA7B2F">
        <w:rPr>
          <w:rFonts w:ascii="Times New Roman" w:hAnsi="Times New Roman" w:cs="Times New Roman"/>
          <w:color w:val="000000" w:themeColor="text1"/>
          <w:szCs w:val="24"/>
          <w:shd w:val="clear" w:color="auto" w:fill="FFFFFF"/>
        </w:rPr>
        <w:t>: 10.1002/qj.954</w:t>
      </w:r>
    </w:p>
    <w:p w14:paraId="08040F9C" w14:textId="60C366E0"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2FACD55F" w:rsidR="00071F6B" w:rsidRPr="00C25475" w:rsidRDefault="00071F6B" w:rsidP="00C92315">
      <w:pPr>
        <w:pStyle w:val="ref"/>
        <w:spacing w:after="0" w:line="360" w:lineRule="auto"/>
        <w:rPr>
          <w:rFonts w:ascii="Times New Roman" w:hAnsi="Times New Roman"/>
          <w:color w:val="000000" w:themeColor="text1"/>
          <w:szCs w:val="24"/>
        </w:rPr>
      </w:pPr>
      <w:proofErr w:type="gramStart"/>
      <w:r w:rsidRPr="00C25475">
        <w:rPr>
          <w:rFonts w:ascii="Times New Roman" w:hAnsi="Times New Roman"/>
          <w:color w:val="000000" w:themeColor="text1"/>
          <w:szCs w:val="24"/>
        </w:rPr>
        <w:lastRenderedPageBreak/>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2005</w:t>
      </w:r>
      <w:r w:rsidR="004A717E">
        <w:rPr>
          <w:rFonts w:ascii="Times New Roman" w:hAnsi="Times New Roman"/>
          <w:color w:val="000000" w:themeColor="text1"/>
          <w:szCs w:val="24"/>
        </w:rPr>
        <w:t>:</w:t>
      </w:r>
      <w:r w:rsidRPr="00C25475">
        <w:rPr>
          <w:rFonts w:ascii="Times New Roman" w:hAnsi="Times New Roman"/>
          <w:color w:val="000000" w:themeColor="text1"/>
          <w:szCs w:val="24"/>
        </w:rPr>
        <w:t xml:space="preserve">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r w:rsidR="00966448">
        <w:rPr>
          <w:rFonts w:ascii="Times New Roman" w:hAnsi="Times New Roman"/>
          <w:color w:val="000000" w:themeColor="text1"/>
          <w:szCs w:val="24"/>
        </w:rPr>
        <w:t>,</w:t>
      </w:r>
      <w:r w:rsidR="00966448" w:rsidRPr="00966448">
        <w:rPr>
          <w:rFonts w:ascii="Times New Roman" w:hAnsi="Times New Roman"/>
          <w:color w:val="000000" w:themeColor="text1"/>
          <w:szCs w:val="24"/>
        </w:rPr>
        <w:t xml:space="preserve"> doi</w:t>
      </w:r>
      <w:proofErr w:type="gramStart"/>
      <w:r w:rsidR="00966448" w:rsidRPr="00966448">
        <w:rPr>
          <w:rFonts w:ascii="Times New Roman" w:hAnsi="Times New Roman"/>
          <w:color w:val="000000" w:themeColor="text1"/>
          <w:szCs w:val="24"/>
        </w:rPr>
        <w:t>:10.1029</w:t>
      </w:r>
      <w:proofErr w:type="gramEnd"/>
      <w:r w:rsidR="00966448" w:rsidRPr="00966448">
        <w:rPr>
          <w:rFonts w:ascii="Times New Roman" w:hAnsi="Times New Roman"/>
          <w:color w:val="000000" w:themeColor="text1"/>
          <w:szCs w:val="24"/>
        </w:rPr>
        <w:t>/2004JD005704.</w:t>
      </w:r>
    </w:p>
    <w:p w14:paraId="7A85A57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t>Hume, T.</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C. </w:t>
      </w:r>
      <w:proofErr w:type="spellStart"/>
      <w:r w:rsidRPr="00EA7B2F">
        <w:rPr>
          <w:rFonts w:ascii="Times New Roman" w:hAnsi="Times New Roman" w:cs="Times New Roman"/>
          <w:color w:val="000000" w:themeColor="text1"/>
          <w:szCs w:val="24"/>
          <w:bdr w:val="none" w:sz="0" w:space="0" w:color="auto" w:frame="1"/>
          <w:shd w:val="clear" w:color="auto" w:fill="FFFFFF"/>
        </w:rPr>
        <w:t>Jakob</w:t>
      </w:r>
      <w:proofErr w:type="spellEnd"/>
      <w:r w:rsidRPr="00EA7B2F">
        <w:rPr>
          <w:rFonts w:ascii="Times New Roman" w:hAnsi="Times New Roman" w:cs="Times New Roman"/>
          <w:color w:val="000000" w:themeColor="text1"/>
          <w:szCs w:val="24"/>
          <w:bdr w:val="none" w:sz="0" w:space="0" w:color="auto" w:frame="1"/>
          <w:shd w:val="clear" w:color="auto" w:fill="FFFFFF"/>
        </w:rPr>
        <w:t>,</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2007</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Ensemble single column model validation in the tropical western Pacific</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112</w:t>
      </w:r>
      <w:r w:rsidRPr="00EA7B2F">
        <w:rPr>
          <w:rFonts w:ascii="Times New Roman" w:hAnsi="Times New Roman" w:cs="Times New Roman"/>
          <w:color w:val="000000" w:themeColor="text1"/>
          <w:szCs w:val="24"/>
          <w:shd w:val="clear" w:color="auto" w:fill="FFFFFF"/>
        </w:rPr>
        <w:t>, D10206,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"http://dx.doi.org/10.1029/2006JD008018" \o "Link to external resource: 10.1029/2006JD008018"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10.1029/2006JD008018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4AE4AB72"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8F5D6D7"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5" w:history="1">
        <w:r w:rsidRPr="00EA7B2F">
          <w:rPr>
            <w:rFonts w:ascii="Times New Roman" w:eastAsia="Times New Roman" w:hAnsi="Times New Roman" w:cs="Times New Roman"/>
            <w:color w:val="000000" w:themeColor="text1"/>
            <w:szCs w:val="24"/>
            <w:lang w:eastAsia="zh-CN"/>
          </w:rPr>
          <w:t>http://dx.doi.org/10.1175/2010JCLI3353.1</w:t>
        </w:r>
      </w:hyperlink>
    </w:p>
    <w:p w14:paraId="12B5BA67" w14:textId="79C4562D" w:rsidR="003B4751" w:rsidRPr="003B4751" w:rsidRDefault="003B4751" w:rsidP="00C9231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92315">
      <w:pPr>
        <w:pStyle w:val="ref"/>
        <w:spacing w:after="0" w:line="360" w:lineRule="auto"/>
        <w:rPr>
          <w:rFonts w:ascii="Times New Roman" w:hAnsi="Times New Roman"/>
          <w:color w:val="000000" w:themeColor="text1"/>
          <w:szCs w:val="24"/>
        </w:rPr>
      </w:pPr>
      <w:bookmarkStart w:id="1"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1"/>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lastRenderedPageBreak/>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4479DB86"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proofErr w:type="spellStart"/>
      <w:proofErr w:type="gram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J., Hill, A., Davies, L., </w:t>
      </w:r>
      <w:proofErr w:type="spellStart"/>
      <w:r w:rsidRPr="00EA7B2F">
        <w:rPr>
          <w:rFonts w:ascii="Times New Roman" w:hAnsi="Times New Roman" w:cs="Times New Roman"/>
          <w:color w:val="000000"/>
          <w:szCs w:val="24"/>
          <w:shd w:val="clear" w:color="auto" w:fill="FFFFFF"/>
        </w:rPr>
        <w:t>Fridlind</w:t>
      </w:r>
      <w:proofErr w:type="spellEnd"/>
      <w:r w:rsidRPr="00EA7B2F">
        <w:rPr>
          <w:rFonts w:ascii="Times New Roman" w:hAnsi="Times New Roman" w:cs="Times New Roman"/>
          <w:color w:val="000000"/>
          <w:szCs w:val="24"/>
          <w:shd w:val="clear" w:color="auto" w:fill="FFFFFF"/>
        </w:rPr>
        <w:t xml:space="preserve">, A.,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xml:space="preserve">, C., Lin, Y.,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xml:space="preserve">, S. and Zhu, P. (2013), Evaluation of </w:t>
      </w:r>
      <w:proofErr w:type="spellStart"/>
      <w:r w:rsidRPr="00EA7B2F">
        <w:rPr>
          <w:rFonts w:ascii="Times New Roman" w:hAnsi="Times New Roman" w:cs="Times New Roman"/>
          <w:color w:val="000000"/>
          <w:szCs w:val="24"/>
          <w:shd w:val="clear" w:color="auto" w:fill="FFFFFF"/>
        </w:rPr>
        <w:t>intercomparisons</w:t>
      </w:r>
      <w:proofErr w:type="spellEnd"/>
      <w:r w:rsidRPr="00EA7B2F">
        <w:rPr>
          <w:rFonts w:ascii="Times New Roman" w:hAnsi="Times New Roman" w:cs="Times New Roman"/>
          <w:color w:val="000000"/>
          <w:szCs w:val="24"/>
          <w:shd w:val="clear" w:color="auto" w:fill="FFFFFF"/>
        </w:rPr>
        <w:t xml:space="preserve"> of four different types of model simulating TWP-ICE.</w:t>
      </w:r>
      <w:proofErr w:type="gramEnd"/>
      <w:r w:rsidRPr="00EA7B2F">
        <w:rPr>
          <w:rFonts w:ascii="Times New Roman" w:hAnsi="Times New Roman" w:cs="Times New Roman"/>
          <w:color w:val="000000"/>
          <w:szCs w:val="24"/>
          <w:shd w:val="clear" w:color="auto" w:fill="FFFFFF"/>
        </w:rPr>
        <w:t xml:space="preserve"> Q.J.R. </w:t>
      </w:r>
      <w:proofErr w:type="spellStart"/>
      <w:r w:rsidRPr="00EA7B2F">
        <w:rPr>
          <w:rFonts w:ascii="Times New Roman" w:hAnsi="Times New Roman" w:cs="Times New Roman"/>
          <w:color w:val="000000"/>
          <w:szCs w:val="24"/>
          <w:shd w:val="clear" w:color="auto" w:fill="FFFFFF"/>
        </w:rPr>
        <w:t>Meteorol</w:t>
      </w:r>
      <w:proofErr w:type="spellEnd"/>
      <w:r w:rsidRPr="00EA7B2F">
        <w:rPr>
          <w:rFonts w:ascii="Times New Roman" w:hAnsi="Times New Roman" w:cs="Times New Roman"/>
          <w:color w:val="000000"/>
          <w:szCs w:val="24"/>
          <w:shd w:val="clear" w:color="auto" w:fill="FFFFFF"/>
        </w:rPr>
        <w:t xml:space="preserve">. </w:t>
      </w:r>
      <w:proofErr w:type="gramStart"/>
      <w:r w:rsidRPr="00EA7B2F">
        <w:rPr>
          <w:rFonts w:ascii="Times New Roman" w:hAnsi="Times New Roman" w:cs="Times New Roman"/>
          <w:color w:val="000000"/>
          <w:szCs w:val="24"/>
          <w:shd w:val="clear" w:color="auto" w:fill="FFFFFF"/>
        </w:rPr>
        <w:t>Soc..</w:t>
      </w:r>
      <w:proofErr w:type="gramEnd"/>
      <w:r w:rsidRPr="00EA7B2F">
        <w:rPr>
          <w:rFonts w:ascii="Times New Roman" w:hAnsi="Times New Roman" w:cs="Times New Roman"/>
          <w:color w:val="000000"/>
          <w:szCs w:val="24"/>
          <w:shd w:val="clear" w:color="auto" w:fill="FFFFFF"/>
        </w:rPr>
        <w:t xml:space="preserve"> </w:t>
      </w:r>
      <w:proofErr w:type="spellStart"/>
      <w:proofErr w:type="gramStart"/>
      <w:r w:rsidRPr="00EA7B2F">
        <w:rPr>
          <w:rFonts w:ascii="Times New Roman" w:hAnsi="Times New Roman" w:cs="Times New Roman"/>
          <w:color w:val="000000"/>
          <w:szCs w:val="24"/>
          <w:shd w:val="clear" w:color="auto" w:fill="FFFFFF"/>
        </w:rPr>
        <w:t>doi</w:t>
      </w:r>
      <w:proofErr w:type="spellEnd"/>
      <w:proofErr w:type="gramEnd"/>
      <w:r w:rsidRPr="00EA7B2F">
        <w:rPr>
          <w:rFonts w:ascii="Times New Roman" w:hAnsi="Times New Roman" w:cs="Times New Roman"/>
          <w:color w:val="000000"/>
          <w:szCs w:val="24"/>
          <w:shd w:val="clear" w:color="auto" w:fill="FFFFFF"/>
        </w:rPr>
        <w:t>: 10.1002/qj.2192</w:t>
      </w:r>
    </w:p>
    <w:p w14:paraId="11E76B9D" w14:textId="77777777" w:rsidR="004A717E" w:rsidRPr="00C010DB" w:rsidRDefault="004A717E"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szCs w:val="24"/>
          <w:lang w:eastAsia="zh-CN"/>
        </w:rPr>
        <w:t xml:space="preserve">Song, </w:t>
      </w:r>
      <w:proofErr w:type="spellStart"/>
      <w:r w:rsidRPr="00EA7B2F">
        <w:rPr>
          <w:rFonts w:ascii="Times New Roman" w:eastAsia="Times New Roman" w:hAnsi="Times New Roman" w:cs="Times New Roman"/>
          <w:color w:val="000000"/>
          <w:szCs w:val="24"/>
          <w:lang w:eastAsia="zh-CN"/>
        </w:rPr>
        <w:t>Hua</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Wuyin</w:t>
      </w:r>
      <w:proofErr w:type="spellEnd"/>
      <w:r w:rsidRPr="00EA7B2F">
        <w:rPr>
          <w:rFonts w:ascii="Times New Roman" w:eastAsia="Times New Roman" w:hAnsi="Times New Roman" w:cs="Times New Roman"/>
          <w:color w:val="000000"/>
          <w:szCs w:val="24"/>
          <w:lang w:eastAsia="zh-CN"/>
        </w:rPr>
        <w:t xml:space="preserve"> Lin, </w:t>
      </w:r>
      <w:proofErr w:type="spellStart"/>
      <w:r w:rsidRPr="00EA7B2F">
        <w:rPr>
          <w:rFonts w:ascii="Times New Roman" w:eastAsia="Times New Roman" w:hAnsi="Times New Roman" w:cs="Times New Roman"/>
          <w:color w:val="000000"/>
          <w:szCs w:val="24"/>
          <w:lang w:eastAsia="zh-CN"/>
        </w:rPr>
        <w:t>Yanluan</w:t>
      </w:r>
      <w:proofErr w:type="spellEnd"/>
      <w:r w:rsidRPr="00EA7B2F">
        <w:rPr>
          <w:rFonts w:ascii="Times New Roman" w:eastAsia="Times New Roman" w:hAnsi="Times New Roman" w:cs="Times New Roman"/>
          <w:color w:val="000000"/>
          <w:szCs w:val="24"/>
          <w:lang w:eastAsia="zh-CN"/>
        </w:rPr>
        <w:t xml:space="preserve"> Lin, Audrey B. Wolf, </w:t>
      </w:r>
      <w:proofErr w:type="spellStart"/>
      <w:r w:rsidRPr="00EA7B2F">
        <w:rPr>
          <w:rFonts w:ascii="Times New Roman" w:eastAsia="Times New Roman" w:hAnsi="Times New Roman" w:cs="Times New Roman"/>
          <w:color w:val="000000"/>
          <w:szCs w:val="24"/>
          <w:lang w:eastAsia="zh-CN"/>
        </w:rPr>
        <w:t>Roel</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Neggers</w:t>
      </w:r>
      <w:proofErr w:type="spellEnd"/>
      <w:r w:rsidRPr="00EA7B2F">
        <w:rPr>
          <w:rFonts w:ascii="Times New Roman" w:eastAsia="Times New Roman" w:hAnsi="Times New Roman" w:cs="Times New Roman"/>
          <w:color w:val="000000"/>
          <w:szCs w:val="24"/>
          <w:lang w:eastAsia="zh-CN"/>
        </w:rPr>
        <w:t xml:space="preserve">, Leo J. Donner, Anthony D. Del </w:t>
      </w:r>
      <w:proofErr w:type="spellStart"/>
      <w:r w:rsidRPr="00EA7B2F">
        <w:rPr>
          <w:rFonts w:ascii="Times New Roman" w:eastAsia="Times New Roman" w:hAnsi="Times New Roman" w:cs="Times New Roman"/>
          <w:color w:val="000000"/>
          <w:szCs w:val="24"/>
          <w:lang w:eastAsia="zh-CN"/>
        </w:rPr>
        <w:t>Genio</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Yangang</w:t>
      </w:r>
      <w:proofErr w:type="spellEnd"/>
      <w:r w:rsidRPr="00EA7B2F">
        <w:rPr>
          <w:rFonts w:ascii="Times New Roman" w:eastAsia="Times New Roman" w:hAnsi="Times New Roman" w:cs="Times New Roman"/>
          <w:color w:val="000000"/>
          <w:szCs w:val="24"/>
          <w:lang w:eastAsia="zh-CN"/>
        </w:rPr>
        <w:t xml:space="preserve"> Liu, 2013: Evaluation of Precipitation Simulated by Seven SCMs against the ARM Observations at the SGP Site*. </w:t>
      </w:r>
      <w:r w:rsidRPr="00EA7B2F">
        <w:rPr>
          <w:rFonts w:ascii="Times New Roman" w:eastAsia="Times New Roman" w:hAnsi="Times New Roman" w:cs="Times New Roman"/>
          <w:i/>
          <w:iCs/>
          <w:color w:val="000000"/>
          <w:szCs w:val="24"/>
          <w:lang w:eastAsia="zh-CN"/>
        </w:rPr>
        <w:t>J. Climate</w:t>
      </w:r>
      <w:r w:rsidRPr="00EA7B2F">
        <w:rPr>
          <w:rFonts w:ascii="Times New Roman" w:eastAsia="Times New Roman" w:hAnsi="Times New Roman" w:cs="Times New Roman"/>
          <w:color w:val="000000"/>
          <w:szCs w:val="24"/>
          <w:lang w:eastAsia="zh-CN"/>
        </w:rPr>
        <w:t>, </w:t>
      </w:r>
      <w:r w:rsidRPr="00EA7B2F">
        <w:rPr>
          <w:rFonts w:ascii="Times New Roman" w:eastAsia="Times New Roman" w:hAnsi="Times New Roman" w:cs="Times New Roman"/>
          <w:b/>
          <w:bCs/>
          <w:color w:val="000000"/>
          <w:szCs w:val="24"/>
          <w:lang w:eastAsia="zh-CN"/>
        </w:rPr>
        <w:t>26</w:t>
      </w:r>
      <w:r w:rsidRPr="00EA7B2F">
        <w:rPr>
          <w:rFonts w:ascii="Times New Roman" w:eastAsia="Times New Roman" w:hAnsi="Times New Roman" w:cs="Times New Roman"/>
          <w:color w:val="000000"/>
          <w:szCs w:val="24"/>
          <w:lang w:eastAsia="zh-CN"/>
        </w:rPr>
        <w:t>, 5467–5492.</w:t>
      </w:r>
      <w:r>
        <w:rPr>
          <w:rFonts w:ascii="Times New Roman" w:eastAsia="Times New Roman" w:hAnsi="Times New Roman" w:cs="Times New Roman"/>
          <w:color w:val="000000"/>
          <w:szCs w:val="24"/>
          <w:lang w:eastAsia="zh-CN"/>
        </w:rPr>
        <w:t xml:space="preserve"> </w:t>
      </w:r>
      <w:proofErr w:type="spellStart"/>
      <w:proofErr w:type="gramStart"/>
      <w:r w:rsidRPr="00EA7B2F">
        <w:rPr>
          <w:rFonts w:ascii="Times New Roman" w:eastAsia="Times New Roman" w:hAnsi="Times New Roman" w:cs="Times New Roman"/>
          <w:color w:val="000000"/>
          <w:szCs w:val="24"/>
          <w:lang w:eastAsia="zh-CN"/>
        </w:rPr>
        <w:t>doi</w:t>
      </w:r>
      <w:proofErr w:type="spellEnd"/>
      <w:proofErr w:type="gramEnd"/>
      <w:r w:rsidRPr="00EA7B2F">
        <w:rPr>
          <w:rFonts w:ascii="Times New Roman" w:eastAsia="Times New Roman" w:hAnsi="Times New Roman" w:cs="Times New Roman"/>
          <w:color w:val="000000"/>
          <w:szCs w:val="24"/>
          <w:lang w:eastAsia="zh-CN"/>
        </w:rPr>
        <w:t>: </w:t>
      </w:r>
      <w:r w:rsidRPr="00C010DB">
        <w:rPr>
          <w:rFonts w:ascii="Times New Roman" w:eastAsia="Times New Roman" w:hAnsi="Times New Roman" w:cs="Times New Roman"/>
          <w:color w:val="000000" w:themeColor="text1"/>
          <w:szCs w:val="24"/>
          <w:lang w:eastAsia="zh-CN"/>
        </w:rPr>
        <w:t>http://dx.doi.org/10.1175/JCLI-D-12-00263.1</w:t>
      </w:r>
    </w:p>
    <w:p w14:paraId="33F4EA33"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5A34410C"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Sud</w:t>
      </w:r>
      <w:proofErr w:type="spellEnd"/>
      <w:r w:rsidRPr="00EA7B2F">
        <w:rPr>
          <w:rFonts w:ascii="Times New Roman" w:eastAsia="Times New Roman" w:hAnsi="Times New Roman" w:cs="Times New Roman"/>
          <w:color w:val="000000" w:themeColor="text1"/>
          <w:szCs w:val="24"/>
          <w:lang w:eastAsia="zh-CN"/>
        </w:rPr>
        <w:t xml:space="preserve">, Y. C., D. M. </w:t>
      </w:r>
      <w:proofErr w:type="spellStart"/>
      <w:r w:rsidRPr="00EA7B2F">
        <w:rPr>
          <w:rFonts w:ascii="Times New Roman" w:eastAsia="Times New Roman" w:hAnsi="Times New Roman" w:cs="Times New Roman"/>
          <w:color w:val="000000" w:themeColor="text1"/>
          <w:szCs w:val="24"/>
          <w:lang w:eastAsia="zh-CN"/>
        </w:rPr>
        <w:t>Mocko</w:t>
      </w:r>
      <w:proofErr w:type="spellEnd"/>
      <w:r w:rsidRPr="00EA7B2F">
        <w:rPr>
          <w:rFonts w:ascii="Times New Roman" w:eastAsia="Times New Roman" w:hAnsi="Times New Roman" w:cs="Times New Roman"/>
          <w:color w:val="000000" w:themeColor="text1"/>
          <w:szCs w:val="24"/>
          <w:lang w:eastAsia="zh-CN"/>
        </w:rPr>
        <w:t xml:space="preserve">, G. K. Walker, </w:t>
      </w:r>
      <w:proofErr w:type="gramStart"/>
      <w:r w:rsidRPr="00EA7B2F">
        <w:rPr>
          <w:rFonts w:ascii="Times New Roman" w:eastAsia="Times New Roman" w:hAnsi="Times New Roman" w:cs="Times New Roman"/>
          <w:color w:val="000000" w:themeColor="text1"/>
          <w:szCs w:val="24"/>
          <w:lang w:eastAsia="zh-CN"/>
        </w:rPr>
        <w:t>Randal</w:t>
      </w:r>
      <w:proofErr w:type="gramEnd"/>
      <w:r w:rsidRPr="00EA7B2F">
        <w:rPr>
          <w:rFonts w:ascii="Times New Roman" w:eastAsia="Times New Roman" w:hAnsi="Times New Roman" w:cs="Times New Roman"/>
          <w:color w:val="000000" w:themeColor="text1"/>
          <w:szCs w:val="24"/>
          <w:lang w:eastAsia="zh-CN"/>
        </w:rPr>
        <w:t xml:space="preserve"> D. </w:t>
      </w:r>
      <w:proofErr w:type="spellStart"/>
      <w:r w:rsidRPr="00EA7B2F">
        <w:rPr>
          <w:rFonts w:ascii="Times New Roman" w:eastAsia="Times New Roman" w:hAnsi="Times New Roman" w:cs="Times New Roman"/>
          <w:color w:val="000000" w:themeColor="text1"/>
          <w:szCs w:val="24"/>
          <w:lang w:eastAsia="zh-CN"/>
        </w:rPr>
        <w:t>Koster</w:t>
      </w:r>
      <w:proofErr w:type="spellEnd"/>
      <w:r w:rsidRPr="00EA7B2F">
        <w:rPr>
          <w:rFonts w:ascii="Times New Roman" w:eastAsia="Times New Roman" w:hAnsi="Times New Roman" w:cs="Times New Roman"/>
          <w:color w:val="000000" w:themeColor="text1"/>
          <w:szCs w:val="24"/>
          <w:lang w:eastAsia="zh-CN"/>
        </w:rPr>
        <w:t>, 2001: Influence of Land Surface Fluxes on Precipitation: Inferences from Simulations Forced with Four ARM–CART SCM Datasets.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14</w:t>
      </w:r>
      <w:r>
        <w:rPr>
          <w:rFonts w:ascii="Times New Roman" w:eastAsia="Times New Roman" w:hAnsi="Times New Roman" w:cs="Times New Roman"/>
          <w:color w:val="000000" w:themeColor="text1"/>
          <w:szCs w:val="24"/>
          <w:lang w:eastAsia="zh-CN"/>
        </w:rPr>
        <w:t xml:space="preserve">, 3666–3691. </w:t>
      </w:r>
      <w:proofErr w:type="gramStart"/>
      <w:r w:rsidRPr="00EA7B2F">
        <w:rPr>
          <w:rFonts w:ascii="Times New Roman" w:eastAsia="Times New Roman" w:hAnsi="Times New Roman" w:cs="Times New Roman"/>
          <w:color w:val="000000" w:themeColor="text1"/>
          <w:szCs w:val="24"/>
          <w:lang w:eastAsia="zh-CN"/>
        </w:rPr>
        <w:t>doi</w:t>
      </w:r>
      <w:proofErr w:type="gramEnd"/>
      <w:r w:rsidRPr="00EA7B2F">
        <w:rPr>
          <w:rFonts w:ascii="Times New Roman" w:eastAsia="Times New Roman" w:hAnsi="Times New Roman" w:cs="Times New Roman"/>
          <w:color w:val="000000" w:themeColor="text1"/>
          <w:szCs w:val="24"/>
          <w:lang w:eastAsia="zh-CN"/>
        </w:rPr>
        <w:t>: </w:t>
      </w:r>
      <w:hyperlink r:id="rId66" w:history="1">
        <w:r w:rsidRPr="00EA7B2F">
          <w:rPr>
            <w:rFonts w:ascii="Times New Roman" w:eastAsia="Times New Roman" w:hAnsi="Times New Roman" w:cs="Times New Roman"/>
            <w:color w:val="000000" w:themeColor="text1"/>
            <w:szCs w:val="24"/>
            <w:lang w:eastAsia="zh-CN"/>
          </w:rPr>
          <w:t>http://dx.doi.org/10.1175/1520-0442(2001)014&lt;3666:IOLSFO&gt;2.0.CO;2</w:t>
        </w:r>
      </w:hyperlink>
    </w:p>
    <w:p w14:paraId="06B1F7CB"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Sušelj</w:t>
      </w:r>
      <w:proofErr w:type="spellEnd"/>
      <w:r w:rsidRPr="00EA7B2F">
        <w:rPr>
          <w:rFonts w:ascii="Times New Roman" w:eastAsia="Times New Roman" w:hAnsi="Times New Roman" w:cs="Times New Roman"/>
          <w:color w:val="000000" w:themeColor="text1"/>
          <w:szCs w:val="24"/>
          <w:lang w:eastAsia="zh-CN"/>
        </w:rPr>
        <w:t xml:space="preserve">, Kay, </w:t>
      </w:r>
      <w:proofErr w:type="spellStart"/>
      <w:r w:rsidRPr="00EA7B2F">
        <w:rPr>
          <w:rFonts w:ascii="Times New Roman" w:eastAsia="Times New Roman" w:hAnsi="Times New Roman" w:cs="Times New Roman"/>
          <w:color w:val="000000" w:themeColor="text1"/>
          <w:szCs w:val="24"/>
          <w:lang w:eastAsia="zh-CN"/>
        </w:rPr>
        <w:t>João</w:t>
      </w:r>
      <w:proofErr w:type="spellEnd"/>
      <w:r w:rsidRPr="00EA7B2F">
        <w:rPr>
          <w:rFonts w:ascii="Times New Roman" w:eastAsia="Times New Roman" w:hAnsi="Times New Roman" w:cs="Times New Roman"/>
          <w:color w:val="000000" w:themeColor="text1"/>
          <w:szCs w:val="24"/>
          <w:lang w:eastAsia="zh-CN"/>
        </w:rPr>
        <w:t xml:space="preserve"> Teixeira, </w:t>
      </w:r>
      <w:proofErr w:type="spellStart"/>
      <w:r w:rsidRPr="00EA7B2F">
        <w:rPr>
          <w:rFonts w:ascii="Times New Roman" w:eastAsia="Times New Roman" w:hAnsi="Times New Roman" w:cs="Times New Roman"/>
          <w:color w:val="000000" w:themeColor="text1"/>
          <w:szCs w:val="24"/>
          <w:lang w:eastAsia="zh-CN"/>
        </w:rPr>
        <w:t>Georgios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Matheou</w:t>
      </w:r>
      <w:proofErr w:type="spellEnd"/>
      <w:r w:rsidRPr="00EA7B2F">
        <w:rPr>
          <w:rFonts w:ascii="Times New Roman" w:eastAsia="Times New Roman" w:hAnsi="Times New Roman" w:cs="Times New Roman"/>
          <w:color w:val="000000" w:themeColor="text1"/>
          <w:szCs w:val="24"/>
          <w:lang w:eastAsia="zh-CN"/>
        </w:rPr>
        <w:t>, 2012: Eddy Diffusivity/Mass Flux and Shallow Cumulus Boundary Layer: An Updraft PDF Multiple Mass Flux Scheme. </w:t>
      </w:r>
      <w:r w:rsidRPr="00EA7B2F">
        <w:rPr>
          <w:rFonts w:ascii="Times New Roman" w:eastAsia="Times New Roman" w:hAnsi="Times New Roman" w:cs="Times New Roman"/>
          <w:i/>
          <w:iCs/>
          <w:color w:val="000000" w:themeColor="text1"/>
          <w:szCs w:val="24"/>
          <w:lang w:eastAsia="zh-CN"/>
        </w:rPr>
        <w:t>J. Atmos. Sci.</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69</w:t>
      </w:r>
      <w:r>
        <w:rPr>
          <w:rFonts w:ascii="Times New Roman" w:eastAsia="Times New Roman" w:hAnsi="Times New Roman" w:cs="Times New Roman"/>
          <w:color w:val="000000" w:themeColor="text1"/>
          <w:szCs w:val="24"/>
          <w:lang w:eastAsia="zh-CN"/>
        </w:rPr>
        <w:t xml:space="preserve">, 1513–1533.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7" w:history="1">
        <w:r w:rsidRPr="00EA7B2F">
          <w:rPr>
            <w:rFonts w:ascii="Times New Roman" w:eastAsia="Times New Roman" w:hAnsi="Times New Roman" w:cs="Times New Roman"/>
            <w:color w:val="000000" w:themeColor="text1"/>
            <w:szCs w:val="24"/>
            <w:lang w:eastAsia="zh-CN"/>
          </w:rPr>
          <w:t>http://dx.doi.org/10.1175/JAS-D-11-090.1</w:t>
        </w:r>
      </w:hyperlink>
    </w:p>
    <w:p w14:paraId="11F5AB67" w14:textId="21781C29" w:rsidR="00FD59E6" w:rsidRPr="00C25475" w:rsidRDefault="00FD59E6"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0FDB5E89"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proofErr w:type="gramStart"/>
      <w:r w:rsidRPr="00EA7B2F">
        <w:rPr>
          <w:rFonts w:ascii="Times New Roman" w:hAnsi="Times New Roman" w:cs="Times New Roman"/>
          <w:color w:val="000000" w:themeColor="text1"/>
          <w:szCs w:val="24"/>
          <w:bdr w:val="none" w:sz="0" w:space="0" w:color="auto" w:frame="1"/>
          <w:shd w:val="clear" w:color="auto" w:fill="FFFFFF"/>
        </w:rPr>
        <w:lastRenderedPageBreak/>
        <w:t xml:space="preserve">Wu, J., A. D. Del </w:t>
      </w:r>
      <w:proofErr w:type="spellStart"/>
      <w:r w:rsidRPr="00EA7B2F">
        <w:rPr>
          <w:rFonts w:ascii="Times New Roman" w:hAnsi="Times New Roman" w:cs="Times New Roman"/>
          <w:color w:val="000000" w:themeColor="text1"/>
          <w:szCs w:val="24"/>
          <w:bdr w:val="none" w:sz="0" w:space="0" w:color="auto" w:frame="1"/>
          <w:shd w:val="clear" w:color="auto" w:fill="FFFFFF"/>
        </w:rPr>
        <w:t>Genio</w:t>
      </w:r>
      <w:proofErr w:type="spellEnd"/>
      <w:r w:rsidRPr="00EA7B2F">
        <w:rPr>
          <w:rFonts w:ascii="Times New Roman" w:hAnsi="Times New Roman" w:cs="Times New Roman"/>
          <w:color w:val="000000" w:themeColor="text1"/>
          <w:szCs w:val="24"/>
          <w:bdr w:val="none" w:sz="0" w:space="0" w:color="auto" w:frame="1"/>
          <w:shd w:val="clear" w:color="auto" w:fill="FFFFFF"/>
        </w:rPr>
        <w:t>, M.-S.</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w:t>
      </w:r>
      <w:proofErr w:type="gramStart"/>
      <w:r w:rsidRPr="00EA7B2F">
        <w:rPr>
          <w:rFonts w:ascii="Times New Roman" w:hAnsi="Times New Roman" w:cs="Times New Roman"/>
          <w:color w:val="000000" w:themeColor="text1"/>
          <w:szCs w:val="24"/>
          <w:bdr w:val="none" w:sz="0" w:space="0" w:color="auto" w:frame="1"/>
          <w:shd w:val="clear" w:color="auto" w:fill="FFFFFF"/>
        </w:rPr>
        <w:t xml:space="preserve">Yao, and A. B. Wolf (2009), WRF and GISS SCM simulations of convective updraft properties during TWP-ICE, 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Res., 114, D04206, doi</w:t>
      </w:r>
      <w:proofErr w:type="gramStart"/>
      <w:r w:rsidRPr="00EA7B2F">
        <w:rPr>
          <w:rFonts w:ascii="Times New Roman" w:hAnsi="Times New Roman" w:cs="Times New Roman"/>
          <w:color w:val="000000" w:themeColor="text1"/>
          <w:szCs w:val="24"/>
          <w:bdr w:val="none" w:sz="0" w:space="0" w:color="auto" w:frame="1"/>
          <w:shd w:val="clear" w:color="auto" w:fill="FFFFFF"/>
        </w:rPr>
        <w:t>:10.1029</w:t>
      </w:r>
      <w:proofErr w:type="gramEnd"/>
      <w:r w:rsidRPr="00EA7B2F">
        <w:rPr>
          <w:rFonts w:ascii="Times New Roman" w:hAnsi="Times New Roman" w:cs="Times New Roman"/>
          <w:color w:val="000000" w:themeColor="text1"/>
          <w:szCs w:val="24"/>
          <w:bdr w:val="none" w:sz="0" w:space="0" w:color="auto" w:frame="1"/>
          <w:shd w:val="clear" w:color="auto" w:fill="FFFFFF"/>
        </w:rPr>
        <w:t>/2008JD010851.</w:t>
      </w:r>
    </w:p>
    <w:p w14:paraId="363DB08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w:t>
      </w:r>
      <w:r w:rsidRPr="00EA7B2F">
        <w:rPr>
          <w:rStyle w:val="nlmx"/>
          <w:rFonts w:ascii="Times New Roman" w:hAnsi="Times New Roman" w:cs="Times New Roman"/>
          <w:color w:val="000000"/>
          <w:szCs w:val="24"/>
          <w:shd w:val="clear" w:color="auto" w:fill="FFFFFF"/>
        </w:rPr>
        <w:t>, and</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M.</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Zhang,</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Impact of the convection trigger function on single-column model simulations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xml:space="preserve">. </w:t>
      </w:r>
      <w:proofErr w:type="gramStart"/>
      <w:r w:rsidRPr="00EA7B2F">
        <w:rPr>
          <w:rStyle w:val="citationsource-journal"/>
          <w:rFonts w:ascii="Times New Roman" w:hAnsi="Times New Roman" w:cs="Times New Roman"/>
          <w:i/>
          <w:iCs/>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105</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(D11),</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14 983</w:t>
      </w:r>
      <w:r w:rsidRPr="00EA7B2F">
        <w:rPr>
          <w:rFonts w:ascii="Times New Roman" w:hAnsi="Times New Roman" w:cs="Times New Roman"/>
          <w:color w:val="000000"/>
          <w:szCs w:val="24"/>
          <w:shd w:val="clear" w:color="auto" w:fill="FFFFFF"/>
        </w:rPr>
        <w:t>–</w:t>
      </w:r>
      <w:r w:rsidRPr="00EA7B2F">
        <w:rPr>
          <w:rStyle w:val="nlmlpage"/>
          <w:rFonts w:ascii="Times New Roman" w:hAnsi="Times New Roman" w:cs="Times New Roman"/>
          <w:color w:val="000000"/>
          <w:szCs w:val="24"/>
          <w:shd w:val="clear" w:color="auto" w:fill="FFFFFF"/>
        </w:rPr>
        <w:t>14 996</w:t>
      </w:r>
      <w:r w:rsidRPr="00EA7B2F">
        <w:rPr>
          <w:rFonts w:ascii="Times New Roman" w:hAnsi="Times New Roman" w:cs="Times New Roman"/>
          <w:color w:val="000000"/>
          <w:szCs w:val="24"/>
          <w:shd w:val="clear" w:color="auto" w:fill="FFFFFF"/>
        </w:rPr>
        <w:t>.</w:t>
      </w:r>
      <w:proofErr w:type="gramEnd"/>
    </w:p>
    <w:p w14:paraId="17A6EC37" w14:textId="18BD47E4"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proofErr w:type="gram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S., K-M.</w:t>
      </w:r>
      <w:proofErr w:type="gramEnd"/>
      <w:r w:rsidRPr="00C25475">
        <w:rPr>
          <w:rFonts w:ascii="Times New Roman" w:hAnsi="Times New Roman" w:cs="Times New Roman"/>
          <w:color w:val="000000" w:themeColor="text1"/>
          <w:szCs w:val="24"/>
        </w:rPr>
        <w:t xml:space="preserve">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12D7E934"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 and Coauthors,</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2005</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 xml:space="preserve">Simulations of </w:t>
      </w:r>
      <w:proofErr w:type="spellStart"/>
      <w:r w:rsidRPr="00EA7B2F">
        <w:rPr>
          <w:rStyle w:val="nlmarticle-title"/>
          <w:rFonts w:ascii="Times New Roman" w:hAnsi="Times New Roman" w:cs="Times New Roman"/>
          <w:color w:val="000000"/>
          <w:szCs w:val="24"/>
          <w:shd w:val="clear" w:color="auto" w:fill="FFFFFF"/>
        </w:rPr>
        <w:t>midlatitude</w:t>
      </w:r>
      <w:proofErr w:type="spellEnd"/>
      <w:r w:rsidRPr="00EA7B2F">
        <w:rPr>
          <w:rStyle w:val="nlmarticle-title"/>
          <w:rFonts w:ascii="Times New Roman" w:hAnsi="Times New Roman" w:cs="Times New Roman"/>
          <w:color w:val="000000"/>
          <w:szCs w:val="24"/>
          <w:shd w:val="clear" w:color="auto" w:fill="FFFFFF"/>
        </w:rPr>
        <w:t xml:space="preserve"> frontal clouds by single-column and cloud-resolving models during the Atmospheric Radiation Measurement March 2000 cloud intensive operational period</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D15S03</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/2004JD005119</w:t>
      </w:r>
    </w:p>
    <w:p w14:paraId="307BB585" w14:textId="7C8F214C"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8"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43673ED0"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Yang, </w:t>
      </w:r>
      <w:proofErr w:type="spellStart"/>
      <w:r w:rsidRPr="00EA7B2F">
        <w:rPr>
          <w:rFonts w:ascii="Times New Roman" w:eastAsia="Times New Roman" w:hAnsi="Times New Roman" w:cs="Times New Roman"/>
          <w:color w:val="000000" w:themeColor="text1"/>
          <w:szCs w:val="24"/>
          <w:lang w:eastAsia="zh-CN"/>
        </w:rPr>
        <w:t>Fanglin</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Hua</w:t>
      </w:r>
      <w:proofErr w:type="spellEnd"/>
      <w:r w:rsidRPr="00EA7B2F">
        <w:rPr>
          <w:rFonts w:ascii="Times New Roman" w:eastAsia="Times New Roman" w:hAnsi="Times New Roman" w:cs="Times New Roman"/>
          <w:color w:val="000000" w:themeColor="text1"/>
          <w:szCs w:val="24"/>
          <w:lang w:eastAsia="zh-CN"/>
        </w:rPr>
        <w:t xml:space="preserve">-Lu Pan, Steven K. Krueger, </w:t>
      </w:r>
      <w:proofErr w:type="spellStart"/>
      <w:r w:rsidRPr="00EA7B2F">
        <w:rPr>
          <w:rFonts w:ascii="Times New Roman" w:eastAsia="Times New Roman" w:hAnsi="Times New Roman" w:cs="Times New Roman"/>
          <w:color w:val="000000" w:themeColor="text1"/>
          <w:szCs w:val="24"/>
          <w:lang w:eastAsia="zh-CN"/>
        </w:rPr>
        <w:t>Shrinivas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Moorthi</w:t>
      </w:r>
      <w:proofErr w:type="spellEnd"/>
      <w:r w:rsidRPr="00EA7B2F">
        <w:rPr>
          <w:rFonts w:ascii="Times New Roman" w:eastAsia="Times New Roman" w:hAnsi="Times New Roman" w:cs="Times New Roman"/>
          <w:color w:val="000000" w:themeColor="text1"/>
          <w:szCs w:val="24"/>
          <w:lang w:eastAsia="zh-CN"/>
        </w:rPr>
        <w:t>, Stephen J. Lord, 2006: Evaluation of the NCEP Global Forecast System at the ARM SGP Site. </w:t>
      </w:r>
      <w:r w:rsidRPr="00EA7B2F">
        <w:rPr>
          <w:rFonts w:ascii="Times New Roman" w:eastAsia="Times New Roman" w:hAnsi="Times New Roman" w:cs="Times New Roman"/>
          <w:i/>
          <w:iCs/>
          <w:color w:val="000000" w:themeColor="text1"/>
          <w:szCs w:val="24"/>
          <w:lang w:eastAsia="zh-CN"/>
        </w:rPr>
        <w:t xml:space="preserve">Mon. </w:t>
      </w:r>
      <w:proofErr w:type="spellStart"/>
      <w:r w:rsidRPr="00EA7B2F">
        <w:rPr>
          <w:rFonts w:ascii="Times New Roman" w:eastAsia="Times New Roman" w:hAnsi="Times New Roman" w:cs="Times New Roman"/>
          <w:i/>
          <w:iCs/>
          <w:color w:val="000000" w:themeColor="text1"/>
          <w:szCs w:val="24"/>
          <w:lang w:eastAsia="zh-CN"/>
        </w:rPr>
        <w:t>Wea</w:t>
      </w:r>
      <w:proofErr w:type="spellEnd"/>
      <w:r w:rsidRPr="00EA7B2F">
        <w:rPr>
          <w:rFonts w:ascii="Times New Roman" w:eastAsia="Times New Roman" w:hAnsi="Times New Roman" w:cs="Times New Roman"/>
          <w:i/>
          <w:iCs/>
          <w:color w:val="000000" w:themeColor="text1"/>
          <w:szCs w:val="24"/>
          <w:lang w:eastAsia="zh-CN"/>
        </w:rPr>
        <w:t>. Rev.</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134</w:t>
      </w:r>
      <w:r>
        <w:rPr>
          <w:rFonts w:ascii="Times New Roman" w:eastAsia="Times New Roman" w:hAnsi="Times New Roman" w:cs="Times New Roman"/>
          <w:color w:val="000000" w:themeColor="text1"/>
          <w:szCs w:val="24"/>
          <w:lang w:eastAsia="zh-CN"/>
        </w:rPr>
        <w:t xml:space="preserve">, 3668–3690.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9" w:history="1">
        <w:r w:rsidRPr="00EA7B2F">
          <w:rPr>
            <w:rFonts w:ascii="Times New Roman" w:eastAsia="Times New Roman" w:hAnsi="Times New Roman" w:cs="Times New Roman"/>
            <w:color w:val="000000" w:themeColor="text1"/>
            <w:szCs w:val="24"/>
            <w:lang w:eastAsia="zh-CN"/>
          </w:rPr>
          <w:t>http://dx.doi.org/10.1175/MWR3264.1</w:t>
        </w:r>
      </w:hyperlink>
    </w:p>
    <w:p w14:paraId="50BF5158" w14:textId="36BB9092"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r w:rsidRPr="00EA7B2F">
        <w:rPr>
          <w:rFonts w:ascii="Times New Roman" w:hAnsi="Times New Roman" w:cs="Times New Roman"/>
          <w:color w:val="000000"/>
          <w:szCs w:val="24"/>
          <w:shd w:val="clear" w:color="auto" w:fill="FFFFFF"/>
        </w:rPr>
        <w:lastRenderedPageBreak/>
        <w:t>Zhang</w:t>
      </w:r>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G. J.,</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2003</w:t>
      </w:r>
      <w:r w:rsidR="00966448">
        <w:rPr>
          <w:rStyle w:val="nlmyear"/>
          <w:rFonts w:ascii="Times New Roman" w:hAnsi="Times New Roman" w:cs="Times New Roman"/>
          <w:color w:val="000000"/>
          <w:szCs w:val="24"/>
          <w:shd w:val="clear" w:color="auto" w:fill="FFFFFF"/>
        </w:rPr>
        <w:t>a</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Roles of tropospheric and boundary layer forcing in the diurnal cycle of convection in the U.S. southern Great Plains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proofErr w:type="spellStart"/>
      <w:proofErr w:type="gram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w:t>
      </w:r>
      <w:proofErr w:type="gramEnd"/>
      <w:r w:rsidRPr="00EA7B2F">
        <w:rPr>
          <w:rStyle w:val="citationsource-journal"/>
          <w:rFonts w:ascii="Times New Roman" w:hAnsi="Times New Roman" w:cs="Times New Roman"/>
          <w:i/>
          <w:iCs/>
          <w:color w:val="000000"/>
          <w:szCs w:val="24"/>
          <w:shd w:val="clear" w:color="auto" w:fill="FFFFFF"/>
        </w:rPr>
        <w:t xml:space="preserve"> Res. </w:t>
      </w:r>
      <w:proofErr w:type="spellStart"/>
      <w:r w:rsidRPr="00EA7B2F">
        <w:rPr>
          <w:rStyle w:val="citationsource-journal"/>
          <w:rFonts w:ascii="Times New Roman" w:hAnsi="Times New Roman" w:cs="Times New Roman"/>
          <w:i/>
          <w:iCs/>
          <w:color w:val="000000"/>
          <w:szCs w:val="24"/>
          <w:shd w:val="clear" w:color="auto" w:fill="FFFFFF"/>
        </w:rPr>
        <w:t>Lett</w:t>
      </w:r>
      <w:proofErr w:type="spellEnd"/>
      <w:r w:rsidRPr="00EA7B2F">
        <w:rPr>
          <w:rStyle w:val="citationsource-journal"/>
          <w:rFonts w:ascii="Times New Roman" w:hAnsi="Times New Roman" w:cs="Times New Roman"/>
          <w:i/>
          <w:iCs/>
          <w:color w:val="000000"/>
          <w:szCs w:val="24"/>
          <w:shd w:val="clear" w:color="auto" w:fill="FFFFFF"/>
        </w:rPr>
        <w:t>.</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30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2281</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/2003GL018554.</w:t>
      </w:r>
    </w:p>
    <w:p w14:paraId="02CE14F7" w14:textId="7E9AC6D3" w:rsidR="00F55811" w:rsidRDefault="00F55811"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G. J., </w:t>
      </w:r>
      <w:r w:rsidR="00966448">
        <w:rPr>
          <w:rFonts w:ascii="Times New Roman" w:hAnsi="Times New Roman"/>
          <w:color w:val="000000" w:themeColor="text1"/>
          <w:szCs w:val="24"/>
        </w:rPr>
        <w:t xml:space="preserve">2003b: </w:t>
      </w:r>
      <w:r w:rsidRPr="00C25475">
        <w:rPr>
          <w:rFonts w:ascii="Times New Roman" w:hAnsi="Times New Roman"/>
          <w:color w:val="000000" w:themeColor="text1"/>
          <w:szCs w:val="24"/>
        </w:rPr>
        <w:t xml:space="preserve">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w:t>
      </w:r>
    </w:p>
    <w:p w14:paraId="0A65DAA2"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hAnsi="Times New Roman" w:cs="Times New Roman"/>
          <w:color w:val="000000" w:themeColor="text1"/>
          <w:szCs w:val="24"/>
          <w:bdr w:val="none" w:sz="0" w:space="0" w:color="auto" w:frame="1"/>
          <w:shd w:val="clear" w:color="auto" w:fill="FFFFFF"/>
        </w:rPr>
        <w:t>Zhang, J.</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 </w:t>
      </w:r>
      <w:proofErr w:type="spellStart"/>
      <w:r w:rsidRPr="00EA7B2F">
        <w:rPr>
          <w:rFonts w:ascii="Times New Roman" w:hAnsi="Times New Roman" w:cs="Times New Roman"/>
          <w:color w:val="000000" w:themeColor="text1"/>
          <w:szCs w:val="24"/>
          <w:bdr w:val="none" w:sz="0" w:space="0" w:color="auto" w:frame="1"/>
          <w:shd w:val="clear" w:color="auto" w:fill="FFFFFF"/>
        </w:rPr>
        <w:t>Lohmann</w:t>
      </w:r>
      <w:proofErr w:type="spellEnd"/>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P. </w:t>
      </w:r>
      <w:proofErr w:type="spellStart"/>
      <w:r w:rsidRPr="00EA7B2F">
        <w:rPr>
          <w:rFonts w:ascii="Times New Roman" w:hAnsi="Times New Roman" w:cs="Times New Roman"/>
          <w:color w:val="000000" w:themeColor="text1"/>
          <w:szCs w:val="24"/>
          <w:bdr w:val="none" w:sz="0" w:space="0" w:color="auto" w:frame="1"/>
          <w:shd w:val="clear" w:color="auto" w:fill="FFFFFF"/>
        </w:rPr>
        <w:t>Stier</w:t>
      </w:r>
      <w:proofErr w:type="spellEnd"/>
      <w:r w:rsidRPr="00EA7B2F">
        <w:rPr>
          <w:rFonts w:ascii="Times New Roman" w:hAnsi="Times New Roman" w:cs="Times New Roman"/>
          <w:color w:val="000000" w:themeColor="text1"/>
          <w:szCs w:val="24"/>
          <w:shd w:val="clear" w:color="auto" w:fill="FFFFFF"/>
        </w:rPr>
        <w:t xml:space="preserve">, </w:t>
      </w:r>
      <w:r w:rsidRPr="00EA7B2F">
        <w:rPr>
          <w:rFonts w:ascii="Times New Roman" w:hAnsi="Times New Roman" w:cs="Times New Roman"/>
          <w:color w:val="000000" w:themeColor="text1"/>
          <w:szCs w:val="24"/>
          <w:bdr w:val="none" w:sz="0" w:space="0" w:color="auto" w:frame="1"/>
          <w:shd w:val="clear" w:color="auto" w:fill="FFFFFF"/>
        </w:rPr>
        <w:t>2005</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A microphysical parameterization for convective clouds in the ECHAM5 climate model: Single-column model results evaluated at the Oklahoma Atmospheric Radiation Measurement Program site</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110</w:t>
      </w:r>
      <w:r w:rsidRPr="00EA7B2F">
        <w:rPr>
          <w:rFonts w:ascii="Times New Roman" w:hAnsi="Times New Roman" w:cs="Times New Roman"/>
          <w:color w:val="000000" w:themeColor="text1"/>
          <w:szCs w:val="24"/>
          <w:shd w:val="clear" w:color="auto" w:fill="FFFFFF"/>
        </w:rPr>
        <w:t>, D15S07,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"http://dx.doi.org/10.1029/2004JD005128" \o "Link to external resource: 10.1029/2004JD005128"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10.1029/2004JD005128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2D0B0EC8"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1E49654C" w14:textId="4AA7303D" w:rsidR="004455EB" w:rsidRDefault="004A717E" w:rsidP="004455EB">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 </w:t>
      </w:r>
    </w:p>
    <w:p w14:paraId="00BFCB3C" w14:textId="7EA35091" w:rsidR="004455EB" w:rsidRPr="00A83690" w:rsidRDefault="004455EB" w:rsidP="00A83690">
      <w:pPr>
        <w:spacing w:after="0" w:line="360" w:lineRule="auto"/>
        <w:jc w:val="both"/>
        <w:rPr>
          <w:rFonts w:ascii="Times New Roman" w:hAnsi="Times New Roman"/>
          <w:b/>
          <w:szCs w:val="24"/>
        </w:rPr>
      </w:pPr>
    </w:p>
    <w:sectPr w:rsidR="004455EB" w:rsidRPr="00A83690" w:rsidSect="00005224">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A7547"/>
    <w:rsid w:val="000C50B2"/>
    <w:rsid w:val="000D4BCC"/>
    <w:rsid w:val="000D5E24"/>
    <w:rsid w:val="000E2E41"/>
    <w:rsid w:val="000F6965"/>
    <w:rsid w:val="001046B2"/>
    <w:rsid w:val="00114AE1"/>
    <w:rsid w:val="00116696"/>
    <w:rsid w:val="0015617F"/>
    <w:rsid w:val="0015685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0BDD"/>
    <w:rsid w:val="00401BFF"/>
    <w:rsid w:val="00433626"/>
    <w:rsid w:val="004455EB"/>
    <w:rsid w:val="0047416A"/>
    <w:rsid w:val="00474D10"/>
    <w:rsid w:val="00487DEB"/>
    <w:rsid w:val="0049066F"/>
    <w:rsid w:val="004A717E"/>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B5EF0"/>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D0B13"/>
    <w:rsid w:val="006D58D3"/>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6644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280F"/>
    <w:rsid w:val="00B850EC"/>
    <w:rsid w:val="00B95F3B"/>
    <w:rsid w:val="00B95F80"/>
    <w:rsid w:val="00BA06F7"/>
    <w:rsid w:val="00BC1245"/>
    <w:rsid w:val="00BD1CE6"/>
    <w:rsid w:val="00BE1D5E"/>
    <w:rsid w:val="00BE4344"/>
    <w:rsid w:val="00BE58A3"/>
    <w:rsid w:val="00BE7137"/>
    <w:rsid w:val="00C132C0"/>
    <w:rsid w:val="00C16EC2"/>
    <w:rsid w:val="00C210AA"/>
    <w:rsid w:val="00C2458D"/>
    <w:rsid w:val="00C25475"/>
    <w:rsid w:val="00C30133"/>
    <w:rsid w:val="00C3149D"/>
    <w:rsid w:val="00C320D0"/>
    <w:rsid w:val="00C333AB"/>
    <w:rsid w:val="00C35C5B"/>
    <w:rsid w:val="00C40C0C"/>
    <w:rsid w:val="00C50939"/>
    <w:rsid w:val="00C91097"/>
    <w:rsid w:val="00C9113D"/>
    <w:rsid w:val="00C92315"/>
    <w:rsid w:val="00CB3BFA"/>
    <w:rsid w:val="00CB6BEE"/>
    <w:rsid w:val="00CE7157"/>
    <w:rsid w:val="00CE7330"/>
    <w:rsid w:val="00CF430E"/>
    <w:rsid w:val="00D516C9"/>
    <w:rsid w:val="00D5732A"/>
    <w:rsid w:val="00D74205"/>
    <w:rsid w:val="00D87B20"/>
    <w:rsid w:val="00DA3B2B"/>
    <w:rsid w:val="00DC6617"/>
    <w:rsid w:val="00DC7B0B"/>
    <w:rsid w:val="00DE41F8"/>
    <w:rsid w:val="00DF437D"/>
    <w:rsid w:val="00DF6243"/>
    <w:rsid w:val="00E034E9"/>
    <w:rsid w:val="00E30307"/>
    <w:rsid w:val="00E34F63"/>
    <w:rsid w:val="00E4771F"/>
    <w:rsid w:val="00E61055"/>
    <w:rsid w:val="00E7494A"/>
    <w:rsid w:val="00E778F9"/>
    <w:rsid w:val="00E80275"/>
    <w:rsid w:val="00E91A1E"/>
    <w:rsid w:val="00EA49F5"/>
    <w:rsid w:val="00EC10B2"/>
    <w:rsid w:val="00EC47FD"/>
    <w:rsid w:val="00ED24C6"/>
    <w:rsid w:val="00EE2E04"/>
    <w:rsid w:val="00EF6604"/>
    <w:rsid w:val="00F12AAC"/>
    <w:rsid w:val="00F12DAC"/>
    <w:rsid w:val="00F15858"/>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 w:val="00FE1B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hyperlink" Target="http://www.agu.org/pubs/crossref/2006/2005JD006509.shtml" TargetMode="Externa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hyperlink" Target="http://dx.doi.org/10.1175/1520-0442(2001)014%3C3666:IOLSFO%3E2.0.CO;2" TargetMode="Externa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pubs.giss.nasa.gov/abs/fr00200p.html" TargetMode="External"/><Relationship Id="rId69" Type="http://schemas.openxmlformats.org/officeDocument/2006/relationships/hyperlink" Target="http://dx.doi.org/10.1175/MWR3264.1" TargetMode="External"/><Relationship Id="rId8" Type="http://schemas.openxmlformats.org/officeDocument/2006/relationships/oleObject" Target="embeddings/oleObject1.bin"/><Relationship Id="rId51" Type="http://schemas.openxmlformats.org/officeDocument/2006/relationships/image" Target="media/image22.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hyperlink" Target="http://dx.doi.org/10.1175/JAS-D-11-090.1" TargetMode="Externa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hyperlink" Target="http://dx.doi.org/10.1175/2010JCLI3353.1" TargetMode="External"/><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 Type="http://schemas.openxmlformats.org/officeDocument/2006/relationships/image" Target="media/image1.wmf"/><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90A50-3539-42A7-BA1E-67FB9A78F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22791</Words>
  <Characters>25754</Characters>
  <Application>Microsoft Office Word</Application>
  <DocSecurity>0</DocSecurity>
  <Lines>3219</Lines>
  <Paragraphs>2855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45690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Somerville</dc:creator>
  <cp:lastModifiedBy>ZHANGM.H.</cp:lastModifiedBy>
  <cp:revision>6</cp:revision>
  <cp:lastPrinted>2013-07-24T18:25:00Z</cp:lastPrinted>
  <dcterms:created xsi:type="dcterms:W3CDTF">2013-10-22T20:47:00Z</dcterms:created>
  <dcterms:modified xsi:type="dcterms:W3CDTF">2013-10-23T21:49:00Z</dcterms:modified>
</cp:coreProperties>
</file>