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E91A1E" w:rsidRDefault="00DA3B2B" w:rsidP="00222450">
      <w:pPr>
        <w:spacing w:after="0" w:line="360" w:lineRule="auto"/>
        <w:ind w:firstLine="720"/>
        <w:jc w:val="center"/>
        <w:rPr>
          <w:szCs w:val="24"/>
        </w:rPr>
      </w:pPr>
      <w:r w:rsidRPr="00E91A1E">
        <w:rPr>
          <w:b/>
          <w:szCs w:val="24"/>
        </w:rPr>
        <w:t>The SCM concept and creation of forcing datasets</w:t>
      </w:r>
    </w:p>
    <w:p w14:paraId="6F03C3B4" w14:textId="77777777" w:rsidR="00C50939" w:rsidRPr="00E91A1E" w:rsidRDefault="00C50939" w:rsidP="00222450">
      <w:pPr>
        <w:spacing w:after="0" w:line="360" w:lineRule="auto"/>
        <w:ind w:firstLine="720"/>
        <w:jc w:val="center"/>
        <w:rPr>
          <w:szCs w:val="24"/>
        </w:rPr>
      </w:pPr>
    </w:p>
    <w:p w14:paraId="05A731B6" w14:textId="1E8A60DB" w:rsidR="00DA3B2B" w:rsidRPr="00E91A1E" w:rsidRDefault="00DA3B2B" w:rsidP="00222450">
      <w:pPr>
        <w:spacing w:after="0" w:line="360" w:lineRule="auto"/>
        <w:ind w:firstLine="720"/>
        <w:jc w:val="center"/>
        <w:rPr>
          <w:szCs w:val="24"/>
        </w:rPr>
      </w:pPr>
      <w:proofErr w:type="spellStart"/>
      <w:r w:rsidRPr="00E91A1E">
        <w:rPr>
          <w:szCs w:val="24"/>
        </w:rPr>
        <w:t>Minghua</w:t>
      </w:r>
      <w:proofErr w:type="spellEnd"/>
      <w:r w:rsidRPr="00E91A1E">
        <w:rPr>
          <w:szCs w:val="24"/>
        </w:rPr>
        <w:t xml:space="preserve"> Zhang</w:t>
      </w:r>
      <w:proofErr w:type="gramStart"/>
      <w:r w:rsidRPr="00E91A1E">
        <w:rPr>
          <w:szCs w:val="24"/>
        </w:rPr>
        <w:t>,  Richard</w:t>
      </w:r>
      <w:proofErr w:type="gramEnd"/>
      <w:r w:rsidRPr="00E91A1E">
        <w:rPr>
          <w:szCs w:val="24"/>
        </w:rPr>
        <w:t xml:space="preserve"> Somerville, and </w:t>
      </w:r>
      <w:proofErr w:type="spellStart"/>
      <w:r w:rsidRPr="00E91A1E">
        <w:rPr>
          <w:szCs w:val="24"/>
        </w:rPr>
        <w:t>Shaocheng</w:t>
      </w:r>
      <w:proofErr w:type="spellEnd"/>
      <w:r w:rsidRPr="00E91A1E">
        <w:rPr>
          <w:szCs w:val="24"/>
        </w:rPr>
        <w:t xml:space="preserve"> </w:t>
      </w:r>
      <w:proofErr w:type="spellStart"/>
      <w:r w:rsidRPr="00E91A1E">
        <w:rPr>
          <w:szCs w:val="24"/>
        </w:rPr>
        <w:t>Xie</w:t>
      </w:r>
      <w:proofErr w:type="spellEnd"/>
    </w:p>
    <w:p w14:paraId="1CBD837C" w14:textId="77777777" w:rsidR="00DA3B2B" w:rsidRPr="00E91A1E" w:rsidRDefault="00DA3B2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51CC2FDB" w14:textId="4A5B6943" w:rsidR="00655FED" w:rsidRDefault="00655FED" w:rsidP="002C4237">
      <w:pPr>
        <w:pStyle w:val="ListParagraph"/>
        <w:spacing w:line="360" w:lineRule="auto"/>
        <w:ind w:left="0"/>
        <w:jc w:val="center"/>
        <w:rPr>
          <w:rFonts w:ascii="Times New Roman" w:hAnsi="Times New Roman" w:cs="Times New Roman"/>
          <w:b/>
          <w:sz w:val="24"/>
          <w:szCs w:val="24"/>
        </w:rPr>
      </w:pPr>
      <w:r w:rsidRPr="00C25475">
        <w:rPr>
          <w:rFonts w:ascii="Times New Roman" w:hAnsi="Times New Roman" w:cs="Times New Roman"/>
          <w:b/>
          <w:sz w:val="24"/>
          <w:szCs w:val="24"/>
        </w:rPr>
        <w:t>Abstract</w:t>
      </w:r>
    </w:p>
    <w:p w14:paraId="7F45C5F1" w14:textId="77777777" w:rsidR="002C4237" w:rsidRPr="00C25475" w:rsidRDefault="002C4237" w:rsidP="002C4237">
      <w:pPr>
        <w:pStyle w:val="ListParagraph"/>
        <w:spacing w:line="360" w:lineRule="auto"/>
        <w:ind w:left="0"/>
        <w:jc w:val="center"/>
        <w:rPr>
          <w:rFonts w:ascii="Times New Roman" w:hAnsi="Times New Roman" w:cs="Times New Roman"/>
          <w:b/>
          <w:sz w:val="24"/>
          <w:szCs w:val="24"/>
        </w:rPr>
      </w:pPr>
    </w:p>
    <w:p w14:paraId="2154B974" w14:textId="4ED4BD0D" w:rsidR="00655FED" w:rsidRDefault="00655FED" w:rsidP="00C25475">
      <w:pPr>
        <w:pStyle w:val="ListParagraph"/>
        <w:spacing w:line="360" w:lineRule="auto"/>
        <w:ind w:left="0" w:firstLine="360"/>
        <w:jc w:val="both"/>
        <w:rPr>
          <w:rFonts w:ascii="Times New Roman" w:hAnsi="Times New Roman" w:cs="Times New Roman"/>
          <w:sz w:val="24"/>
          <w:szCs w:val="24"/>
        </w:rPr>
      </w:pPr>
      <w:r w:rsidRPr="00C25475">
        <w:rPr>
          <w:rFonts w:ascii="Times New Roman" w:hAnsi="Times New Roman" w:cs="Times New Roman"/>
          <w:sz w:val="24"/>
          <w:szCs w:val="24"/>
        </w:rPr>
        <w:t>This chapter discusses the concept of Single-Column Models (SCM) and the required forcing data</w:t>
      </w:r>
      <w:r w:rsidR="002C4237">
        <w:rPr>
          <w:rFonts w:ascii="Times New Roman" w:hAnsi="Times New Roman" w:cs="Times New Roman"/>
          <w:sz w:val="24"/>
          <w:szCs w:val="24"/>
        </w:rPr>
        <w:t xml:space="preserve"> of these models</w:t>
      </w:r>
      <w:r w:rsidRPr="00C25475">
        <w:rPr>
          <w:rFonts w:ascii="Times New Roman" w:hAnsi="Times New Roman" w:cs="Times New Roman"/>
          <w:sz w:val="24"/>
          <w:szCs w:val="24"/>
        </w:rPr>
        <w:t>. The ARM constrained variational analysis method</w:t>
      </w:r>
      <w:r w:rsidR="00C25475" w:rsidRPr="00C25475">
        <w:rPr>
          <w:rFonts w:ascii="Times New Roman" w:hAnsi="Times New Roman" w:cs="Times New Roman"/>
          <w:sz w:val="24"/>
          <w:szCs w:val="24"/>
        </w:rPr>
        <w:t xml:space="preserve"> to derive the forcing data is described, along with the input data and ongoing research to improve the data accuracy. Available ARM forcing data at various sites are presented.  The </w:t>
      </w:r>
      <w:r w:rsidR="002C4237" w:rsidRPr="00C25475">
        <w:rPr>
          <w:rFonts w:ascii="Times New Roman" w:hAnsi="Times New Roman" w:cs="Times New Roman"/>
          <w:sz w:val="24"/>
          <w:szCs w:val="24"/>
        </w:rPr>
        <w:t>chapter also discusses</w:t>
      </w:r>
      <w:r w:rsidR="00C25475" w:rsidRPr="00C25475">
        <w:rPr>
          <w:rFonts w:ascii="Times New Roman" w:hAnsi="Times New Roman" w:cs="Times New Roman"/>
          <w:sz w:val="24"/>
          <w:szCs w:val="24"/>
        </w:rPr>
        <w:t xml:space="preserve"> selected applications of SCMs to understand model physical processes and to improve physical parameterizations by using the ARM forcing data.</w:t>
      </w: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77777777"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fluxes of heat, water and momentum to and from these neighbors. 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If </w:t>
      </w:r>
      <w:r w:rsidRPr="007003E8">
        <w:rPr>
          <w:rFonts w:ascii="Times New Roman" w:hAnsi="Times New Roman"/>
          <w:sz w:val="24"/>
          <w:szCs w:val="24"/>
        </w:rPr>
        <w:lastRenderedPageBreak/>
        <w:t xml:space="preserve">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lastRenderedPageBreak/>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w:t>
      </w:r>
      <w:r w:rsidRPr="007003E8">
        <w:rPr>
          <w:rFonts w:ascii="Times New Roman" w:hAnsi="Times New Roman"/>
          <w:szCs w:val="24"/>
        </w:rPr>
        <w:lastRenderedPageBreak/>
        <w:t>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downwelling surface shortwave and longwave radiation can be both derived from SCM results and inferred from observations at the SGP site, it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77777777"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27A835E1"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paper,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8pt" o:ole="">
            <v:imagedata r:id="rId7" o:title=""/>
          </v:shape>
          <o:OLEObject Type="Embed" ProgID="Equation.3" ShapeID="_x0000_i1025" DrawAspect="Content" ObjectID="_1443797983"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35pt;height:34.45pt" o:ole="">
            <v:imagedata r:id="rId9" o:title=""/>
          </v:shape>
          <o:OLEObject Type="Embed" ProgID="Equation.3" ShapeID="_x0000_i1026" DrawAspect="Content" ObjectID="_1443797984"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4AC48940"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t</w:t>
      </w:r>
      <w:r w:rsidR="00005224">
        <w:rPr>
          <w:szCs w:val="24"/>
        </w:rPr>
        <w:t xml:space="preserve">he vertical advection </w:t>
      </w:r>
      <w:r w:rsidR="00005224">
        <w:rPr>
          <w:szCs w:val="24"/>
        </w:rPr>
        <w:t xml:space="preserve">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1pt;height:20.05pt" o:ole="">
            <v:imagedata r:id="rId12" o:title=""/>
          </v:shape>
          <o:OLEObject Type="Embed" ProgID="Equation.3" ShapeID="_x0000_i1027" DrawAspect="Content" ObjectID="_1443797985"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05pt;height:18.15pt" o:ole="">
            <v:imagedata r:id="rId14" o:title=""/>
          </v:shape>
          <o:OLEObject Type="Embed" ProgID="Equation.3" ShapeID="_x0000_i1028" DrawAspect="Content" ObjectID="_1443797986"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1pt;height:20.05pt" o:ole="">
            <v:imagedata r:id="rId12" o:title=""/>
          </v:shape>
          <o:OLEObject Type="Embed" ProgID="Equation.3" ShapeID="_x0000_i1029" DrawAspect="Content" ObjectID="_1443797987" r:id="rId16"/>
        </w:object>
      </w:r>
      <w:r w:rsidR="0055604F" w:rsidRPr="00F418EB">
        <w:rPr>
          <w:position w:val="-28"/>
          <w:szCs w:val="24"/>
        </w:rPr>
        <w:object w:dxaOrig="1180" w:dyaOrig="700" w14:anchorId="24075592">
          <v:shape id="_x0000_i1030" type="#_x0000_t75" style="width:58.85pt;height:35.05pt" o:ole="">
            <v:imagedata r:id="rId17" o:title=""/>
          </v:shape>
          <o:OLEObject Type="Embed" ProgID="Equation.3" ShapeID="_x0000_i1030" DrawAspect="Content" ObjectID="_1443797988"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p>
    <w:p w14:paraId="2198FF94" w14:textId="649752A7"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can be 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1" type="#_x0000_t75" style="width:15.05pt;height:18.15pt" o:ole="">
            <v:imagedata r:id="rId19" o:title=""/>
          </v:shape>
          <o:OLEObject Type="Embed" ProgID="Equation.3" ShapeID="_x0000_i1031" DrawAspect="Content" ObjectID="_1443797989" r:id="rId20"/>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2" type="#_x0000_t75" style="width:15.05pt;height:18.15pt" o:ole="">
            <v:imagedata r:id="rId21" o:title=""/>
          </v:shape>
          <o:OLEObject Type="Embed" ProgID="Equation.3" ShapeID="_x0000_i1032" DrawAspect="Content" ObjectID="_1443797990" r:id="rId22"/>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0C20BC1D"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many uncertainties. </w:t>
      </w:r>
      <w:r w:rsidR="00F3431E">
        <w:rPr>
          <w:rFonts w:ascii="Times New Roman" w:hAnsi="Times New Roman" w:cs="Times New Roman"/>
          <w:szCs w:val="24"/>
        </w:rPr>
        <w:t xml:space="preserve"> </w:t>
      </w:r>
      <w:r>
        <w:rPr>
          <w:rFonts w:ascii="Times New Roman" w:hAnsi="Times New Roman" w:cs="Times New Roman"/>
          <w:szCs w:val="24"/>
        </w:rPr>
        <w:t>E</w:t>
      </w:r>
      <w:r w:rsidR="00197173" w:rsidRPr="00F418EB">
        <w:rPr>
          <w:rFonts w:ascii="Times New Roman" w:hAnsi="Times New Roman" w:cs="Times New Roman"/>
          <w:szCs w:val="24"/>
        </w:rPr>
        <w:t>rrors</w:t>
      </w:r>
      <w:r>
        <w:rPr>
          <w:rFonts w:ascii="Times New Roman" w:hAnsi="Times New Roman" w:cs="Times New Roman"/>
          <w:szCs w:val="24"/>
        </w:rPr>
        <w:t xml:space="preserve"> in the forcing data</w:t>
      </w:r>
      <w:r w:rsidR="00197173" w:rsidRPr="00F418EB">
        <w:rPr>
          <w:rFonts w:ascii="Times New Roman" w:hAnsi="Times New Roman" w:cs="Times New Roman"/>
          <w:szCs w:val="24"/>
        </w:rPr>
        <w:t xml:space="preserve"> </w:t>
      </w:r>
      <w:r>
        <w:rPr>
          <w:rFonts w:ascii="Times New Roman" w:hAnsi="Times New Roman" w:cs="Times New Roman"/>
          <w:szCs w:val="24"/>
        </w:rPr>
        <w:t>can direct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 xml:space="preserve">errors of the horizontal </w:t>
      </w:r>
      <w:r w:rsidR="00705D68" w:rsidRPr="00F418EB">
        <w:rPr>
          <w:rFonts w:ascii="Times New Roman" w:hAnsi="Times New Roman" w:cs="Times New Roman"/>
          <w:szCs w:val="24"/>
        </w:rPr>
        <w:lastRenderedPageBreak/>
        <w:t>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3" type="#_x0000_t75" style="width:18.8pt;height:13.75pt" o:ole="">
            <v:imagedata r:id="rId23" o:title=""/>
          </v:shape>
          <o:OLEObject Type="Embed" ProgID="Equation.3" ShapeID="_x0000_i1033" DrawAspect="Content" ObjectID="_1443797991" r:id="rId24"/>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4" type="#_x0000_t75" style="width:16.9pt;height:16.3pt" o:ole="">
            <v:imagedata r:id="rId25" o:title=""/>
          </v:shape>
          <o:OLEObject Type="Embed" ProgID="Equation.3" ShapeID="_x0000_i1034" DrawAspect="Content" ObjectID="_1443797992" r:id="rId26"/>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5" type="#_x0000_t75" style="width:16.9pt;height:13.75pt" o:ole="">
            <v:imagedata r:id="rId27" o:title=""/>
          </v:shape>
          <o:OLEObject Type="Embed" ProgID="Equation.3" ShapeID="_x0000_i1035" DrawAspect="Content" ObjectID="_1443797993" r:id="rId28"/>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40" type="#_x0000_t75" style="width:279.85pt;height:35.05pt" o:ole="">
            <v:imagedata r:id="rId29" o:title=""/>
          </v:shape>
          <o:OLEObject Type="Embed" ProgID="Equation.3" ShapeID="_x0000_i1040" DrawAspect="Content" ObjectID="_1443797994" r:id="rId30"/>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41" type="#_x0000_t75" style="width:310.55pt;height:35.05pt" o:ole="">
            <v:imagedata r:id="rId31" o:title=""/>
          </v:shape>
          <o:OLEObject Type="Embed" ProgID="Equation.3" ShapeID="_x0000_i1041" DrawAspect="Content" ObjectID="_1443797995" r:id="rId32"/>
        </w:object>
      </w:r>
    </w:p>
    <w:p w14:paraId="3E2BF235" w14:textId="37BAFC0E" w:rsidR="00F16B93" w:rsidRPr="00F418EB" w:rsidRDefault="00301A0B" w:rsidP="00F3431E">
      <w:pPr>
        <w:spacing w:line="360" w:lineRule="auto"/>
        <w:ind w:firstLine="360"/>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36" type="#_x0000_t75" style="width:78.9pt;height:18.15pt" o:ole="">
            <v:imagedata r:id="rId33" o:title=""/>
          </v:shape>
          <o:OLEObject Type="Embed" ProgID="Equation.3" ShapeID="_x0000_i1036" DrawAspect="Content" ObjectID="_1443797996" r:id="rId34"/>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9" type="#_x0000_t75" style="width:91.4pt;height:17.55pt" o:ole="">
            <v:imagedata r:id="rId35" o:title=""/>
          </v:shape>
          <o:OLEObject Type="Embed" ProgID="Equation.3" ShapeID="_x0000_i1049" DrawAspect="Content" ObjectID="_1443797997" r:id="rId36"/>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50" type="#_x0000_t75" style="width:107.05pt;height:17.55pt" o:ole="">
            <v:imagedata r:id="rId37" o:title=""/>
          </v:shape>
          <o:OLEObject Type="Embed" ProgID="Equation.3" ShapeID="_x0000_i1050" DrawAspect="Content" ObjectID="_1443797998" r:id="rId38"/>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17467E84" w:rsidR="00E34F63" w:rsidRPr="00F418EB" w:rsidRDefault="00836CF9" w:rsidP="00F3431E">
      <w:pPr>
        <w:spacing w:line="360" w:lineRule="auto"/>
        <w:jc w:val="both"/>
        <w:rPr>
          <w:rFonts w:ascii="Times New Roman" w:hAnsi="Times New Roman" w:cs="Times New Roman"/>
          <w:szCs w:val="24"/>
        </w:rPr>
      </w:pPr>
      <w:r>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2" type="#_x0000_t75" style="width:331.85pt;height:35.05pt" o:ole="">
            <v:imagedata r:id="rId39" o:title=""/>
          </v:shape>
          <o:OLEObject Type="Embed" ProgID="Equation.3" ShapeID="_x0000_i1042" DrawAspect="Content" ObjectID="_1443797999" r:id="rId40"/>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3" type="#_x0000_t75" style="width:350.6pt;height:33.8pt" o:ole="">
            <v:imagedata r:id="rId41" o:title=""/>
          </v:shape>
          <o:OLEObject Type="Embed" ProgID="Equation.3" ShapeID="_x0000_i1043" DrawAspect="Content" ObjectID="_1443798000" r:id="rId42"/>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37" type="#_x0000_t75" style="width:48.2pt;height:33.8pt" o:ole="">
            <v:imagedata r:id="rId43" o:title=""/>
          </v:shape>
          <o:OLEObject Type="Embed" ProgID="Equation.3" ShapeID="_x0000_i1037" DrawAspect="Content" ObjectID="_1443798001" r:id="rId44"/>
        </w:object>
      </w:r>
      <w:r w:rsidRPr="00F418EB">
        <w:rPr>
          <w:rFonts w:ascii="Times New Roman" w:hAnsi="Times New Roman" w:cs="Times New Roman"/>
          <w:szCs w:val="24"/>
        </w:rPr>
        <w:t>.</w:t>
      </w:r>
    </w:p>
    <w:p w14:paraId="747851BE" w14:textId="0364BFC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xml:space="preserve">, we get </w:t>
      </w:r>
    </w:p>
    <w:p w14:paraId="4766C410" w14:textId="1EBB45E8" w:rsidR="00514FF0" w:rsidRPr="00F418EB" w:rsidRDefault="003A7218"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00" w:dyaOrig="340" w14:anchorId="4C7C6245">
          <v:shape id="_x0000_i1038" type="#_x0000_t75" style="width:70.1pt;height:17.55pt" o:ole="">
            <v:imagedata r:id="rId45" o:title=""/>
          </v:shape>
          <o:OLEObject Type="Embed" ProgID="Equation.3" ShapeID="_x0000_i1038" DrawAspect="Content" ObjectID="_1443798002" r:id="rId46"/>
        </w:object>
      </w:r>
      <w:r w:rsidRPr="00F418EB">
        <w:rPr>
          <w:rFonts w:ascii="Times New Roman" w:hAnsi="Times New Roman" w:cs="Times New Roman"/>
          <w:szCs w:val="24"/>
        </w:rPr>
        <w:t xml:space="preserve"> </w:t>
      </w:r>
      <w:r w:rsidRPr="00F418EB">
        <w:rPr>
          <w:position w:val="-10"/>
          <w:szCs w:val="24"/>
        </w:rPr>
        <w:object w:dxaOrig="660" w:dyaOrig="320" w14:anchorId="2E0B6A9A">
          <v:shape id="_x0000_i1039" type="#_x0000_t75" style="width:33.2pt;height:16.3pt" o:ole="">
            <v:imagedata r:id="rId47" o:title=""/>
          </v:shape>
          <o:OLEObject Type="Embed" ProgID="Equation.3" ShapeID="_x0000_i1039" DrawAspect="Content" ObjectID="_1443798003" r:id="rId48"/>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1FBA53AB"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 the systematic instrument errors </w:t>
      </w:r>
      <w:r w:rsidR="00BD1CE6" w:rsidRPr="00F418EB">
        <w:rPr>
          <w:rFonts w:ascii="Times New Roman" w:hAnsi="Times New Roman" w:cs="Times New Roman"/>
          <w:szCs w:val="24"/>
        </w:rPr>
        <w:lastRenderedPageBreak/>
        <w:t>are removed if the same equipment is used across the domain, while 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0A523348"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77777777"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quality and number of atmospheric measurements at the boundary of the study domain. It therefore contains fewer subjective assumptions than the regular grid method. An important requirement is that there needs to be sufficient amount of </w:t>
      </w:r>
      <w:r w:rsidRPr="00F418EB">
        <w:rPr>
          <w:rFonts w:ascii="Times New Roman" w:hAnsi="Times New Roman" w:cs="Times New Roman"/>
          <w:szCs w:val="24"/>
        </w:rPr>
        <w:lastRenderedPageBreak/>
        <w:t xml:space="preserve">measurement stations at the domain boundary.  The line integral method typically does not use measurements inside the study domain in the calculation of the lateral boundary fluxes. </w:t>
      </w:r>
    </w:p>
    <w:p w14:paraId="73DD8FC9" w14:textId="17D5CB1D"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regular grid method is more suited to analyze data with many scattered measurement stations, while the line integral method is more suited for a 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2B7251C0"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data have been widely used, a standard analysis algorithm is not available because many subjective procedures and </w:t>
      </w:r>
      <w:r w:rsidR="00F12DAC" w:rsidRPr="00F418EB">
        <w:rPr>
          <w:rFonts w:ascii="Times New Roman" w:hAnsi="Times New Roman" w:cs="Times New Roman"/>
          <w:szCs w:val="24"/>
        </w:rPr>
        <w:t xml:space="preserve">judgment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0547BBD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9E66B2" w:rsidRPr="00F418EB">
        <w:rPr>
          <w:rFonts w:ascii="Times New Roman" w:hAnsi="Times New Roman" w:cs="Times New Roman"/>
          <w:szCs w:val="24"/>
        </w:rPr>
        <w:t>They</w:t>
      </w:r>
      <w:r w:rsidRPr="00F418EB">
        <w:rPr>
          <w:rFonts w:ascii="Times New Roman" w:hAnsi="Times New Roman" w:cs="Times New Roman"/>
          <w:szCs w:val="24"/>
        </w:rPr>
        <w:t xml:space="preserve"> also tried a cubic-spline mechanical fitting algorithm described in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and found that the results </w:t>
      </w:r>
      <w:r w:rsidR="000443CB">
        <w:rPr>
          <w:rFonts w:ascii="Times New Roman" w:hAnsi="Times New Roman" w:cs="Times New Roman"/>
          <w:szCs w:val="24"/>
        </w:rPr>
        <w:t>were</w:t>
      </w:r>
      <w:r w:rsidRPr="00F418EB">
        <w:rPr>
          <w:rFonts w:ascii="Times New Roman" w:hAnsi="Times New Roman" w:cs="Times New Roman"/>
          <w:szCs w:val="24"/>
        </w:rPr>
        <w:t xml:space="preserve"> similar to those from the Barnes analysis. 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9113D">
        <w:rPr>
          <w:rFonts w:ascii="Times New Roman" w:hAnsi="Times New Roman" w:cs="Times New Roman"/>
          <w:szCs w:val="24"/>
        </w:rPr>
        <w:t>can be</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w:t>
      </w:r>
      <w:proofErr w:type="gramStart"/>
      <w:r w:rsidR="000443CB">
        <w:rPr>
          <w:rFonts w:ascii="Times New Roman" w:hAnsi="Times New Roman" w:cs="Times New Roman"/>
          <w:szCs w:val="24"/>
        </w:rPr>
        <w:t xml:space="preserve">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in Frank et al. (1996).</w:t>
      </w:r>
      <w:proofErr w:type="gramEnd"/>
      <w:r w:rsidR="00DE41F8" w:rsidRPr="00F418EB">
        <w:rPr>
          <w:rFonts w:ascii="Times New Roman" w:hAnsi="Times New Roman" w:cs="Times New Roman"/>
          <w:szCs w:val="24"/>
        </w:rPr>
        <w:t xml:space="preserve">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 xml:space="preserve">-Julian Oscillation (MJO), their use to simulate the observed cloud fields </w:t>
      </w:r>
      <w:r w:rsidR="000443CB">
        <w:rPr>
          <w:rFonts w:ascii="Times New Roman" w:hAnsi="Times New Roman" w:cs="Times New Roman"/>
          <w:szCs w:val="24"/>
        </w:rPr>
        <w:t>for direct comparison with transient measurements of clouds can be problematic.</w:t>
      </w:r>
    </w:p>
    <w:p w14:paraId="0A929088" w14:textId="7CF56A69" w:rsidR="009E66B2" w:rsidRDefault="00DE41F8"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Large-scale forcing data have been calculated for</w:t>
      </w:r>
      <w:r w:rsidR="009E66B2" w:rsidRPr="00F418EB">
        <w:rPr>
          <w:rFonts w:ascii="Times New Roman" w:hAnsi="Times New Roman" w:cs="Times New Roman"/>
          <w:szCs w:val="24"/>
        </w:rPr>
        <w:t xml:space="preserve"> other shorter field experiments</w:t>
      </w:r>
      <w:r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Pr="00F418EB">
        <w:rPr>
          <w:rFonts w:ascii="Times New Roman" w:hAnsi="Times New Roman" w:cs="Times New Roman"/>
          <w:szCs w:val="24"/>
        </w:rPr>
        <w:t xml:space="preserve"> summarized in Zhang et al. </w:t>
      </w:r>
      <w:r w:rsidRPr="00F418EB">
        <w:rPr>
          <w:rFonts w:ascii="Times New Roman" w:hAnsi="Times New Roman" w:cs="Times New Roman"/>
          <w:szCs w:val="24"/>
        </w:rPr>
        <w:lastRenderedPageBreak/>
        <w:t>(200</w:t>
      </w:r>
      <w:r w:rsidR="00792930">
        <w:rPr>
          <w:rFonts w:ascii="Times New Roman" w:hAnsi="Times New Roman" w:cs="Times New Roman"/>
          <w:szCs w:val="24"/>
        </w:rPr>
        <w:t>1</w:t>
      </w:r>
      <w:r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sidR="008B4F02">
        <w:rPr>
          <w:rFonts w:ascii="Times New Roman" w:hAnsi="Times New Roman" w:cs="Times New Roman"/>
          <w:szCs w:val="24"/>
        </w:rPr>
        <w:t xml:space="preserve">: </w:t>
      </w:r>
      <w:r w:rsidR="000443CB">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sidR="00544E21" w:rsidRPr="00F418EB">
        <w:rPr>
          <w:rFonts w:ascii="Times New Roman" w:hAnsi="Times New Roman" w:cs="Times New Roman"/>
          <w:szCs w:val="24"/>
        </w:rPr>
        <w:t>”</w:t>
      </w:r>
      <w:r w:rsidR="008B4F02">
        <w:rPr>
          <w:rFonts w:ascii="Times New Roman" w:hAnsi="Times New Roman" w:cs="Times New Roman"/>
          <w:szCs w:val="24"/>
        </w:rPr>
        <w:t xml:space="preserve"> (</w:t>
      </w:r>
      <w:proofErr w:type="spellStart"/>
      <w:r w:rsidR="008B4F02">
        <w:rPr>
          <w:rFonts w:ascii="Times New Roman" w:hAnsi="Times New Roman" w:cs="Times New Roman"/>
          <w:szCs w:val="24"/>
        </w:rPr>
        <w:t>Ooyama</w:t>
      </w:r>
      <w:proofErr w:type="spellEnd"/>
      <w:r w:rsidR="008B4F02">
        <w:rPr>
          <w:rFonts w:ascii="Times New Roman" w:hAnsi="Times New Roman" w:cs="Times New Roman"/>
          <w:szCs w:val="24"/>
        </w:rPr>
        <w:t>, 1987).</w:t>
      </w:r>
    </w:p>
    <w:p w14:paraId="57B27CF0" w14:textId="0DE20FEA"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analysis products can be also used to obtain the large-scale forcing.  However, because the operational models suffer from biases of cloud and precipitation parameterizations </w:t>
      </w:r>
      <w:r w:rsidR="00C9113D">
        <w:rPr>
          <w:rFonts w:ascii="Times New Roman" w:hAnsi="Times New Roman" w:cs="Times New Roman"/>
          <w:szCs w:val="24"/>
        </w:rPr>
        <w:t xml:space="preserve">in the assimilation models </w:t>
      </w:r>
      <w:r>
        <w:rPr>
          <w:rFonts w:ascii="Times New Roman" w:hAnsi="Times New Roman" w:cs="Times New Roman"/>
          <w:szCs w:val="24"/>
        </w:rPr>
        <w:t xml:space="preserve">that ARM aims to </w:t>
      </w:r>
      <w:proofErr w:type="gramStart"/>
      <w:r>
        <w:rPr>
          <w:rFonts w:ascii="Times New Roman" w:hAnsi="Times New Roman" w:cs="Times New Roman"/>
          <w:szCs w:val="24"/>
        </w:rPr>
        <w:t>improve,</w:t>
      </w:r>
      <w:proofErr w:type="gramEnd"/>
      <w:r>
        <w:rPr>
          <w:rFonts w:ascii="Times New Roman" w:hAnsi="Times New Roman" w:cs="Times New Roman"/>
          <w:szCs w:val="24"/>
        </w:rPr>
        <w:t xml:space="preser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6AE73AD7"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data </w:t>
      </w:r>
      <w:r w:rsidR="00C9113D">
        <w:rPr>
          <w:rFonts w:ascii="Times New Roman" w:hAnsi="Times New Roman"/>
          <w:szCs w:val="24"/>
        </w:rPr>
        <w:t>analysis</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 xml:space="preserve">are enforced </w:t>
      </w:r>
      <w:r w:rsidRPr="00F418EB">
        <w:rPr>
          <w:rFonts w:ascii="Times New Roman" w:hAnsi="Times New Roman"/>
          <w:szCs w:val="24"/>
        </w:rPr>
        <w:t xml:space="preserve">to the forcing data.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4" type="#_x0000_t75" style="width:93.9pt;height:33.8pt" o:ole="">
            <v:imagedata r:id="rId49" o:title="" cropleft="-352f" cropright="-352f"/>
          </v:shape>
          <o:OLEObject Type="Embed" ProgID="Equation.2" ShapeID="_x0000_i1044" DrawAspect="Content" ObjectID="_1443798004" r:id="rId50">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45" type="#_x0000_t75" style="width:212.85pt;height:28.8pt" o:ole="">
            <v:imagedata r:id="rId51" o:title="" cropleft="-155f" cropright="-155f"/>
          </v:shape>
          <o:OLEObject Type="Embed" ProgID="Equation.2" ShapeID="_x0000_i1045" DrawAspect="Content" ObjectID="_1443798005" r:id="rId52">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46" type="#_x0000_t75" style="width:302.4pt;height:28.8pt" o:ole="">
            <v:imagedata r:id="rId53" o:title="" cropleft="-109f" cropright="-109f"/>
          </v:shape>
          <o:OLEObject Type="Embed" ProgID="Equation.2" ShapeID="_x0000_i1046" DrawAspect="Content" ObjectID="_1443798006" r:id="rId54">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47" type="#_x0000_t75" style="width:220.4pt;height:30.7pt" o:ole="">
            <v:imagedata r:id="rId55" o:title="" cropleft="-143f" cropright="-143f"/>
          </v:shape>
          <o:OLEObject Type="Embed" ProgID="Equation.DSMT4" ShapeID="_x0000_i1047" DrawAspect="Content" ObjectID="_1443798007" r:id="rId56">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w:t>
      </w:r>
      <w:r w:rsidRPr="00F418EB">
        <w:rPr>
          <w:szCs w:val="24"/>
        </w:rPr>
        <w:lastRenderedPageBreak/>
        <w:t xml:space="preserve">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4F74E39B" w:rsidR="0069519C" w:rsidRPr="00F418EB" w:rsidRDefault="00C9113D" w:rsidP="00F3431E">
      <w:pPr>
        <w:spacing w:line="360" w:lineRule="auto"/>
        <w:ind w:firstLine="360"/>
        <w:jc w:val="both"/>
        <w:rPr>
          <w:szCs w:val="24"/>
        </w:rPr>
      </w:pPr>
      <w:r>
        <w:rPr>
          <w:szCs w:val="24"/>
        </w:rPr>
        <w:t xml:space="preserve">The objective </w:t>
      </w:r>
      <w:r w:rsidR="0069519C" w:rsidRPr="00F418EB">
        <w:rPr>
          <w:szCs w:val="24"/>
        </w:rPr>
        <w:t>analysis is obtained by minimizing the cost function of</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48" type="#_x0000_t75" style="width:438.25pt;height:19.4pt" o:ole="" fillcolor="window">
            <v:imagedata r:id="rId57" o:title="" cropleft="-89f" cropright="-89f"/>
          </v:shape>
          <o:OLEObject Type="Embed" ProgID="Equation.DSMT4" ShapeID="_x0000_i1048" DrawAspect="Content" ObjectID="_1443798008" r:id="rId58">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6800CF4"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 xml:space="preserve">processed balloon sounding and wind profiler measurements;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452A34A5"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Terms on the left-hand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will be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3C300BF0"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9D72DE">
        <w:rPr>
          <w:rFonts w:ascii="Times New Roman" w:hAnsi="Times New Roman" w:cs="Times New Roman"/>
          <w:szCs w:val="24"/>
        </w:rPr>
        <w:t xml:space="preserve"> </w:t>
      </w:r>
    </w:p>
    <w:p w14:paraId="3BE7900E" w14:textId="26A795DF"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A08B238"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proofErr w:type="gramStart"/>
      <w:r>
        <w:rPr>
          <w:rFonts w:ascii="Times New Roman" w:hAnsi="Times New Roman" w:cs="Times New Roman"/>
          <w:szCs w:val="24"/>
        </w:rPr>
        <w:t>T</w:t>
      </w:r>
      <w:r w:rsidR="002F3595" w:rsidRPr="00F418EB">
        <w:rPr>
          <w:rFonts w:ascii="Times New Roman" w:hAnsi="Times New Roman" w:cs="Times New Roman"/>
          <w:szCs w:val="24"/>
        </w:rPr>
        <w:t>he left hand side terms</w:t>
      </w:r>
      <w:r w:rsidR="000D5E24" w:rsidRPr="00F418EB">
        <w:rPr>
          <w:rFonts w:ascii="Times New Roman" w:hAnsi="Times New Roman" w:cs="Times New Roman"/>
          <w:szCs w:val="24"/>
        </w:rPr>
        <w:t xml:space="preserve"> in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Pr>
          <w:rFonts w:ascii="Times New Roman" w:hAnsi="Times New Roman" w:cs="Times New Roman"/>
          <w:szCs w:val="24"/>
        </w:rPr>
        <w:t xml:space="preserve">are currently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w:t>
      </w:r>
      <w:proofErr w:type="gramEnd"/>
      <w:r w:rsidR="002F3595" w:rsidRPr="00F418EB">
        <w:rPr>
          <w:rFonts w:ascii="Times New Roman" w:hAnsi="Times New Roman" w:cs="Times New Roman"/>
          <w:szCs w:val="24"/>
        </w:rPr>
        <w:t xml:space="preserve">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p>
    <w:p w14:paraId="7F8251C2" w14:textId="11FF60BE" w:rsidR="00533FDD" w:rsidRDefault="005614FD"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addition to the analysis </w:t>
      </w:r>
      <w:r w:rsidR="009D46FA">
        <w:rPr>
          <w:rFonts w:ascii="Times New Roman" w:hAnsi="Times New Roman" w:cs="Times New Roman"/>
          <w:szCs w:val="24"/>
        </w:rPr>
        <w:t xml:space="preserve">for </w:t>
      </w:r>
      <w:r w:rsidRPr="00F418EB">
        <w:rPr>
          <w:rFonts w:ascii="Times New Roman" w:hAnsi="Times New Roman" w:cs="Times New Roman"/>
          <w:szCs w:val="24"/>
        </w:rPr>
        <w:t xml:space="preserve"> Intensive Observational Period</w:t>
      </w:r>
      <w:r w:rsidR="009D46FA">
        <w:rPr>
          <w:rFonts w:ascii="Times New Roman" w:hAnsi="Times New Roman" w:cs="Times New Roman"/>
          <w:szCs w:val="24"/>
        </w:rPr>
        <w:t>s (IOP)</w:t>
      </w:r>
      <w:r w:rsidRPr="00F418EB">
        <w:rPr>
          <w:rFonts w:ascii="Times New Roman" w:hAnsi="Times New Roman" w:cs="Times New Roman"/>
          <w:szCs w:val="24"/>
        </w:rPr>
        <w:t>, ARM also developed the continuous forcing data in which the initial guess fields in the cost function of Equation (</w:t>
      </w:r>
      <w:r w:rsidR="009D46FA">
        <w:rPr>
          <w:rFonts w:ascii="Times New Roman" w:hAnsi="Times New Roman" w:cs="Times New Roman"/>
          <w:szCs w:val="24"/>
        </w:rPr>
        <w:t>10</w:t>
      </w:r>
      <w:r w:rsidRPr="00F418EB">
        <w:rPr>
          <w:rFonts w:ascii="Times New Roman" w:hAnsi="Times New Roman" w:cs="Times New Roman"/>
          <w:szCs w:val="24"/>
        </w:rPr>
        <w:t xml:space="preserve">) were entirely from hourly operational analysis </w:t>
      </w:r>
      <w:r w:rsidR="009D46FA">
        <w:rPr>
          <w:rFonts w:ascii="Times New Roman" w:hAnsi="Times New Roman" w:cs="Times New Roman"/>
          <w:szCs w:val="24"/>
        </w:rPr>
        <w:t>and were subject</w:t>
      </w:r>
      <w:r w:rsidRPr="00F418EB">
        <w:rPr>
          <w:rFonts w:ascii="Times New Roman" w:hAnsi="Times New Roman" w:cs="Times New Roman"/>
          <w:szCs w:val="24"/>
        </w:rPr>
        <w:t xml:space="preserve"> </w:t>
      </w:r>
      <w:r w:rsidR="009D46FA">
        <w:rPr>
          <w:rFonts w:ascii="Times New Roman" w:hAnsi="Times New Roman" w:cs="Times New Roman"/>
          <w:szCs w:val="24"/>
        </w:rPr>
        <w:t xml:space="preserve">to constraints of observed surface and TOA </w:t>
      </w:r>
      <w:r w:rsidRPr="00F418EB">
        <w:rPr>
          <w:rFonts w:ascii="Times New Roman" w:hAnsi="Times New Roman" w:cs="Times New Roman"/>
          <w:szCs w:val="24"/>
        </w:rPr>
        <w:t>fields (</w:t>
      </w:r>
      <w:proofErr w:type="spellStart"/>
      <w:r w:rsidRPr="00F418EB">
        <w:rPr>
          <w:rFonts w:ascii="Times New Roman" w:hAnsi="Times New Roman" w:cs="Times New Roman"/>
          <w:szCs w:val="24"/>
        </w:rPr>
        <w:t>Xie</w:t>
      </w:r>
      <w:proofErr w:type="spellEnd"/>
      <w:r w:rsidRPr="00F418EB">
        <w:rPr>
          <w:rFonts w:ascii="Times New Roman" w:hAnsi="Times New Roman" w:cs="Times New Roman"/>
          <w:szCs w:val="24"/>
        </w:rPr>
        <w:t xml:space="preserve"> et al. 20</w:t>
      </w:r>
      <w:r w:rsidR="009D46FA">
        <w:rPr>
          <w:rFonts w:ascii="Times New Roman" w:hAnsi="Times New Roman" w:cs="Times New Roman"/>
          <w:szCs w:val="24"/>
        </w:rPr>
        <w:t>0</w:t>
      </w:r>
      <w:r w:rsidR="003B4751">
        <w:rPr>
          <w:rFonts w:ascii="Times New Roman" w:hAnsi="Times New Roman" w:cs="Times New Roman"/>
          <w:szCs w:val="24"/>
        </w:rPr>
        <w:t>4</w:t>
      </w:r>
      <w:r w:rsidRPr="00F418EB">
        <w:rPr>
          <w:rFonts w:ascii="Times New Roman" w:hAnsi="Times New Roman" w:cs="Times New Roman"/>
          <w:szCs w:val="24"/>
        </w:rPr>
        <w:t xml:space="preserve">). The advantage of the continuous forcing is that it can be </w:t>
      </w:r>
      <w:r w:rsidR="009D46FA">
        <w:rPr>
          <w:rFonts w:ascii="Times New Roman" w:hAnsi="Times New Roman" w:cs="Times New Roman"/>
          <w:szCs w:val="24"/>
        </w:rPr>
        <w:t>derived</w:t>
      </w:r>
      <w:r w:rsidRPr="00F418EB">
        <w:rPr>
          <w:rFonts w:ascii="Times New Roman" w:hAnsi="Times New Roman" w:cs="Times New Roman"/>
          <w:szCs w:val="24"/>
        </w:rPr>
        <w:t xml:space="preserve"> for long periods and over most regions of the globe as long as surface and TOA measurements are available. </w:t>
      </w:r>
      <w:r w:rsidR="009D46FA">
        <w:rPr>
          <w:rFonts w:ascii="Times New Roman" w:hAnsi="Times New Roman" w:cs="Times New Roman"/>
          <w:szCs w:val="24"/>
        </w:rPr>
        <w:t>T</w:t>
      </w:r>
      <w:r w:rsidRPr="00F418EB">
        <w:rPr>
          <w:rFonts w:ascii="Times New Roman" w:hAnsi="Times New Roman" w:cs="Times New Roman"/>
          <w:szCs w:val="24"/>
        </w:rPr>
        <w:t xml:space="preserve">he compromise </w:t>
      </w:r>
      <w:r w:rsidR="009D46FA">
        <w:rPr>
          <w:rFonts w:ascii="Times New Roman" w:hAnsi="Times New Roman" w:cs="Times New Roman"/>
          <w:szCs w:val="24"/>
        </w:rPr>
        <w:t xml:space="preserve">is that </w:t>
      </w:r>
      <w:r w:rsidRPr="00F418EB">
        <w:rPr>
          <w:rFonts w:ascii="Times New Roman" w:hAnsi="Times New Roman" w:cs="Times New Roman"/>
          <w:szCs w:val="24"/>
        </w:rPr>
        <w:t>the vertical structure</w:t>
      </w:r>
      <w:r w:rsidR="009D46FA">
        <w:rPr>
          <w:rFonts w:ascii="Times New Roman" w:hAnsi="Times New Roman" w:cs="Times New Roman"/>
          <w:szCs w:val="24"/>
        </w:rPr>
        <w:t>s</w:t>
      </w:r>
      <w:r w:rsidRPr="00F418EB">
        <w:rPr>
          <w:rFonts w:ascii="Times New Roman" w:hAnsi="Times New Roman" w:cs="Times New Roman"/>
          <w:szCs w:val="24"/>
        </w:rPr>
        <w:t xml:space="preserve"> of the analyzed fields </w:t>
      </w:r>
      <w:r w:rsidR="009D46FA">
        <w:rPr>
          <w:rFonts w:ascii="Times New Roman" w:hAnsi="Times New Roman" w:cs="Times New Roman"/>
          <w:szCs w:val="24"/>
        </w:rPr>
        <w:t>are</w:t>
      </w:r>
      <w:r w:rsidRPr="00F418EB">
        <w:rPr>
          <w:rFonts w:ascii="Times New Roman" w:hAnsi="Times New Roman" w:cs="Times New Roman"/>
          <w:szCs w:val="24"/>
        </w:rPr>
        <w:t xml:space="preserve"> heavily dependent on the </w:t>
      </w:r>
      <w:r w:rsidR="00891591" w:rsidRPr="00F418EB">
        <w:rPr>
          <w:rFonts w:ascii="Times New Roman" w:hAnsi="Times New Roman" w:cs="Times New Roman"/>
          <w:szCs w:val="24"/>
        </w:rPr>
        <w:t>operational analysis</w:t>
      </w:r>
      <w:r w:rsidR="009D46FA">
        <w:rPr>
          <w:rFonts w:ascii="Times New Roman" w:hAnsi="Times New Roman" w:cs="Times New Roman"/>
          <w:szCs w:val="24"/>
        </w:rPr>
        <w:t>.</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input data for the ARM variational analysis include measurements of both adjustment variables and constraint fields. The adjusted variables are the large-scale state variables, namely, </w:t>
      </w:r>
      <w:r>
        <w:rPr>
          <w:rFonts w:ascii="Times New Roman" w:hAnsi="Times New Roman"/>
          <w:szCs w:val="24"/>
        </w:rPr>
        <w:lastRenderedPageBreak/>
        <w:t xml:space="preserve">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measurements</w:t>
      </w:r>
      <w:r w:rsidRPr="00F37BBB">
        <w:rPr>
          <w:rFonts w:ascii="Times New Roman" w:hAnsi="Times New Roman"/>
          <w:szCs w:val="24"/>
        </w:rPr>
        <w:t xml:space="preserve"> </w:t>
      </w:r>
      <w:r>
        <w:rPr>
          <w:rFonts w:ascii="Times New Roman" w:hAnsi="Times New Roman"/>
          <w:szCs w:val="24"/>
        </w:rPr>
        <w:t>(</w:t>
      </w:r>
      <w:r>
        <w:rPr>
          <w:rFonts w:ascii="Times New Roman" w:hAnsi="Times New Roman"/>
          <w:b/>
          <w:szCs w:val="24"/>
        </w:rPr>
        <w:t>Figs. X</w:t>
      </w:r>
      <w:r w:rsidRPr="00F47DBC">
        <w:rPr>
          <w:rFonts w:ascii="Times New Roman" w:hAnsi="Times New Roman"/>
          <w:b/>
          <w:szCs w:val="24"/>
        </w:rPr>
        <w:t>1</w:t>
      </w:r>
      <w:r>
        <w:rPr>
          <w:rFonts w:ascii="Times New Roman" w:hAnsi="Times New Roman"/>
          <w:b/>
          <w:szCs w:val="24"/>
        </w:rPr>
        <w:t>a, b</w:t>
      </w:r>
      <w:r>
        <w:rPr>
          <w:rFonts w:ascii="Times New Roman" w:hAnsi="Times New Roman"/>
          <w:szCs w:val="24"/>
        </w:rPr>
        <w:t xml:space="preserve">). </w:t>
      </w:r>
    </w:p>
    <w:p w14:paraId="51EB5D27"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The variational analysis analyzes the original upper-air measurements from radiosondes and wind profilers over the analysis grid points (</w:t>
      </w:r>
      <w:r w:rsidRPr="00581F9F">
        <w:rPr>
          <w:rFonts w:ascii="Times New Roman" w:hAnsi="Times New Roman"/>
          <w:b/>
          <w:szCs w:val="24"/>
        </w:rPr>
        <w:t>Fig. X1c</w:t>
      </w:r>
      <w:r>
        <w:rPr>
          <w:rFonts w:ascii="Times New Roman" w:hAnsi="Times New Roman"/>
          <w:szCs w:val="24"/>
        </w:rPr>
        <w:t>) using the Cressman interpolation scheme (Cressman 1959), which requires a background field from numerical weather prediction (NWP) centers’ operational analyses. Current variational analysis uses the operational analyses from the NOAA mesoscale model Rapid Update Cycle (RUC) for SGP (</w:t>
      </w:r>
      <w:r>
        <w:rPr>
          <w:rFonts w:ascii="Times New Roman" w:hAnsi="Times New Roman"/>
          <w:b/>
          <w:szCs w:val="24"/>
        </w:rPr>
        <w:t>Fig.</w:t>
      </w:r>
      <w:r w:rsidRPr="00581F9F">
        <w:rPr>
          <w:rFonts w:ascii="Times New Roman" w:hAnsi="Times New Roman"/>
          <w:b/>
          <w:szCs w:val="24"/>
        </w:rPr>
        <w:t xml:space="preserve"> X1d</w:t>
      </w:r>
      <w:r>
        <w:rPr>
          <w:rFonts w:ascii="Times New Roman" w:hAnsi="Times New Roman"/>
          <w:szCs w:val="24"/>
        </w:rPr>
        <w:t xml:space="preserve">)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w:t>
      </w:r>
      <w:r w:rsidRPr="00B75276">
        <w:rPr>
          <w:rFonts w:ascii="Times New Roman" w:hAnsi="Times New Roman"/>
          <w:szCs w:val="24"/>
        </w:rPr>
        <w:t>balance the observed column budg</w:t>
      </w:r>
      <w:r>
        <w:rPr>
          <w:rFonts w:ascii="Times New Roman" w:hAnsi="Times New Roman"/>
          <w:szCs w:val="24"/>
        </w:rPr>
        <w:t>ets of mass, heat, moisture, and momentum rather than the NWP model-produced budgets. The use of the observed constraints in the analysis has significantly improved the accuracy of the forcing data derived from NWP analyses</w:t>
      </w:r>
      <w:r w:rsidRPr="00B75276">
        <w:rPr>
          <w:rFonts w:ascii="Times New Roman" w:hAnsi="Times New Roman"/>
          <w:szCs w:val="24"/>
        </w:rPr>
        <w:t xml:space="preserve"> (Xie et al. 2004).</w:t>
      </w:r>
    </w:p>
    <w:p w14:paraId="4D618A24" w14:textId="77777777" w:rsidR="009D46FA" w:rsidRPr="00F3431E" w:rsidRDefault="009D46FA" w:rsidP="00071F6B">
      <w:pPr>
        <w:spacing w:line="360" w:lineRule="auto"/>
        <w:ind w:left="720" w:hanging="360"/>
        <w:jc w:val="both"/>
        <w:rPr>
          <w:rFonts w:ascii="Times New Roman" w:hAnsi="Times New Roman"/>
          <w:szCs w:val="24"/>
        </w:rPr>
      </w:pPr>
      <w:r>
        <w:rPr>
          <w:rFonts w:ascii="Times New Roman" w:hAnsi="Times New Roman"/>
          <w:szCs w:val="24"/>
        </w:rPr>
        <w:t>The required constraint variables are derived from measurements of surface observational networks and satellites. Around the ARM SGP site, there is a dense surface network (</w:t>
      </w:r>
      <w:r>
        <w:rPr>
          <w:rFonts w:ascii="Times New Roman" w:hAnsi="Times New Roman"/>
          <w:b/>
          <w:szCs w:val="24"/>
        </w:rPr>
        <w:t>Fig.</w:t>
      </w:r>
      <w:r w:rsidRPr="00581F9F">
        <w:rPr>
          <w:rFonts w:ascii="Times New Roman" w:hAnsi="Times New Roman"/>
          <w:b/>
          <w:szCs w:val="24"/>
        </w:rPr>
        <w:t xml:space="preserve"> X2a</w:t>
      </w:r>
      <w:r>
        <w:rPr>
          <w:rFonts w:ascii="Times New Roman" w:hAnsi="Times New Roman"/>
          <w:szCs w:val="24"/>
        </w:rPr>
        <w:t xml:space="preserve">). </w:t>
      </w:r>
      <w:r w:rsidRPr="00F3431E">
        <w:rPr>
          <w:rFonts w:ascii="Times New Roman" w:hAnsi="Times New Roman"/>
          <w:szCs w:val="24"/>
        </w:rPr>
        <w:t>The observation platforms include the follows.</w:t>
      </w:r>
    </w:p>
    <w:p w14:paraId="31FD7347"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lastRenderedPageBreak/>
        <w:t>Surface Meteorological Observation Stations (SMOS) measuring surface precipitation, surface pressure, surface winds, temperature, and relative humidity</w:t>
      </w:r>
    </w:p>
    <w:p w14:paraId="633C295B"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Oklahoma and Kansas mesonet stations (OKM and KAM) measuring surface precipitation, pressure, winds, and temperature.</w:t>
      </w:r>
    </w:p>
    <w:p w14:paraId="54FD18F5"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Microwave Radiometer (MWR) stations measuring the column precipitable water and total cloud liquid water</w:t>
      </w:r>
    </w:p>
    <w:p w14:paraId="0CB34AA5"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WSR-88D Nexrad radar and rain gauge providing hourly surface precipitation data to the Arkansas-Red Basin River Forecast Center (ABRFC).</w:t>
      </w:r>
    </w:p>
    <w:p w14:paraId="1478EA79" w14:textId="77777777" w:rsidR="00071F6B" w:rsidRDefault="009D46FA" w:rsidP="00071F6B">
      <w:pPr>
        <w:spacing w:line="360" w:lineRule="auto"/>
        <w:ind w:firstLine="360"/>
        <w:jc w:val="both"/>
        <w:rPr>
          <w:rFonts w:ascii="Times New Roman" w:hAnsi="Times New Roman" w:cs="Times New Roman"/>
          <w:szCs w:val="24"/>
        </w:rPr>
      </w:pPr>
      <w:r>
        <w:rPr>
          <w:rFonts w:ascii="Times New Roman" w:hAnsi="Times New Roman"/>
          <w:szCs w:val="24"/>
        </w:rPr>
        <w:t>The Geostationary Operational Environmental Satellite (GOES) provides satellite measurements clouds and broadband radiative fluxes at TOA over the 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grids (</w:t>
      </w:r>
      <w:r>
        <w:rPr>
          <w:rFonts w:ascii="Times New Roman" w:hAnsi="Times New Roman" w:cs="Times New Roman"/>
          <w:b/>
          <w:szCs w:val="24"/>
        </w:rPr>
        <w:t>Fig.</w:t>
      </w:r>
      <w:r w:rsidRPr="00581F9F">
        <w:rPr>
          <w:rFonts w:ascii="Times New Roman" w:hAnsi="Times New Roman" w:cs="Times New Roman"/>
          <w:b/>
          <w:szCs w:val="24"/>
        </w:rPr>
        <w:t xml:space="preserve"> </w:t>
      </w:r>
      <w:proofErr w:type="gramStart"/>
      <w:r w:rsidRPr="00581F9F">
        <w:rPr>
          <w:rFonts w:ascii="Times New Roman" w:hAnsi="Times New Roman" w:cs="Times New Roman"/>
          <w:b/>
          <w:szCs w:val="24"/>
        </w:rPr>
        <w:t>X2b</w:t>
      </w:r>
      <w:r>
        <w:rPr>
          <w:rFonts w:ascii="Times New Roman" w:hAnsi="Times New Roman" w:cs="Times New Roman"/>
          <w:szCs w:val="24"/>
        </w:rPr>
        <w:t>)</w:t>
      </w:r>
      <w:r w:rsidR="00F3431E">
        <w:rPr>
          <w:rFonts w:ascii="Times New Roman" w:hAnsi="Times New Roman" w:cs="Times New Roman"/>
          <w:szCs w:val="24"/>
        </w:rPr>
        <w:t xml:space="preserve"> (</w:t>
      </w:r>
      <w:proofErr w:type="spellStart"/>
      <w:r w:rsidR="00F3431E">
        <w:rPr>
          <w:rFonts w:ascii="Times New Roman" w:hAnsi="Times New Roman" w:cs="Times New Roman"/>
          <w:szCs w:val="24"/>
        </w:rPr>
        <w:t>Minnis</w:t>
      </w:r>
      <w:proofErr w:type="spellEnd"/>
      <w:r w:rsidR="00F3431E">
        <w:rPr>
          <w:rFonts w:ascii="Times New Roman" w:hAnsi="Times New Roman" w:cs="Times New Roman"/>
          <w:szCs w:val="24"/>
        </w:rPr>
        <w:t xml:space="preserve"> et al. 1995)</w:t>
      </w:r>
      <w:r>
        <w:rPr>
          <w:rFonts w:ascii="Times New Roman" w:hAnsi="Times New Roman" w:cs="Times New Roman"/>
          <w:szCs w:val="24"/>
        </w:rPr>
        <w:t>.</w:t>
      </w:r>
      <w:proofErr w:type="gramEnd"/>
      <w:r>
        <w:rPr>
          <w:rFonts w:ascii="Times New Roman" w:hAnsi="Times New Roman" w:cs="Times New Roman"/>
          <w:szCs w:val="24"/>
        </w:rPr>
        <w:t xml:space="preserve"> All the constraint variables </w:t>
      </w:r>
      <w:r w:rsidR="00F3431E">
        <w:rPr>
          <w:rFonts w:ascii="Times New Roman" w:hAnsi="Times New Roman" w:cs="Times New Roman"/>
          <w:szCs w:val="24"/>
        </w:rPr>
        <w:t>are</w:t>
      </w:r>
      <w:r>
        <w:rPr>
          <w:rFonts w:ascii="Times New Roman" w:hAnsi="Times New Roman" w:cs="Times New Roman"/>
          <w:szCs w:val="24"/>
        </w:rPr>
        <w:t xml:space="preserve"> area-averaged quantities over the analysis domain. To avoid biases of using overcrowding measurement stations in some areas,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proofErr w:type="spellStart"/>
      <w:r w:rsidR="00071F6B">
        <w:rPr>
          <w:rFonts w:ascii="Times New Roman" w:hAnsi="Times New Roman" w:cs="Times New Roman"/>
          <w:szCs w:val="24"/>
        </w:rPr>
        <w:t>are</w:t>
      </w:r>
      <w:r>
        <w:rPr>
          <w:rFonts w:ascii="Times New Roman" w:hAnsi="Times New Roman" w:cs="Times New Roman"/>
          <w:szCs w:val="24"/>
        </w:rPr>
        <w:t>obtained</w:t>
      </w:r>
      <w:proofErr w:type="spellEnd"/>
      <w:r>
        <w:rPr>
          <w:rFonts w:ascii="Times New Roman" w:hAnsi="Times New Roman" w:cs="Times New Roman"/>
          <w:szCs w:val="24"/>
        </w:rPr>
        <w:t xml:space="preserve">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7DC7D914" w:rsidR="009D46FA" w:rsidRDefault="009D46FA" w:rsidP="00792930">
      <w:pPr>
        <w:spacing w:line="360" w:lineRule="auto"/>
        <w:ind w:firstLine="360"/>
        <w:jc w:val="center"/>
        <w:rPr>
          <w:rFonts w:ascii="Times New Roman" w:hAnsi="Times New Roman"/>
          <w:szCs w:val="24"/>
        </w:rPr>
      </w:pPr>
      <w:r>
        <w:rPr>
          <w:rFonts w:ascii="Times New Roman" w:hAnsi="Times New Roman"/>
          <w:noProof/>
          <w:szCs w:val="24"/>
          <w:lang w:eastAsia="zh-CN"/>
        </w:rPr>
        <w:lastRenderedPageBreak/>
        <w:drawing>
          <wp:inline distT="0" distB="0" distL="0" distR="0" wp14:anchorId="3964CF38" wp14:editId="74C22F64">
            <wp:extent cx="4705332" cy="3363402"/>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07538" cy="3364979"/>
                    </a:xfrm>
                    <a:prstGeom prst="rect">
                      <a:avLst/>
                    </a:prstGeom>
                    <a:noFill/>
                    <a:ln>
                      <a:noFill/>
                    </a:ln>
                  </pic:spPr>
                </pic:pic>
              </a:graphicData>
            </a:graphic>
          </wp:inline>
        </w:drawing>
      </w:r>
    </w:p>
    <w:p w14:paraId="6D3B4ABA" w14:textId="77777777" w:rsidR="009D46FA" w:rsidRDefault="009D46FA" w:rsidP="00DF6243">
      <w:pPr>
        <w:spacing w:line="360" w:lineRule="auto"/>
        <w:ind w:firstLine="360"/>
        <w:rPr>
          <w:rFonts w:ascii="Times New Roman" w:hAnsi="Times New Roman"/>
          <w:szCs w:val="24"/>
        </w:rPr>
      </w:pPr>
      <w:r>
        <w:rPr>
          <w:rFonts w:ascii="Times New Roman" w:hAnsi="Times New Roman"/>
          <w:szCs w:val="24"/>
        </w:rPr>
        <w:t xml:space="preserve">Figure X1. Locations of the ARM upper-air data streams and the analysis grid points. </w:t>
      </w:r>
      <w:r w:rsidRPr="00F12AAC">
        <w:rPr>
          <w:rFonts w:ascii="Times New Roman" w:hAnsi="Times New Roman"/>
          <w:szCs w:val="24"/>
        </w:rPr>
        <w:t xml:space="preserve">(a) sounding stations, (b) 7 profiler stations (crosses), and </w:t>
      </w:r>
      <w:r>
        <w:rPr>
          <w:rFonts w:ascii="Times New Roman" w:hAnsi="Times New Roman"/>
          <w:szCs w:val="24"/>
        </w:rPr>
        <w:t xml:space="preserve">(c) the 12 analysis grid points </w:t>
      </w:r>
      <w:r w:rsidRPr="00F12AAC">
        <w:rPr>
          <w:rFonts w:ascii="Times New Roman" w:hAnsi="Times New Roman"/>
          <w:szCs w:val="24"/>
        </w:rPr>
        <w:t>(hea</w:t>
      </w:r>
      <w:r>
        <w:rPr>
          <w:rFonts w:ascii="Times New Roman" w:hAnsi="Times New Roman"/>
          <w:szCs w:val="24"/>
        </w:rPr>
        <w:t xml:space="preserve">vy </w:t>
      </w:r>
      <w:r w:rsidRPr="00F12AAC">
        <w:rPr>
          <w:rFonts w:ascii="Times New Roman" w:hAnsi="Times New Roman"/>
          <w:szCs w:val="24"/>
        </w:rPr>
        <w:t>dots) in the hybrid approach. Also plotted are the nearby profi</w:t>
      </w:r>
      <w:r>
        <w:rPr>
          <w:rFonts w:ascii="Times New Roman" w:hAnsi="Times New Roman"/>
          <w:szCs w:val="24"/>
        </w:rPr>
        <w:t xml:space="preserve">ler stations (crosses). (d) RUC </w:t>
      </w:r>
      <w:r w:rsidRPr="00F12AAC">
        <w:rPr>
          <w:rFonts w:ascii="Times New Roman" w:hAnsi="Times New Roman"/>
          <w:szCs w:val="24"/>
        </w:rPr>
        <w:t xml:space="preserve">grids overlaid on other grids. (Adapted from Zhang et al. 2001) </w:t>
      </w:r>
    </w:p>
    <w:p w14:paraId="16AEA90D" w14:textId="77777777" w:rsidR="009D46FA" w:rsidRDefault="009D46FA" w:rsidP="00DF6243">
      <w:pPr>
        <w:spacing w:line="360" w:lineRule="auto"/>
        <w:ind w:firstLine="360"/>
        <w:rPr>
          <w:rFonts w:ascii="Times New Roman" w:hAnsi="Times New Roman"/>
          <w:szCs w:val="24"/>
        </w:rPr>
      </w:pPr>
    </w:p>
    <w:p w14:paraId="4598055B" w14:textId="77777777" w:rsidR="009D46FA" w:rsidRPr="007003E8" w:rsidRDefault="009D46FA" w:rsidP="00071F6B">
      <w:pPr>
        <w:spacing w:line="360" w:lineRule="auto"/>
        <w:ind w:firstLine="360"/>
        <w:jc w:val="center"/>
        <w:rPr>
          <w:rFonts w:ascii="Times New Roman" w:hAnsi="Times New Roman"/>
          <w:szCs w:val="24"/>
        </w:rPr>
      </w:pPr>
      <w:r>
        <w:rPr>
          <w:rFonts w:ascii="Times New Roman" w:hAnsi="Times New Roman"/>
          <w:noProof/>
          <w:szCs w:val="24"/>
          <w:lang w:eastAsia="zh-CN"/>
        </w:rPr>
        <w:drawing>
          <wp:inline distT="0" distB="0" distL="0" distR="0" wp14:anchorId="05BF97D9" wp14:editId="06D4F59E">
            <wp:extent cx="4890052" cy="21034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90052" cy="2103489"/>
                    </a:xfrm>
                    <a:prstGeom prst="rect">
                      <a:avLst/>
                    </a:prstGeom>
                    <a:noFill/>
                    <a:ln>
                      <a:noFill/>
                    </a:ln>
                  </pic:spPr>
                </pic:pic>
              </a:graphicData>
            </a:graphic>
          </wp:inline>
        </w:drawing>
      </w:r>
    </w:p>
    <w:p w14:paraId="74123F49" w14:textId="77777777" w:rsidR="009D46FA" w:rsidRDefault="009D46FA" w:rsidP="00DF6243">
      <w:pPr>
        <w:pStyle w:val="NormalWeb"/>
        <w:spacing w:before="0" w:beforeAutospacing="0" w:after="200" w:line="360" w:lineRule="auto"/>
        <w:ind w:firstLine="360"/>
        <w:rPr>
          <w:rFonts w:ascii="Times New Roman" w:hAnsi="Times New Roman"/>
          <w:sz w:val="24"/>
          <w:szCs w:val="24"/>
        </w:rPr>
      </w:pPr>
      <w:r>
        <w:rPr>
          <w:rFonts w:ascii="Times New Roman" w:hAnsi="Times New Roman"/>
          <w:sz w:val="24"/>
          <w:szCs w:val="24"/>
        </w:rPr>
        <w:t>Figure X2.</w:t>
      </w:r>
      <w:r w:rsidRPr="00F12AAC">
        <w:rPr>
          <w:rFonts w:ascii="Times New Roman" w:hAnsi="Times New Roman"/>
          <w:sz w:val="24"/>
          <w:szCs w:val="24"/>
        </w:rPr>
        <w:t xml:space="preserve"> (a) ARM surface data streams (see text for</w:t>
      </w:r>
      <w:r>
        <w:rPr>
          <w:rFonts w:ascii="Times New Roman" w:hAnsi="Times New Roman"/>
          <w:sz w:val="24"/>
          <w:szCs w:val="24"/>
        </w:rPr>
        <w:t xml:space="preserve"> complete instrument names) and </w:t>
      </w:r>
      <w:r w:rsidRPr="00F12AAC">
        <w:rPr>
          <w:rFonts w:ascii="Times New Roman" w:hAnsi="Times New Roman"/>
          <w:sz w:val="24"/>
          <w:szCs w:val="24"/>
        </w:rPr>
        <w:t>(b) GOES grids over the analysis domain. (Adapted from Zhang et al. 2001)</w:t>
      </w:r>
    </w:p>
    <w:p w14:paraId="7B12BB71" w14:textId="77777777" w:rsidR="009D46FA" w:rsidRDefault="009D46FA" w:rsidP="00DF6243">
      <w:pPr>
        <w:pStyle w:val="NormalWeb"/>
        <w:spacing w:before="0" w:beforeAutospacing="0" w:after="200" w:line="360" w:lineRule="auto"/>
        <w:ind w:firstLine="360"/>
        <w:rPr>
          <w:rFonts w:ascii="Times New Roman" w:hAnsi="Times New Roman"/>
          <w:sz w:val="24"/>
          <w:szCs w:val="24"/>
        </w:rPr>
      </w:pP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measurements are not available. For both types of the forcing datasets, the large-scale state variables are constrained with surface and satellite observations. </w:t>
      </w:r>
    </w:p>
    <w:p w14:paraId="6222AE47" w14:textId="38C4202F" w:rsidR="009D46FA" w:rsidRDefault="009D46FA" w:rsidP="00DF6243">
      <w:pPr>
        <w:spacing w:line="360" w:lineRule="auto"/>
        <w:ind w:firstLine="360"/>
        <w:jc w:val="both"/>
        <w:rPr>
          <w:rFonts w:ascii="Times New Roman" w:hAnsi="Times New Roman"/>
          <w:szCs w:val="24"/>
        </w:rPr>
      </w:pPr>
      <w:r w:rsidRPr="00F97840">
        <w:rPr>
          <w:rFonts w:ascii="Times New Roman" w:hAnsi="Times New Roman"/>
          <w:b/>
          <w:szCs w:val="24"/>
        </w:rPr>
        <w:t>Table X1</w:t>
      </w:r>
      <w:r>
        <w:rPr>
          <w:rFonts w:ascii="Times New Roman" w:hAnsi="Times New Roman"/>
          <w:szCs w:val="24"/>
        </w:rPr>
        <w:t xml:space="preserve"> lists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was taken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lastRenderedPageBreak/>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7090ED8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Table X1.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2B2FCF">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Applications of SCMs and ARM forcing data to</w:t>
      </w:r>
      <w:r w:rsidRPr="00E91A1E">
        <w:rPr>
          <w:rFonts w:ascii="Times New Roman" w:hAnsi="Times New Roman" w:cs="Times New Roman"/>
          <w:b/>
          <w:sz w:val="24"/>
          <w:szCs w:val="24"/>
        </w:rPr>
        <w:t xml:space="preserve"> understand and improve models  </w:t>
      </w:r>
    </w:p>
    <w:p w14:paraId="7412A26B" w14:textId="4547F2F0" w:rsidR="00A54904" w:rsidRDefault="00057C1F" w:rsidP="00057C1F">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w:t>
      </w:r>
      <w:r>
        <w:rPr>
          <w:rFonts w:ascii="Times New Roman" w:hAnsi="Times New Roman"/>
          <w:szCs w:val="24"/>
        </w:rPr>
        <w:t>Early surveys of SCM research have been published by</w:t>
      </w:r>
      <w:r w:rsidRPr="007003E8">
        <w:rPr>
          <w:rFonts w:ascii="Times New Roman" w:hAnsi="Times New Roman"/>
          <w:szCs w:val="24"/>
        </w:rPr>
        <w:t xml:space="preserve"> Randall et al. (1996)</w:t>
      </w:r>
      <w:r>
        <w:rPr>
          <w:rFonts w:ascii="Times New Roman" w:hAnsi="Times New Roman"/>
          <w:szCs w:val="24"/>
        </w:rPr>
        <w:t xml:space="preserve"> and Somerville (2000)</w:t>
      </w:r>
      <w:r w:rsidRPr="007003E8">
        <w:rPr>
          <w:rFonts w:ascii="Times New Roman" w:hAnsi="Times New Roman"/>
          <w:szCs w:val="24"/>
        </w:rPr>
        <w:t xml:space="preserve">.  </w:t>
      </w:r>
      <w:r w:rsidR="00A54904">
        <w:rPr>
          <w:rFonts w:ascii="Times New Roman" w:hAnsi="Times New Roman"/>
          <w:szCs w:val="24"/>
        </w:rPr>
        <w:t xml:space="preserve">Since then, many papers have been published by using SCMs and ARM forcing data. These include the parameterization of the triggering and closure assumptions of convection parameterizations (e.g., </w:t>
      </w:r>
      <w:proofErr w:type="spellStart"/>
      <w:r w:rsidR="00A54904">
        <w:rPr>
          <w:rFonts w:ascii="Times New Roman" w:hAnsi="Times New Roman"/>
          <w:szCs w:val="24"/>
        </w:rPr>
        <w:t>Xie</w:t>
      </w:r>
      <w:proofErr w:type="spellEnd"/>
      <w:r w:rsidR="00A54904">
        <w:rPr>
          <w:rFonts w:ascii="Times New Roman" w:hAnsi="Times New Roman"/>
          <w:szCs w:val="24"/>
        </w:rPr>
        <w:t xml:space="preserve"> and Zhang 2000; Zhang 2003)</w:t>
      </w:r>
      <w:r w:rsidR="0076274B">
        <w:rPr>
          <w:rFonts w:ascii="Times New Roman" w:hAnsi="Times New Roman"/>
          <w:szCs w:val="24"/>
        </w:rPr>
        <w:t xml:space="preserve">, the diurnal cycle of middle atmospheric convection (e.g., XX), the cloud macrophysics and microphysical processes (e.g., Song et al. 2013), and the cloud-aerosol </w:t>
      </w:r>
      <w:r w:rsidR="0076274B">
        <w:rPr>
          <w:rFonts w:ascii="Times New Roman" w:hAnsi="Times New Roman"/>
          <w:szCs w:val="24"/>
        </w:rPr>
        <w:lastRenderedPageBreak/>
        <w:t>interactions (e.g., XX). It is noted that all these studies are often accompanied by CRM or LES simulations with the same forcing data.</w:t>
      </w:r>
    </w:p>
    <w:p w14:paraId="726984FD" w14:textId="2BF5CC60" w:rsidR="003E6CE6" w:rsidRDefault="00057C1F" w:rsidP="00057C1F">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Large multi-author efforts to compare many models </w:t>
      </w:r>
      <w:r>
        <w:rPr>
          <w:rFonts w:ascii="Times New Roman" w:hAnsi="Times New Roman"/>
          <w:szCs w:val="24"/>
        </w:rPr>
        <w:t xml:space="preserve">using SCM and ARM data </w:t>
      </w:r>
      <w:r>
        <w:rPr>
          <w:rFonts w:ascii="Times New Roman" w:hAnsi="Times New Roman"/>
          <w:szCs w:val="24"/>
        </w:rPr>
        <w:t xml:space="preserve">include </w:t>
      </w:r>
      <w:proofErr w:type="spellStart"/>
      <w:r>
        <w:rPr>
          <w:rFonts w:ascii="Times New Roman" w:hAnsi="Times New Roman"/>
          <w:szCs w:val="24"/>
        </w:rPr>
        <w:t>Ghan</w:t>
      </w:r>
      <w:proofErr w:type="spellEnd"/>
      <w:r>
        <w:rPr>
          <w:rFonts w:ascii="Times New Roman" w:hAnsi="Times New Roman"/>
          <w:szCs w:val="24"/>
        </w:rPr>
        <w:t xml:space="preserve"> et al. (2000)</w:t>
      </w:r>
      <w:r w:rsidR="0076274B">
        <w:rPr>
          <w:rFonts w:ascii="Times New Roman" w:hAnsi="Times New Roman"/>
          <w:szCs w:val="24"/>
        </w:rPr>
        <w:t xml:space="preserve"> by using data from the ARM June 1995 SGP IOP</w:t>
      </w:r>
      <w:r>
        <w:rPr>
          <w:rFonts w:ascii="Times New Roman" w:hAnsi="Times New Roman"/>
          <w:szCs w:val="24"/>
        </w:rPr>
        <w:t>,</w:t>
      </w:r>
      <w:r>
        <w:rPr>
          <w:rFonts w:ascii="Times New Roman" w:hAnsi="Times New Roman"/>
          <w:szCs w:val="24"/>
        </w:rPr>
        <w:t xml:space="preserve"> </w:t>
      </w:r>
      <w:proofErr w:type="spellStart"/>
      <w:r>
        <w:rPr>
          <w:rFonts w:ascii="Times New Roman" w:hAnsi="Times New Roman"/>
          <w:szCs w:val="24"/>
        </w:rPr>
        <w:t>Xie</w:t>
      </w:r>
      <w:proofErr w:type="spellEnd"/>
      <w:r>
        <w:rPr>
          <w:rFonts w:ascii="Times New Roman" w:hAnsi="Times New Roman"/>
          <w:szCs w:val="24"/>
        </w:rPr>
        <w:t xml:space="preserve"> et al. (2002)</w:t>
      </w:r>
      <w:r w:rsidR="0076274B">
        <w:rPr>
          <w:rFonts w:ascii="Times New Roman" w:hAnsi="Times New Roman"/>
          <w:szCs w:val="24"/>
        </w:rPr>
        <w:t xml:space="preserve"> by using data from the ARM July 1997 SGP IOP</w:t>
      </w:r>
      <w:r>
        <w:rPr>
          <w:rFonts w:ascii="Times New Roman" w:hAnsi="Times New Roman"/>
          <w:szCs w:val="24"/>
        </w:rPr>
        <w:t xml:space="preserve">, </w:t>
      </w:r>
      <w:proofErr w:type="spellStart"/>
      <w:r>
        <w:rPr>
          <w:rFonts w:ascii="Times New Roman" w:hAnsi="Times New Roman"/>
          <w:szCs w:val="24"/>
        </w:rPr>
        <w:t>Xie</w:t>
      </w:r>
      <w:proofErr w:type="spellEnd"/>
      <w:r>
        <w:rPr>
          <w:rFonts w:ascii="Times New Roman" w:hAnsi="Times New Roman"/>
          <w:szCs w:val="24"/>
        </w:rPr>
        <w:t xml:space="preserve"> et al. (2005)</w:t>
      </w:r>
      <w:r w:rsidR="0076274B">
        <w:rPr>
          <w:rFonts w:ascii="Times New Roman" w:hAnsi="Times New Roman"/>
          <w:szCs w:val="24"/>
        </w:rPr>
        <w:t xml:space="preserve"> by using data from the ARM March 2000 IOP</w:t>
      </w:r>
      <w:r>
        <w:rPr>
          <w:rFonts w:ascii="Times New Roman" w:hAnsi="Times New Roman"/>
          <w:szCs w:val="24"/>
        </w:rPr>
        <w:t xml:space="preserve">, </w:t>
      </w:r>
      <w:r w:rsidR="0076274B">
        <w:rPr>
          <w:rFonts w:ascii="Times New Roman" w:hAnsi="Times New Roman"/>
          <w:szCs w:val="24"/>
        </w:rPr>
        <w:t xml:space="preserve">Morrison </w:t>
      </w:r>
      <w:r w:rsidR="0076274B">
        <w:rPr>
          <w:rFonts w:ascii="Times New Roman" w:hAnsi="Times New Roman"/>
          <w:szCs w:val="24"/>
        </w:rPr>
        <w:t xml:space="preserve">et al. (2010) </w:t>
      </w:r>
      <w:r w:rsidR="0076274B">
        <w:rPr>
          <w:rFonts w:ascii="Times New Roman" w:hAnsi="Times New Roman"/>
          <w:szCs w:val="24"/>
        </w:rPr>
        <w:t xml:space="preserve">and Klein </w:t>
      </w:r>
      <w:r w:rsidR="0076274B">
        <w:rPr>
          <w:rFonts w:ascii="Times New Roman" w:hAnsi="Times New Roman"/>
          <w:szCs w:val="24"/>
        </w:rPr>
        <w:t>et al. (2010</w:t>
      </w:r>
      <w:r w:rsidR="0076274B">
        <w:rPr>
          <w:rFonts w:ascii="Times New Roman" w:hAnsi="Times New Roman"/>
          <w:szCs w:val="24"/>
        </w:rPr>
        <w:t>)</w:t>
      </w:r>
      <w:r w:rsidR="0076274B">
        <w:rPr>
          <w:rFonts w:ascii="Times New Roman" w:hAnsi="Times New Roman"/>
          <w:szCs w:val="24"/>
        </w:rPr>
        <w:t xml:space="preserve"> by using the ARM MPACE IOP, and Lin et al. (2013) by using the ARM TWP-ICE IOP.  Main results from these multi-authored case studies can be summarized as follows.</w:t>
      </w:r>
    </w:p>
    <w:p w14:paraId="75F9AFFE" w14:textId="7B04FD1E" w:rsidR="0076274B" w:rsidRDefault="0076274B" w:rsidP="00057C1F">
      <w:pPr>
        <w:tabs>
          <w:tab w:val="left" w:pos="360"/>
        </w:tabs>
        <w:spacing w:line="360" w:lineRule="auto"/>
        <w:ind w:firstLine="360"/>
        <w:jc w:val="both"/>
        <w:rPr>
          <w:rFonts w:ascii="Times New Roman" w:hAnsi="Times New Roman"/>
          <w:szCs w:val="24"/>
        </w:rPr>
      </w:pPr>
      <w:r>
        <w:rPr>
          <w:rFonts w:ascii="Times New Roman" w:hAnsi="Times New Roman"/>
          <w:szCs w:val="24"/>
        </w:rPr>
        <w:t>XXX</w:t>
      </w:r>
      <w:r w:rsidR="00474D10">
        <w:rPr>
          <w:rFonts w:ascii="Times New Roman" w:hAnsi="Times New Roman"/>
          <w:szCs w:val="24"/>
        </w:rPr>
        <w:t xml:space="preserve"> (to be added)</w:t>
      </w:r>
    </w:p>
    <w:p w14:paraId="0FAE5532" w14:textId="6D76A0D5" w:rsidR="0076274B" w:rsidRDefault="0076274B" w:rsidP="00057C1F">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The most important contribution of the SCMs is that it helps the researcher to gain insights about the behavior of the physical parameterizations in the models by easily changing the models and by comparing with observations and CRM/LES simulations. These insights are </w:t>
      </w:r>
      <w:r w:rsidR="00474D10">
        <w:rPr>
          <w:rFonts w:ascii="Times New Roman" w:hAnsi="Times New Roman"/>
          <w:szCs w:val="24"/>
        </w:rPr>
        <w:t>then used by</w:t>
      </w:r>
      <w:r>
        <w:rPr>
          <w:rFonts w:ascii="Times New Roman" w:hAnsi="Times New Roman"/>
          <w:szCs w:val="24"/>
        </w:rPr>
        <w:t xml:space="preserve"> modelers to test </w:t>
      </w:r>
      <w:r>
        <w:rPr>
          <w:rFonts w:ascii="Times New Roman" w:hAnsi="Times New Roman"/>
          <w:szCs w:val="24"/>
        </w:rPr>
        <w:t>hypothes</w:t>
      </w:r>
      <w:r>
        <w:rPr>
          <w:rFonts w:ascii="Times New Roman" w:hAnsi="Times New Roman"/>
          <w:szCs w:val="24"/>
        </w:rPr>
        <w:t>e</w:t>
      </w:r>
      <w:r>
        <w:rPr>
          <w:rFonts w:ascii="Times New Roman" w:hAnsi="Times New Roman"/>
          <w:szCs w:val="24"/>
        </w:rPr>
        <w:t xml:space="preserve">s and </w:t>
      </w:r>
      <w:r>
        <w:rPr>
          <w:rFonts w:ascii="Times New Roman" w:hAnsi="Times New Roman"/>
          <w:szCs w:val="24"/>
        </w:rPr>
        <w:t xml:space="preserve">to experiment with improved </w:t>
      </w:r>
      <w:r w:rsidR="00474D10">
        <w:rPr>
          <w:rFonts w:ascii="Times New Roman" w:hAnsi="Times New Roman"/>
          <w:szCs w:val="24"/>
        </w:rPr>
        <w:t>schemes of convection, clouds, precipitation and their interactions in global models.</w:t>
      </w:r>
    </w:p>
    <w:p w14:paraId="4DC2B886" w14:textId="77777777" w:rsidR="0076274B" w:rsidRDefault="0076274B" w:rsidP="00057C1F">
      <w:pPr>
        <w:tabs>
          <w:tab w:val="left" w:pos="360"/>
        </w:tabs>
        <w:spacing w:line="360" w:lineRule="auto"/>
        <w:ind w:firstLine="360"/>
        <w:jc w:val="both"/>
        <w:rPr>
          <w:rFonts w:ascii="Times New Roman" w:hAnsi="Times New Roman"/>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6B3B5082"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AD33065"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Pr="00C25475" w:rsidRDefault="0074483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4E7C3AB2" w14:textId="31FA0543" w:rsidR="00071F6B" w:rsidRPr="00C25475" w:rsidRDefault="00071F6B"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w:t>
      </w:r>
      <w:proofErr w:type="gramEnd"/>
      <w:r w:rsidRPr="00C25475">
        <w:rPr>
          <w:rFonts w:ascii="Times New Roman" w:hAnsi="Times New Roman" w:cs="Times New Roman"/>
          <w:color w:val="000000" w:themeColor="text1"/>
          <w:szCs w:val="24"/>
        </w:rPr>
        <w:t xml:space="preserve">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9866E9" w14:textId="4A5B0CE0" w:rsidR="00F55811" w:rsidRPr="00C25475" w:rsidRDefault="00F5581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t>
      </w:r>
      <w:r w:rsidR="00C25475" w:rsidRPr="00C25475">
        <w:rPr>
          <w:rFonts w:ascii="Times New Roman" w:hAnsi="Times New Roman" w:cs="Times New Roman"/>
          <w:color w:val="000000" w:themeColor="text1"/>
          <w:szCs w:val="24"/>
        </w:rPr>
        <w:t>W. M.</w:t>
      </w:r>
      <w:r w:rsidRPr="00C25475">
        <w:rPr>
          <w:rFonts w:ascii="Times New Roman" w:hAnsi="Times New Roman" w:cs="Times New Roman"/>
          <w:color w:val="000000" w:themeColor="text1"/>
          <w:szCs w:val="24"/>
        </w:rPr>
        <w:t xml:space="preserve">,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1</w:t>
      </w:r>
      <w:r w:rsidR="00C25475" w:rsidRPr="00C25475">
        <w:rPr>
          <w:rFonts w:ascii="Times New Roman" w:hAnsi="Times New Roman" w:cs="Times New Roman"/>
          <w:color w:val="000000" w:themeColor="text1"/>
          <w:szCs w:val="24"/>
        </w:rPr>
        <w:t xml:space="preserve">996: </w:t>
      </w:r>
      <w:proofErr w:type="spellStart"/>
      <w:r w:rsidR="00C25475" w:rsidRPr="00C25475">
        <w:rPr>
          <w:rFonts w:ascii="Times New Roman" w:hAnsi="Times New Roman" w:cs="Times New Roman"/>
          <w:color w:val="000000" w:themeColor="text1"/>
          <w:szCs w:val="24"/>
        </w:rPr>
        <w:t>Rawinsonde</w:t>
      </w:r>
      <w:proofErr w:type="spellEnd"/>
      <w:r w:rsidR="00C25475" w:rsidRPr="00C25475">
        <w:rPr>
          <w:rFonts w:ascii="Times New Roman" w:hAnsi="Times New Roman" w:cs="Times New Roman"/>
          <w:color w:val="000000" w:themeColor="text1"/>
          <w:szCs w:val="24"/>
        </w:rPr>
        <w:t xml:space="preserve"> budget analyses </w:t>
      </w:r>
      <w:r w:rsidRPr="00C25475">
        <w:rPr>
          <w:rFonts w:ascii="Times New Roman" w:hAnsi="Times New Roman" w:cs="Times New Roman"/>
          <w:color w:val="000000" w:themeColor="text1"/>
          <w:szCs w:val="24"/>
        </w:rPr>
        <w:t xml:space="preserve">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08040F9C" w14:textId="60C366E0"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lastRenderedPageBreak/>
        <w:t>Ghan</w:t>
      </w:r>
      <w:proofErr w:type="spellEnd"/>
      <w:r w:rsidRPr="00C25475">
        <w:rPr>
          <w:rFonts w:ascii="Times New Roman" w:hAnsi="Times New Roman" w:cs="Times New Roman"/>
          <w:color w:val="000000" w:themeColor="text1"/>
          <w:szCs w:val="24"/>
        </w:rPr>
        <w:t xml:space="preserve">, S. J., D. Randall, K. </w:t>
      </w:r>
      <w:proofErr w:type="spellStart"/>
      <w:r w:rsidRPr="00C25475">
        <w:rPr>
          <w:rFonts w:ascii="Times New Roman" w:hAnsi="Times New Roman" w:cs="Times New Roman"/>
          <w:color w:val="000000" w:themeColor="text1"/>
          <w:szCs w:val="24"/>
        </w:rPr>
        <w:t>Xu</w:t>
      </w:r>
      <w:proofErr w:type="spellEnd"/>
      <w:r w:rsidRPr="00C25475">
        <w:rPr>
          <w:rFonts w:ascii="Times New Roman" w:hAnsi="Times New Roman" w:cs="Times New Roman"/>
          <w:color w:val="000000" w:themeColor="text1"/>
          <w:szCs w:val="24"/>
        </w:rPr>
        <w:t xml:space="preserve">,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proofErr w:type="gramStart"/>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w:t>
      </w:r>
      <w:proofErr w:type="gramEnd"/>
      <w:r w:rsidRPr="00C25475">
        <w:rPr>
          <w:rFonts w:ascii="Times New Roman" w:hAnsi="Times New Roman" w:cs="Times New Roman"/>
          <w:color w:val="000000" w:themeColor="text1"/>
          <w:szCs w:val="24"/>
        </w:rPr>
        <w:t xml:space="preserve">  </w:t>
      </w:r>
    </w:p>
    <w:p w14:paraId="7331393B" w14:textId="77777777" w:rsidR="00071F6B" w:rsidRPr="00C25475" w:rsidRDefault="00071F6B"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77777777" w:rsidR="00071F6B" w:rsidRPr="00C25475" w:rsidRDefault="00071F6B" w:rsidP="00C25475">
      <w:pPr>
        <w:pStyle w:val="ref"/>
        <w:spacing w:after="0" w:line="360" w:lineRule="auto"/>
        <w:rPr>
          <w:rFonts w:ascii="Times New Roman" w:hAnsi="Times New Roman"/>
          <w:color w:val="000000" w:themeColor="text1"/>
          <w:szCs w:val="24"/>
        </w:rPr>
      </w:pPr>
      <w:proofErr w:type="gramStart"/>
      <w:r w:rsidRPr="00C25475">
        <w:rPr>
          <w:rFonts w:ascii="Times New Roman" w:hAnsi="Times New Roman"/>
          <w:color w:val="000000" w:themeColor="text1"/>
          <w:szCs w:val="24"/>
        </w:rPr>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2005.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p>
    <w:p w14:paraId="4AE4AB72"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2B5BA67" w14:textId="79C4562D" w:rsidR="003B4751" w:rsidRPr="003B4751" w:rsidRDefault="003B4751" w:rsidP="00C2547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25475">
      <w:pPr>
        <w:pStyle w:val="ref"/>
        <w:spacing w:after="0" w:line="360" w:lineRule="auto"/>
        <w:rPr>
          <w:rFonts w:ascii="Times New Roman" w:hAnsi="Times New Roman"/>
          <w:color w:val="000000" w:themeColor="text1"/>
          <w:szCs w:val="24"/>
        </w:rPr>
      </w:pPr>
      <w:bookmarkStart w:id="0"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0"/>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proofErr w:type="gramStart"/>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roofErr w:type="gramEnd"/>
    </w:p>
    <w:p w14:paraId="7691B35A" w14:textId="64A28328" w:rsidR="00071F6B" w:rsidRPr="00C25475" w:rsidRDefault="00071F6B" w:rsidP="00C2547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2547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lastRenderedPageBreak/>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33F4EA33"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Randall, D. A., K.-M.</w:t>
      </w:r>
      <w:proofErr w:type="gramEnd"/>
      <w:r w:rsidRPr="00C25475">
        <w:rPr>
          <w:rFonts w:ascii="Times New Roman" w:hAnsi="Times New Roman" w:cs="Times New Roman"/>
          <w:color w:val="000000" w:themeColor="text1"/>
          <w:szCs w:val="24"/>
        </w:rPr>
        <w:t xml:space="preserve"> </w:t>
      </w:r>
      <w:proofErr w:type="spellStart"/>
      <w:r w:rsidRPr="00C25475">
        <w:rPr>
          <w:rFonts w:ascii="Times New Roman" w:hAnsi="Times New Roman" w:cs="Times New Roman"/>
          <w:color w:val="000000" w:themeColor="text1"/>
          <w:szCs w:val="24"/>
        </w:rPr>
        <w:t>Xu</w:t>
      </w:r>
      <w:proofErr w:type="spellEnd"/>
      <w:r w:rsidRPr="00C25475">
        <w:rPr>
          <w:rFonts w:ascii="Times New Roman" w:hAnsi="Times New Roman" w:cs="Times New Roman"/>
          <w:color w:val="000000" w:themeColor="text1"/>
          <w:szCs w:val="24"/>
        </w:rPr>
        <w:t xml:space="preserve">,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11F5AB67" w14:textId="21781C29" w:rsidR="00FD59E6" w:rsidRPr="00C25475" w:rsidRDefault="00FD59E6"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17A6EC37" w14:textId="18BD47E4"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proofErr w:type="gram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S., K-M.</w:t>
      </w:r>
      <w:proofErr w:type="gramEnd"/>
      <w:r w:rsidRPr="00C25475">
        <w:rPr>
          <w:rFonts w:ascii="Times New Roman" w:hAnsi="Times New Roman" w:cs="Times New Roman"/>
          <w:color w:val="000000" w:themeColor="text1"/>
          <w:szCs w:val="24"/>
        </w:rPr>
        <w:t xml:space="preserve"> </w:t>
      </w:r>
      <w:proofErr w:type="spellStart"/>
      <w:r w:rsidRPr="00C25475">
        <w:rPr>
          <w:rFonts w:ascii="Times New Roman" w:hAnsi="Times New Roman" w:cs="Times New Roman"/>
          <w:color w:val="000000" w:themeColor="text1"/>
          <w:szCs w:val="24"/>
        </w:rPr>
        <w:t>Xu</w:t>
      </w:r>
      <w:proofErr w:type="spellEnd"/>
      <w:r w:rsidRPr="00C25475">
        <w:rPr>
          <w:rFonts w:ascii="Times New Roman" w:hAnsi="Times New Roman" w:cs="Times New Roman"/>
          <w:color w:val="000000" w:themeColor="text1"/>
          <w:szCs w:val="24"/>
        </w:rPr>
        <w:t xml:space="preserve">,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xml:space="preserve">. </w:t>
      </w:r>
      <w:proofErr w:type="gramStart"/>
      <w:r w:rsidRPr="00C25475">
        <w:rPr>
          <w:rFonts w:ascii="Times New Roman" w:hAnsi="Times New Roman"/>
          <w:color w:val="000000" w:themeColor="text1"/>
          <w:sz w:val="24"/>
          <w:szCs w:val="24"/>
        </w:rPr>
        <w:t>Res., 109, D01 104.</w:t>
      </w:r>
      <w:proofErr w:type="gramEnd"/>
    </w:p>
    <w:p w14:paraId="307BB585" w14:textId="7C8F214C" w:rsidR="00FD59E6" w:rsidRPr="00C25475" w:rsidRDefault="00FD59E6"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lastRenderedPageBreak/>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1"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02CE14F7" w14:textId="77777777" w:rsidR="00F55811" w:rsidRPr="00C25475" w:rsidRDefault="00F55811"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G. J., 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 2003.</w:t>
      </w:r>
    </w:p>
    <w:p w14:paraId="2D0B0EC8" w14:textId="77777777" w:rsidR="00071F6B" w:rsidRPr="00C25475" w:rsidRDefault="00071F6B"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2BED0517" w14:textId="77777777" w:rsidR="00005224" w:rsidRPr="007003E8" w:rsidRDefault="00005224" w:rsidP="00C25475">
      <w:pPr>
        <w:spacing w:before="100" w:beforeAutospacing="1" w:after="0" w:line="360" w:lineRule="auto"/>
        <w:ind w:left="720" w:hanging="720"/>
        <w:jc w:val="both"/>
        <w:rPr>
          <w:rFonts w:ascii="Times New Roman" w:hAnsi="Times New Roman"/>
          <w:szCs w:val="24"/>
        </w:rPr>
      </w:pPr>
    </w:p>
    <w:p w14:paraId="28E6D01B" w14:textId="77777777" w:rsidR="004455EB" w:rsidRDefault="004455EB" w:rsidP="004455EB">
      <w:pPr>
        <w:tabs>
          <w:tab w:val="left" w:pos="360"/>
        </w:tabs>
        <w:spacing w:line="360" w:lineRule="auto"/>
        <w:ind w:firstLine="360"/>
        <w:jc w:val="both"/>
        <w:rPr>
          <w:rFonts w:ascii="Times New Roman" w:hAnsi="Times New Roman"/>
          <w:szCs w:val="24"/>
        </w:rPr>
      </w:pPr>
    </w:p>
    <w:p w14:paraId="39CA6397" w14:textId="77777777" w:rsidR="004455EB" w:rsidRPr="00255132" w:rsidRDefault="004455EB" w:rsidP="004455EB">
      <w:pPr>
        <w:shd w:val="clear" w:color="auto" w:fill="FFFFFF"/>
        <w:spacing w:after="0"/>
        <w:rPr>
          <w:rFonts w:ascii="Times New Roman" w:eastAsia="Times New Roman" w:hAnsi="Times New Roman" w:cs="Times New Roman"/>
          <w:color w:val="000000"/>
          <w:sz w:val="18"/>
          <w:szCs w:val="18"/>
          <w:lang w:eastAsia="zh-CN"/>
        </w:rPr>
      </w:pPr>
      <w:r w:rsidRPr="00255132">
        <w:rPr>
          <w:rFonts w:ascii="Times New Roman" w:eastAsia="Times New Roman" w:hAnsi="Times New Roman" w:cs="Times New Roman"/>
          <w:color w:val="000000"/>
          <w:sz w:val="18"/>
          <w:szCs w:val="18"/>
          <w:lang w:eastAsia="zh-CN"/>
        </w:rPr>
        <w:t xml:space="preserve">Song, </w:t>
      </w:r>
      <w:proofErr w:type="spellStart"/>
      <w:r w:rsidRPr="00255132">
        <w:rPr>
          <w:rFonts w:ascii="Times New Roman" w:eastAsia="Times New Roman" w:hAnsi="Times New Roman" w:cs="Times New Roman"/>
          <w:color w:val="000000"/>
          <w:sz w:val="18"/>
          <w:szCs w:val="18"/>
          <w:lang w:eastAsia="zh-CN"/>
        </w:rPr>
        <w:t>Hua</w:t>
      </w:r>
      <w:proofErr w:type="spellEnd"/>
      <w:r w:rsidRPr="00255132">
        <w:rPr>
          <w:rFonts w:ascii="Times New Roman" w:eastAsia="Times New Roman" w:hAnsi="Times New Roman" w:cs="Times New Roman"/>
          <w:color w:val="000000"/>
          <w:sz w:val="18"/>
          <w:szCs w:val="18"/>
          <w:lang w:eastAsia="zh-CN"/>
        </w:rPr>
        <w:t xml:space="preserve">, </w:t>
      </w:r>
      <w:proofErr w:type="spellStart"/>
      <w:r w:rsidRPr="00255132">
        <w:rPr>
          <w:rFonts w:ascii="Times New Roman" w:eastAsia="Times New Roman" w:hAnsi="Times New Roman" w:cs="Times New Roman"/>
          <w:color w:val="000000"/>
          <w:sz w:val="18"/>
          <w:szCs w:val="18"/>
          <w:lang w:eastAsia="zh-CN"/>
        </w:rPr>
        <w:t>Wuyin</w:t>
      </w:r>
      <w:proofErr w:type="spellEnd"/>
      <w:r w:rsidRPr="00255132">
        <w:rPr>
          <w:rFonts w:ascii="Times New Roman" w:eastAsia="Times New Roman" w:hAnsi="Times New Roman" w:cs="Times New Roman"/>
          <w:color w:val="000000"/>
          <w:sz w:val="18"/>
          <w:szCs w:val="18"/>
          <w:lang w:eastAsia="zh-CN"/>
        </w:rPr>
        <w:t xml:space="preserve"> Lin, </w:t>
      </w:r>
      <w:proofErr w:type="spellStart"/>
      <w:r w:rsidRPr="00255132">
        <w:rPr>
          <w:rFonts w:ascii="Times New Roman" w:eastAsia="Times New Roman" w:hAnsi="Times New Roman" w:cs="Times New Roman"/>
          <w:color w:val="000000"/>
          <w:sz w:val="18"/>
          <w:szCs w:val="18"/>
          <w:lang w:eastAsia="zh-CN"/>
        </w:rPr>
        <w:t>Yanluan</w:t>
      </w:r>
      <w:proofErr w:type="spellEnd"/>
      <w:r w:rsidRPr="00255132">
        <w:rPr>
          <w:rFonts w:ascii="Times New Roman" w:eastAsia="Times New Roman" w:hAnsi="Times New Roman" w:cs="Times New Roman"/>
          <w:color w:val="000000"/>
          <w:sz w:val="18"/>
          <w:szCs w:val="18"/>
          <w:lang w:eastAsia="zh-CN"/>
        </w:rPr>
        <w:t xml:space="preserve"> Lin, Audrey B. Wolf, </w:t>
      </w:r>
      <w:proofErr w:type="spellStart"/>
      <w:r w:rsidRPr="00255132">
        <w:rPr>
          <w:rFonts w:ascii="Times New Roman" w:eastAsia="Times New Roman" w:hAnsi="Times New Roman" w:cs="Times New Roman"/>
          <w:color w:val="000000"/>
          <w:sz w:val="18"/>
          <w:szCs w:val="18"/>
          <w:lang w:eastAsia="zh-CN"/>
        </w:rPr>
        <w:t>Roel</w:t>
      </w:r>
      <w:proofErr w:type="spellEnd"/>
      <w:r w:rsidRPr="00255132">
        <w:rPr>
          <w:rFonts w:ascii="Times New Roman" w:eastAsia="Times New Roman" w:hAnsi="Times New Roman" w:cs="Times New Roman"/>
          <w:color w:val="000000"/>
          <w:sz w:val="18"/>
          <w:szCs w:val="18"/>
          <w:lang w:eastAsia="zh-CN"/>
        </w:rPr>
        <w:t xml:space="preserve"> </w:t>
      </w:r>
      <w:proofErr w:type="spellStart"/>
      <w:r w:rsidRPr="00255132">
        <w:rPr>
          <w:rFonts w:ascii="Times New Roman" w:eastAsia="Times New Roman" w:hAnsi="Times New Roman" w:cs="Times New Roman"/>
          <w:color w:val="000000"/>
          <w:sz w:val="18"/>
          <w:szCs w:val="18"/>
          <w:lang w:eastAsia="zh-CN"/>
        </w:rPr>
        <w:t>Neggers</w:t>
      </w:r>
      <w:proofErr w:type="spellEnd"/>
      <w:r w:rsidRPr="00255132">
        <w:rPr>
          <w:rFonts w:ascii="Times New Roman" w:eastAsia="Times New Roman" w:hAnsi="Times New Roman" w:cs="Times New Roman"/>
          <w:color w:val="000000"/>
          <w:sz w:val="18"/>
          <w:szCs w:val="18"/>
          <w:lang w:eastAsia="zh-CN"/>
        </w:rPr>
        <w:t xml:space="preserve">, Leo J. Donner, Anthony D. Del </w:t>
      </w:r>
      <w:proofErr w:type="spellStart"/>
      <w:r w:rsidRPr="00255132">
        <w:rPr>
          <w:rFonts w:ascii="Times New Roman" w:eastAsia="Times New Roman" w:hAnsi="Times New Roman" w:cs="Times New Roman"/>
          <w:color w:val="000000"/>
          <w:sz w:val="18"/>
          <w:szCs w:val="18"/>
          <w:lang w:eastAsia="zh-CN"/>
        </w:rPr>
        <w:t>Genio</w:t>
      </w:r>
      <w:proofErr w:type="spellEnd"/>
      <w:r w:rsidRPr="00255132">
        <w:rPr>
          <w:rFonts w:ascii="Times New Roman" w:eastAsia="Times New Roman" w:hAnsi="Times New Roman" w:cs="Times New Roman"/>
          <w:color w:val="000000"/>
          <w:sz w:val="18"/>
          <w:szCs w:val="18"/>
          <w:lang w:eastAsia="zh-CN"/>
        </w:rPr>
        <w:t xml:space="preserve">, </w:t>
      </w:r>
      <w:proofErr w:type="spellStart"/>
      <w:r w:rsidRPr="00255132">
        <w:rPr>
          <w:rFonts w:ascii="Times New Roman" w:eastAsia="Times New Roman" w:hAnsi="Times New Roman" w:cs="Times New Roman"/>
          <w:color w:val="000000"/>
          <w:sz w:val="18"/>
          <w:szCs w:val="18"/>
          <w:lang w:eastAsia="zh-CN"/>
        </w:rPr>
        <w:t>Yangang</w:t>
      </w:r>
      <w:proofErr w:type="spellEnd"/>
      <w:r w:rsidRPr="00255132">
        <w:rPr>
          <w:rFonts w:ascii="Times New Roman" w:eastAsia="Times New Roman" w:hAnsi="Times New Roman" w:cs="Times New Roman"/>
          <w:color w:val="000000"/>
          <w:sz w:val="18"/>
          <w:szCs w:val="18"/>
          <w:lang w:eastAsia="zh-CN"/>
        </w:rPr>
        <w:t xml:space="preserve"> Liu, 2013: Evaluation of Precipitation Simulated by Seven SCMs against the ARM Observations at the SGP Site*. </w:t>
      </w:r>
      <w:r w:rsidRPr="00255132">
        <w:rPr>
          <w:rFonts w:ascii="Times New Roman" w:eastAsia="Times New Roman" w:hAnsi="Times New Roman" w:cs="Times New Roman"/>
          <w:i/>
          <w:iCs/>
          <w:color w:val="000000"/>
          <w:sz w:val="18"/>
          <w:szCs w:val="18"/>
          <w:lang w:eastAsia="zh-CN"/>
        </w:rPr>
        <w:t>J. Climate</w:t>
      </w:r>
      <w:r w:rsidRPr="00255132">
        <w:rPr>
          <w:rFonts w:ascii="Times New Roman" w:eastAsia="Times New Roman" w:hAnsi="Times New Roman" w:cs="Times New Roman"/>
          <w:color w:val="000000"/>
          <w:sz w:val="18"/>
          <w:szCs w:val="18"/>
          <w:lang w:eastAsia="zh-CN"/>
        </w:rPr>
        <w:t>, </w:t>
      </w:r>
      <w:r w:rsidRPr="00255132">
        <w:rPr>
          <w:rFonts w:ascii="Times New Roman" w:eastAsia="Times New Roman" w:hAnsi="Times New Roman" w:cs="Times New Roman"/>
          <w:b/>
          <w:bCs/>
          <w:color w:val="000000"/>
          <w:sz w:val="18"/>
          <w:szCs w:val="18"/>
          <w:lang w:eastAsia="zh-CN"/>
        </w:rPr>
        <w:t>26</w:t>
      </w:r>
      <w:r w:rsidRPr="00255132">
        <w:rPr>
          <w:rFonts w:ascii="Times New Roman" w:eastAsia="Times New Roman" w:hAnsi="Times New Roman" w:cs="Times New Roman"/>
          <w:color w:val="000000"/>
          <w:sz w:val="18"/>
          <w:szCs w:val="18"/>
          <w:lang w:eastAsia="zh-CN"/>
        </w:rPr>
        <w:t>, 5467–5492.</w:t>
      </w:r>
    </w:p>
    <w:p w14:paraId="245B7225" w14:textId="77777777" w:rsidR="004455EB" w:rsidRPr="00255132" w:rsidRDefault="004455EB" w:rsidP="004455EB">
      <w:pPr>
        <w:shd w:val="clear" w:color="auto" w:fill="FFFFFF"/>
        <w:spacing w:after="0"/>
        <w:rPr>
          <w:rFonts w:ascii="Times New Roman" w:eastAsia="Times New Roman" w:hAnsi="Times New Roman" w:cs="Times New Roman"/>
          <w:color w:val="000000"/>
          <w:sz w:val="18"/>
          <w:szCs w:val="18"/>
          <w:lang w:eastAsia="zh-CN"/>
        </w:rPr>
      </w:pPr>
      <w:proofErr w:type="spellStart"/>
      <w:proofErr w:type="gramStart"/>
      <w:r w:rsidRPr="00255132">
        <w:rPr>
          <w:rFonts w:ascii="Times New Roman" w:eastAsia="Times New Roman" w:hAnsi="Times New Roman" w:cs="Times New Roman"/>
          <w:color w:val="000000"/>
          <w:sz w:val="18"/>
          <w:szCs w:val="18"/>
          <w:lang w:eastAsia="zh-CN"/>
        </w:rPr>
        <w:t>doi</w:t>
      </w:r>
      <w:proofErr w:type="spellEnd"/>
      <w:proofErr w:type="gramEnd"/>
      <w:r w:rsidRPr="00255132">
        <w:rPr>
          <w:rFonts w:ascii="Times New Roman" w:eastAsia="Times New Roman" w:hAnsi="Times New Roman" w:cs="Times New Roman"/>
          <w:color w:val="000000"/>
          <w:sz w:val="18"/>
          <w:szCs w:val="18"/>
          <w:lang w:eastAsia="zh-CN"/>
        </w:rPr>
        <w:t>: </w:t>
      </w:r>
      <w:hyperlink r:id="rId62" w:history="1">
        <w:r w:rsidRPr="00255132">
          <w:rPr>
            <w:rFonts w:ascii="Times New Roman" w:eastAsia="Times New Roman" w:hAnsi="Times New Roman" w:cs="Times New Roman"/>
            <w:color w:val="808080"/>
            <w:sz w:val="18"/>
            <w:szCs w:val="18"/>
            <w:u w:val="single"/>
            <w:lang w:eastAsia="zh-CN"/>
          </w:rPr>
          <w:t>http://dx.doi.org/10.1175/JCLI-D-12-00263.1</w:t>
        </w:r>
      </w:hyperlink>
    </w:p>
    <w:p w14:paraId="6336CA8F" w14:textId="77777777" w:rsidR="004455EB" w:rsidRDefault="004455EB" w:rsidP="004455EB">
      <w:pPr>
        <w:tabs>
          <w:tab w:val="left" w:pos="360"/>
        </w:tabs>
        <w:spacing w:line="360" w:lineRule="auto"/>
        <w:ind w:firstLine="360"/>
        <w:jc w:val="both"/>
        <w:rPr>
          <w:color w:val="000000"/>
          <w:sz w:val="18"/>
          <w:szCs w:val="18"/>
          <w:shd w:val="clear" w:color="auto" w:fill="FFFFFF"/>
        </w:rPr>
      </w:pPr>
      <w:proofErr w:type="spellStart"/>
      <w:r>
        <w:rPr>
          <w:color w:val="000000"/>
          <w:sz w:val="18"/>
          <w:szCs w:val="18"/>
          <w:shd w:val="clear" w:color="auto" w:fill="FFFFFF"/>
        </w:rPr>
        <w:t>Xie</w:t>
      </w:r>
      <w:proofErr w:type="spellEnd"/>
      <w:r>
        <w:rPr>
          <w:rStyle w:val="nlmx"/>
          <w:color w:val="000000"/>
          <w:sz w:val="18"/>
          <w:szCs w:val="18"/>
          <w:shd w:val="clear" w:color="auto" w:fill="FFFFFF"/>
        </w:rPr>
        <w:t>,</w:t>
      </w:r>
      <w:r>
        <w:rPr>
          <w:rStyle w:val="apple-converted-space"/>
          <w:color w:val="000000"/>
          <w:sz w:val="18"/>
          <w:szCs w:val="18"/>
          <w:shd w:val="clear" w:color="auto" w:fill="FFFFFF"/>
        </w:rPr>
        <w:t> </w:t>
      </w:r>
      <w:r>
        <w:rPr>
          <w:color w:val="000000"/>
          <w:sz w:val="18"/>
          <w:szCs w:val="18"/>
          <w:shd w:val="clear" w:color="auto" w:fill="FFFFFF"/>
        </w:rPr>
        <w:t>S., and Coauthors,</w:t>
      </w:r>
      <w:r>
        <w:rPr>
          <w:rStyle w:val="apple-converted-space"/>
          <w:color w:val="000000"/>
          <w:sz w:val="18"/>
          <w:szCs w:val="18"/>
          <w:shd w:val="clear" w:color="auto" w:fill="FFFFFF"/>
        </w:rPr>
        <w:t> </w:t>
      </w:r>
      <w:r>
        <w:rPr>
          <w:rStyle w:val="nlmyear"/>
          <w:color w:val="000000"/>
          <w:sz w:val="18"/>
          <w:szCs w:val="18"/>
          <w:shd w:val="clear" w:color="auto" w:fill="FFFFFF"/>
        </w:rPr>
        <w:t>2005</w:t>
      </w:r>
      <w:r>
        <w:rPr>
          <w:color w:val="000000"/>
          <w:sz w:val="18"/>
          <w:szCs w:val="18"/>
          <w:shd w:val="clear" w:color="auto" w:fill="FFFFFF"/>
        </w:rPr>
        <w:t>:</w:t>
      </w:r>
      <w:r>
        <w:rPr>
          <w:rStyle w:val="apple-converted-space"/>
          <w:color w:val="000000"/>
          <w:sz w:val="18"/>
          <w:szCs w:val="18"/>
          <w:shd w:val="clear" w:color="auto" w:fill="FFFFFF"/>
        </w:rPr>
        <w:t> </w:t>
      </w:r>
      <w:r>
        <w:rPr>
          <w:rStyle w:val="nlmarticle-title"/>
          <w:color w:val="000000"/>
          <w:sz w:val="18"/>
          <w:szCs w:val="18"/>
          <w:shd w:val="clear" w:color="auto" w:fill="FFFFFF"/>
        </w:rPr>
        <w:t xml:space="preserve">Simulations of </w:t>
      </w:r>
      <w:proofErr w:type="spellStart"/>
      <w:r>
        <w:rPr>
          <w:rStyle w:val="nlmarticle-title"/>
          <w:color w:val="000000"/>
          <w:sz w:val="18"/>
          <w:szCs w:val="18"/>
          <w:shd w:val="clear" w:color="auto" w:fill="FFFFFF"/>
        </w:rPr>
        <w:t>midlatitude</w:t>
      </w:r>
      <w:proofErr w:type="spellEnd"/>
      <w:r>
        <w:rPr>
          <w:rStyle w:val="nlmarticle-title"/>
          <w:color w:val="000000"/>
          <w:sz w:val="18"/>
          <w:szCs w:val="18"/>
          <w:shd w:val="clear" w:color="auto" w:fill="FFFFFF"/>
        </w:rPr>
        <w:t xml:space="preserve"> frontal clouds by single-column and cloud-resolving models during the Atmospheric Radiation Measurement March 2000 cloud intensive operational period</w:t>
      </w:r>
      <w:r>
        <w:rPr>
          <w:color w:val="000000"/>
          <w:sz w:val="18"/>
          <w:szCs w:val="18"/>
          <w:shd w:val="clear" w:color="auto" w:fill="FFFFFF"/>
        </w:rPr>
        <w:t>.</w:t>
      </w:r>
      <w:r>
        <w:rPr>
          <w:rStyle w:val="apple-converted-space"/>
          <w:color w:val="000000"/>
          <w:sz w:val="18"/>
          <w:szCs w:val="18"/>
          <w:shd w:val="clear" w:color="auto" w:fill="FFFFFF"/>
        </w:rPr>
        <w:t> </w:t>
      </w:r>
      <w:r>
        <w:rPr>
          <w:rStyle w:val="citationsource-journal"/>
          <w:i/>
          <w:iCs/>
          <w:color w:val="000000"/>
          <w:sz w:val="18"/>
          <w:szCs w:val="18"/>
          <w:shd w:val="clear" w:color="auto" w:fill="FFFFFF"/>
        </w:rPr>
        <w:t xml:space="preserve">J. </w:t>
      </w:r>
      <w:proofErr w:type="spellStart"/>
      <w:r>
        <w:rPr>
          <w:rStyle w:val="citationsource-journal"/>
          <w:i/>
          <w:iCs/>
          <w:color w:val="000000"/>
          <w:sz w:val="18"/>
          <w:szCs w:val="18"/>
          <w:shd w:val="clear" w:color="auto" w:fill="FFFFFF"/>
        </w:rPr>
        <w:t>Geophys</w:t>
      </w:r>
      <w:proofErr w:type="spellEnd"/>
      <w:r>
        <w:rPr>
          <w:rStyle w:val="citationsource-journal"/>
          <w:i/>
          <w:iCs/>
          <w:color w:val="000000"/>
          <w:sz w:val="18"/>
          <w:szCs w:val="18"/>
          <w:shd w:val="clear" w:color="auto" w:fill="FFFFFF"/>
        </w:rPr>
        <w:t>. Res.</w:t>
      </w:r>
      <w:r>
        <w:rPr>
          <w:color w:val="000000"/>
          <w:sz w:val="18"/>
          <w:szCs w:val="18"/>
          <w:shd w:val="clear" w:color="auto" w:fill="FFFFFF"/>
        </w:rPr>
        <w:t>,</w:t>
      </w:r>
      <w:r>
        <w:rPr>
          <w:rStyle w:val="apple-converted-space"/>
          <w:color w:val="000000"/>
          <w:sz w:val="18"/>
          <w:szCs w:val="18"/>
          <w:shd w:val="clear" w:color="auto" w:fill="FFFFFF"/>
        </w:rPr>
        <w:t> </w:t>
      </w:r>
      <w:r>
        <w:rPr>
          <w:b/>
          <w:bCs/>
          <w:color w:val="000000"/>
          <w:sz w:val="18"/>
          <w:szCs w:val="18"/>
          <w:shd w:val="clear" w:color="auto" w:fill="FFFFFF"/>
        </w:rPr>
        <w:t>110</w:t>
      </w:r>
      <w:r>
        <w:rPr>
          <w:color w:val="000000"/>
          <w:sz w:val="18"/>
          <w:szCs w:val="18"/>
          <w:shd w:val="clear" w:color="auto" w:fill="FFFFFF"/>
        </w:rPr>
        <w:t>,</w:t>
      </w:r>
      <w:r>
        <w:rPr>
          <w:rStyle w:val="apple-converted-space"/>
          <w:color w:val="000000"/>
          <w:sz w:val="18"/>
          <w:szCs w:val="18"/>
          <w:shd w:val="clear" w:color="auto" w:fill="FFFFFF"/>
        </w:rPr>
        <w:t> </w:t>
      </w:r>
      <w:r>
        <w:rPr>
          <w:rStyle w:val="nlmfpage"/>
          <w:color w:val="000000"/>
          <w:sz w:val="18"/>
          <w:szCs w:val="18"/>
          <w:shd w:val="clear" w:color="auto" w:fill="FFFFFF"/>
        </w:rPr>
        <w:t>D15S03</w:t>
      </w:r>
      <w:r>
        <w:rPr>
          <w:color w:val="000000"/>
          <w:sz w:val="18"/>
          <w:szCs w:val="18"/>
          <w:shd w:val="clear" w:color="auto" w:fill="FFFFFF"/>
        </w:rPr>
        <w:t>, doi</w:t>
      </w:r>
      <w:proofErr w:type="gramStart"/>
      <w:r>
        <w:rPr>
          <w:color w:val="000000"/>
          <w:sz w:val="18"/>
          <w:szCs w:val="18"/>
          <w:shd w:val="clear" w:color="auto" w:fill="FFFFFF"/>
        </w:rPr>
        <w:t>:10.1029</w:t>
      </w:r>
      <w:proofErr w:type="gramEnd"/>
      <w:r>
        <w:rPr>
          <w:color w:val="000000"/>
          <w:sz w:val="18"/>
          <w:szCs w:val="18"/>
          <w:shd w:val="clear" w:color="auto" w:fill="FFFFFF"/>
        </w:rPr>
        <w:t>/2004JD005119</w:t>
      </w:r>
    </w:p>
    <w:p w14:paraId="4805B6FA" w14:textId="77777777" w:rsidR="004455EB" w:rsidRDefault="004455EB" w:rsidP="004455EB">
      <w:pPr>
        <w:tabs>
          <w:tab w:val="left" w:pos="360"/>
        </w:tabs>
        <w:spacing w:line="360" w:lineRule="auto"/>
        <w:ind w:firstLine="360"/>
        <w:jc w:val="both"/>
        <w:rPr>
          <w:color w:val="000000"/>
          <w:sz w:val="18"/>
          <w:szCs w:val="18"/>
          <w:shd w:val="clear" w:color="auto" w:fill="FFFFFF"/>
        </w:rPr>
      </w:pPr>
      <w:proofErr w:type="spellStart"/>
      <w:r>
        <w:rPr>
          <w:color w:val="000000"/>
          <w:sz w:val="18"/>
          <w:szCs w:val="18"/>
          <w:shd w:val="clear" w:color="auto" w:fill="FFFFFF"/>
        </w:rPr>
        <w:t>Xie</w:t>
      </w:r>
      <w:proofErr w:type="spellEnd"/>
      <w:r>
        <w:rPr>
          <w:rStyle w:val="nlmx"/>
          <w:color w:val="000000"/>
          <w:sz w:val="18"/>
          <w:szCs w:val="18"/>
          <w:shd w:val="clear" w:color="auto" w:fill="FFFFFF"/>
        </w:rPr>
        <w:t>,</w:t>
      </w:r>
      <w:r>
        <w:rPr>
          <w:rStyle w:val="apple-converted-space"/>
          <w:color w:val="000000"/>
          <w:sz w:val="18"/>
          <w:szCs w:val="18"/>
          <w:shd w:val="clear" w:color="auto" w:fill="FFFFFF"/>
        </w:rPr>
        <w:t> </w:t>
      </w:r>
      <w:r>
        <w:rPr>
          <w:color w:val="000000"/>
          <w:sz w:val="18"/>
          <w:szCs w:val="18"/>
          <w:shd w:val="clear" w:color="auto" w:fill="FFFFFF"/>
        </w:rPr>
        <w:t>S.</w:t>
      </w:r>
      <w:r>
        <w:rPr>
          <w:rStyle w:val="nlmx"/>
          <w:color w:val="000000"/>
          <w:sz w:val="18"/>
          <w:szCs w:val="18"/>
          <w:shd w:val="clear" w:color="auto" w:fill="FFFFFF"/>
        </w:rPr>
        <w:t>, and</w:t>
      </w:r>
      <w:r>
        <w:rPr>
          <w:rStyle w:val="apple-converted-space"/>
          <w:color w:val="000000"/>
          <w:sz w:val="18"/>
          <w:szCs w:val="18"/>
          <w:shd w:val="clear" w:color="auto" w:fill="FFFFFF"/>
        </w:rPr>
        <w:t> </w:t>
      </w:r>
      <w:r>
        <w:rPr>
          <w:color w:val="000000"/>
          <w:sz w:val="18"/>
          <w:szCs w:val="18"/>
          <w:shd w:val="clear" w:color="auto" w:fill="FFFFFF"/>
        </w:rPr>
        <w:t>M.</w:t>
      </w:r>
      <w:r>
        <w:rPr>
          <w:rStyle w:val="apple-converted-space"/>
          <w:color w:val="000000"/>
          <w:sz w:val="18"/>
          <w:szCs w:val="18"/>
          <w:shd w:val="clear" w:color="auto" w:fill="FFFFFF"/>
        </w:rPr>
        <w:t> </w:t>
      </w:r>
      <w:r>
        <w:rPr>
          <w:color w:val="000000"/>
          <w:sz w:val="18"/>
          <w:szCs w:val="18"/>
          <w:shd w:val="clear" w:color="auto" w:fill="FFFFFF"/>
        </w:rPr>
        <w:t>Zhang,</w:t>
      </w:r>
      <w:r>
        <w:rPr>
          <w:rStyle w:val="apple-converted-space"/>
          <w:color w:val="000000"/>
          <w:sz w:val="18"/>
          <w:szCs w:val="18"/>
          <w:shd w:val="clear" w:color="auto" w:fill="FFFFFF"/>
        </w:rPr>
        <w:t> </w:t>
      </w:r>
      <w:r>
        <w:rPr>
          <w:rStyle w:val="nlmyear"/>
          <w:color w:val="000000"/>
          <w:sz w:val="18"/>
          <w:szCs w:val="18"/>
          <w:shd w:val="clear" w:color="auto" w:fill="FFFFFF"/>
        </w:rPr>
        <w:t>2000</w:t>
      </w:r>
      <w:r>
        <w:rPr>
          <w:color w:val="000000"/>
          <w:sz w:val="18"/>
          <w:szCs w:val="18"/>
          <w:shd w:val="clear" w:color="auto" w:fill="FFFFFF"/>
        </w:rPr>
        <w:t>:</w:t>
      </w:r>
      <w:r>
        <w:rPr>
          <w:rStyle w:val="apple-converted-space"/>
          <w:color w:val="000000"/>
          <w:sz w:val="18"/>
          <w:szCs w:val="18"/>
          <w:shd w:val="clear" w:color="auto" w:fill="FFFFFF"/>
        </w:rPr>
        <w:t> </w:t>
      </w:r>
      <w:r>
        <w:rPr>
          <w:rStyle w:val="nlmarticle-title"/>
          <w:color w:val="000000"/>
          <w:sz w:val="18"/>
          <w:szCs w:val="18"/>
          <w:shd w:val="clear" w:color="auto" w:fill="FFFFFF"/>
        </w:rPr>
        <w:t>Impact of the convection trigger function on single-column model simulations</w:t>
      </w:r>
      <w:r>
        <w:rPr>
          <w:color w:val="000000"/>
          <w:sz w:val="18"/>
          <w:szCs w:val="18"/>
          <w:shd w:val="clear" w:color="auto" w:fill="FFFFFF"/>
        </w:rPr>
        <w:t>.</w:t>
      </w:r>
      <w:r>
        <w:rPr>
          <w:rStyle w:val="apple-converted-space"/>
          <w:color w:val="000000"/>
          <w:sz w:val="18"/>
          <w:szCs w:val="18"/>
          <w:shd w:val="clear" w:color="auto" w:fill="FFFFFF"/>
        </w:rPr>
        <w:t> </w:t>
      </w:r>
      <w:r>
        <w:rPr>
          <w:rStyle w:val="citationsource-journal"/>
          <w:i/>
          <w:iCs/>
          <w:color w:val="000000"/>
          <w:sz w:val="18"/>
          <w:szCs w:val="18"/>
          <w:shd w:val="clear" w:color="auto" w:fill="FFFFFF"/>
        </w:rPr>
        <w:t xml:space="preserve">J. </w:t>
      </w:r>
      <w:proofErr w:type="spellStart"/>
      <w:r>
        <w:rPr>
          <w:rStyle w:val="citationsource-journal"/>
          <w:i/>
          <w:iCs/>
          <w:color w:val="000000"/>
          <w:sz w:val="18"/>
          <w:szCs w:val="18"/>
          <w:shd w:val="clear" w:color="auto" w:fill="FFFFFF"/>
        </w:rPr>
        <w:t>Geophys</w:t>
      </w:r>
      <w:proofErr w:type="spellEnd"/>
      <w:r>
        <w:rPr>
          <w:rStyle w:val="citationsource-journal"/>
          <w:i/>
          <w:iCs/>
          <w:color w:val="000000"/>
          <w:sz w:val="18"/>
          <w:szCs w:val="18"/>
          <w:shd w:val="clear" w:color="auto" w:fill="FFFFFF"/>
        </w:rPr>
        <w:t xml:space="preserve">. </w:t>
      </w:r>
      <w:proofErr w:type="gramStart"/>
      <w:r>
        <w:rPr>
          <w:rStyle w:val="citationsource-journal"/>
          <w:i/>
          <w:iCs/>
          <w:color w:val="000000"/>
          <w:sz w:val="18"/>
          <w:szCs w:val="18"/>
          <w:shd w:val="clear" w:color="auto" w:fill="FFFFFF"/>
        </w:rPr>
        <w:t>Res.</w:t>
      </w:r>
      <w:r>
        <w:rPr>
          <w:color w:val="000000"/>
          <w:sz w:val="18"/>
          <w:szCs w:val="18"/>
          <w:shd w:val="clear" w:color="auto" w:fill="FFFFFF"/>
        </w:rPr>
        <w:t>,</w:t>
      </w:r>
      <w:r>
        <w:rPr>
          <w:rStyle w:val="apple-converted-space"/>
          <w:color w:val="000000"/>
          <w:sz w:val="18"/>
          <w:szCs w:val="18"/>
          <w:shd w:val="clear" w:color="auto" w:fill="FFFFFF"/>
        </w:rPr>
        <w:t> </w:t>
      </w:r>
      <w:r>
        <w:rPr>
          <w:b/>
          <w:bCs/>
          <w:color w:val="000000"/>
          <w:sz w:val="18"/>
          <w:szCs w:val="18"/>
          <w:shd w:val="clear" w:color="auto" w:fill="FFFFFF"/>
        </w:rPr>
        <w:t>105</w:t>
      </w:r>
      <w:r>
        <w:rPr>
          <w:rStyle w:val="apple-converted-space"/>
          <w:color w:val="000000"/>
          <w:sz w:val="18"/>
          <w:szCs w:val="18"/>
          <w:shd w:val="clear" w:color="auto" w:fill="FFFFFF"/>
        </w:rPr>
        <w:t> </w:t>
      </w:r>
      <w:r>
        <w:rPr>
          <w:color w:val="000000"/>
          <w:sz w:val="18"/>
          <w:szCs w:val="18"/>
          <w:shd w:val="clear" w:color="auto" w:fill="FFFFFF"/>
        </w:rPr>
        <w:t>(D11),</w:t>
      </w:r>
      <w:r>
        <w:rPr>
          <w:rStyle w:val="apple-converted-space"/>
          <w:color w:val="000000"/>
          <w:sz w:val="18"/>
          <w:szCs w:val="18"/>
          <w:shd w:val="clear" w:color="auto" w:fill="FFFFFF"/>
        </w:rPr>
        <w:t> </w:t>
      </w:r>
      <w:r>
        <w:rPr>
          <w:rStyle w:val="nlmfpage"/>
          <w:color w:val="000000"/>
          <w:sz w:val="18"/>
          <w:szCs w:val="18"/>
          <w:shd w:val="clear" w:color="auto" w:fill="FFFFFF"/>
        </w:rPr>
        <w:t>14 983</w:t>
      </w:r>
      <w:r>
        <w:rPr>
          <w:color w:val="000000"/>
          <w:sz w:val="18"/>
          <w:szCs w:val="18"/>
          <w:shd w:val="clear" w:color="auto" w:fill="FFFFFF"/>
        </w:rPr>
        <w:t>–</w:t>
      </w:r>
      <w:r>
        <w:rPr>
          <w:rStyle w:val="nlmlpage"/>
          <w:color w:val="000000"/>
          <w:sz w:val="18"/>
          <w:szCs w:val="18"/>
          <w:shd w:val="clear" w:color="auto" w:fill="FFFFFF"/>
        </w:rPr>
        <w:t>14 996</w:t>
      </w:r>
      <w:r>
        <w:rPr>
          <w:color w:val="000000"/>
          <w:sz w:val="18"/>
          <w:szCs w:val="18"/>
          <w:shd w:val="clear" w:color="auto" w:fill="FFFFFF"/>
        </w:rPr>
        <w:t>.</w:t>
      </w:r>
      <w:proofErr w:type="gramEnd"/>
    </w:p>
    <w:p w14:paraId="1E49654C" w14:textId="77777777" w:rsidR="004455EB" w:rsidRDefault="004455EB" w:rsidP="004455EB">
      <w:pPr>
        <w:tabs>
          <w:tab w:val="left" w:pos="360"/>
        </w:tabs>
        <w:spacing w:line="360" w:lineRule="auto"/>
        <w:ind w:firstLine="360"/>
        <w:jc w:val="both"/>
        <w:rPr>
          <w:rFonts w:ascii="Times New Roman" w:hAnsi="Times New Roman"/>
          <w:szCs w:val="24"/>
        </w:rPr>
      </w:pPr>
      <w:r>
        <w:rPr>
          <w:color w:val="000000"/>
          <w:sz w:val="18"/>
          <w:szCs w:val="18"/>
          <w:shd w:val="clear" w:color="auto" w:fill="FFFFFF"/>
        </w:rPr>
        <w:t>Zhang</w:t>
      </w:r>
      <w:r>
        <w:rPr>
          <w:rStyle w:val="nlmx"/>
          <w:color w:val="000000"/>
          <w:sz w:val="18"/>
          <w:szCs w:val="18"/>
          <w:shd w:val="clear" w:color="auto" w:fill="FFFFFF"/>
        </w:rPr>
        <w:t>,</w:t>
      </w:r>
      <w:r>
        <w:rPr>
          <w:rStyle w:val="apple-converted-space"/>
          <w:color w:val="000000"/>
          <w:sz w:val="18"/>
          <w:szCs w:val="18"/>
          <w:shd w:val="clear" w:color="auto" w:fill="FFFFFF"/>
        </w:rPr>
        <w:t> </w:t>
      </w:r>
      <w:r>
        <w:rPr>
          <w:color w:val="000000"/>
          <w:sz w:val="18"/>
          <w:szCs w:val="18"/>
          <w:shd w:val="clear" w:color="auto" w:fill="FFFFFF"/>
        </w:rPr>
        <w:t>G. J.,</w:t>
      </w:r>
      <w:r>
        <w:rPr>
          <w:rStyle w:val="apple-converted-space"/>
          <w:color w:val="000000"/>
          <w:sz w:val="18"/>
          <w:szCs w:val="18"/>
          <w:shd w:val="clear" w:color="auto" w:fill="FFFFFF"/>
        </w:rPr>
        <w:t> </w:t>
      </w:r>
      <w:r>
        <w:rPr>
          <w:rStyle w:val="nlmyear"/>
          <w:color w:val="000000"/>
          <w:sz w:val="18"/>
          <w:szCs w:val="18"/>
          <w:shd w:val="clear" w:color="auto" w:fill="FFFFFF"/>
        </w:rPr>
        <w:t>2003</w:t>
      </w:r>
      <w:r>
        <w:rPr>
          <w:color w:val="000000"/>
          <w:sz w:val="18"/>
          <w:szCs w:val="18"/>
          <w:shd w:val="clear" w:color="auto" w:fill="FFFFFF"/>
        </w:rPr>
        <w:t>:</w:t>
      </w:r>
      <w:r>
        <w:rPr>
          <w:rStyle w:val="apple-converted-space"/>
          <w:color w:val="000000"/>
          <w:sz w:val="18"/>
          <w:szCs w:val="18"/>
          <w:shd w:val="clear" w:color="auto" w:fill="FFFFFF"/>
        </w:rPr>
        <w:t> </w:t>
      </w:r>
      <w:r>
        <w:rPr>
          <w:rStyle w:val="nlmarticle-title"/>
          <w:color w:val="000000"/>
          <w:sz w:val="18"/>
          <w:szCs w:val="18"/>
          <w:shd w:val="clear" w:color="auto" w:fill="FFFFFF"/>
        </w:rPr>
        <w:t>Roles of tropospheric and boundary layer forcing in the diurnal cycle of convection in the U.S. southern Great Plains</w:t>
      </w:r>
      <w:r>
        <w:rPr>
          <w:color w:val="000000"/>
          <w:sz w:val="18"/>
          <w:szCs w:val="18"/>
          <w:shd w:val="clear" w:color="auto" w:fill="FFFFFF"/>
        </w:rPr>
        <w:t>.</w:t>
      </w:r>
      <w:r>
        <w:rPr>
          <w:rStyle w:val="apple-converted-space"/>
          <w:color w:val="000000"/>
          <w:sz w:val="18"/>
          <w:szCs w:val="18"/>
          <w:shd w:val="clear" w:color="auto" w:fill="FFFFFF"/>
        </w:rPr>
        <w:t> </w:t>
      </w:r>
      <w:proofErr w:type="spellStart"/>
      <w:proofErr w:type="gramStart"/>
      <w:r>
        <w:rPr>
          <w:rStyle w:val="citationsource-journal"/>
          <w:i/>
          <w:iCs/>
          <w:color w:val="000000"/>
          <w:sz w:val="18"/>
          <w:szCs w:val="18"/>
          <w:shd w:val="clear" w:color="auto" w:fill="FFFFFF"/>
        </w:rPr>
        <w:t>Geophys</w:t>
      </w:r>
      <w:proofErr w:type="spellEnd"/>
      <w:r>
        <w:rPr>
          <w:rStyle w:val="citationsource-journal"/>
          <w:i/>
          <w:iCs/>
          <w:color w:val="000000"/>
          <w:sz w:val="18"/>
          <w:szCs w:val="18"/>
          <w:shd w:val="clear" w:color="auto" w:fill="FFFFFF"/>
        </w:rPr>
        <w:t>.</w:t>
      </w:r>
      <w:proofErr w:type="gramEnd"/>
      <w:r>
        <w:rPr>
          <w:rStyle w:val="citationsource-journal"/>
          <w:i/>
          <w:iCs/>
          <w:color w:val="000000"/>
          <w:sz w:val="18"/>
          <w:szCs w:val="18"/>
          <w:shd w:val="clear" w:color="auto" w:fill="FFFFFF"/>
        </w:rPr>
        <w:t xml:space="preserve"> Res. </w:t>
      </w:r>
      <w:proofErr w:type="spellStart"/>
      <w:r>
        <w:rPr>
          <w:rStyle w:val="citationsource-journal"/>
          <w:i/>
          <w:iCs/>
          <w:color w:val="000000"/>
          <w:sz w:val="18"/>
          <w:szCs w:val="18"/>
          <w:shd w:val="clear" w:color="auto" w:fill="FFFFFF"/>
        </w:rPr>
        <w:t>Lett</w:t>
      </w:r>
      <w:proofErr w:type="spellEnd"/>
      <w:r>
        <w:rPr>
          <w:rStyle w:val="citationsource-journal"/>
          <w:i/>
          <w:iCs/>
          <w:color w:val="000000"/>
          <w:sz w:val="18"/>
          <w:szCs w:val="18"/>
          <w:shd w:val="clear" w:color="auto" w:fill="FFFFFF"/>
        </w:rPr>
        <w:t>.</w:t>
      </w:r>
      <w:r>
        <w:rPr>
          <w:color w:val="000000"/>
          <w:sz w:val="18"/>
          <w:szCs w:val="18"/>
          <w:shd w:val="clear" w:color="auto" w:fill="FFFFFF"/>
        </w:rPr>
        <w:t>,</w:t>
      </w:r>
      <w:r>
        <w:rPr>
          <w:rStyle w:val="apple-converted-space"/>
          <w:color w:val="000000"/>
          <w:sz w:val="18"/>
          <w:szCs w:val="18"/>
          <w:shd w:val="clear" w:color="auto" w:fill="FFFFFF"/>
        </w:rPr>
        <w:t> </w:t>
      </w:r>
      <w:r>
        <w:rPr>
          <w:b/>
          <w:bCs/>
          <w:color w:val="000000"/>
          <w:sz w:val="18"/>
          <w:szCs w:val="18"/>
          <w:shd w:val="clear" w:color="auto" w:fill="FFFFFF"/>
        </w:rPr>
        <w:t>30</w:t>
      </w:r>
      <w:r>
        <w:rPr>
          <w:color w:val="000000"/>
          <w:sz w:val="18"/>
          <w:szCs w:val="18"/>
          <w:shd w:val="clear" w:color="auto" w:fill="FFFFFF"/>
        </w:rPr>
        <w:t>,</w:t>
      </w:r>
      <w:r>
        <w:rPr>
          <w:rStyle w:val="apple-converted-space"/>
          <w:color w:val="000000"/>
          <w:sz w:val="18"/>
          <w:szCs w:val="18"/>
          <w:shd w:val="clear" w:color="auto" w:fill="FFFFFF"/>
        </w:rPr>
        <w:t> </w:t>
      </w:r>
      <w:r>
        <w:rPr>
          <w:rStyle w:val="nlmfpage"/>
          <w:color w:val="000000"/>
          <w:sz w:val="18"/>
          <w:szCs w:val="18"/>
          <w:shd w:val="clear" w:color="auto" w:fill="FFFFFF"/>
        </w:rPr>
        <w:t>2281</w:t>
      </w:r>
      <w:r>
        <w:rPr>
          <w:color w:val="000000"/>
          <w:sz w:val="18"/>
          <w:szCs w:val="18"/>
          <w:shd w:val="clear" w:color="auto" w:fill="FFFFFF"/>
        </w:rPr>
        <w:t>, doi</w:t>
      </w:r>
      <w:proofErr w:type="gramStart"/>
      <w:r>
        <w:rPr>
          <w:color w:val="000000"/>
          <w:sz w:val="18"/>
          <w:szCs w:val="18"/>
          <w:shd w:val="clear" w:color="auto" w:fill="FFFFFF"/>
        </w:rPr>
        <w:t>:10.1029</w:t>
      </w:r>
      <w:proofErr w:type="gramEnd"/>
      <w:r>
        <w:rPr>
          <w:color w:val="000000"/>
          <w:sz w:val="18"/>
          <w:szCs w:val="18"/>
          <w:shd w:val="clear" w:color="auto" w:fill="FFFFFF"/>
        </w:rPr>
        <w:t>/2003GL018554.</w:t>
      </w:r>
    </w:p>
    <w:p w14:paraId="00BFCB3C" w14:textId="7EA35091" w:rsidR="004455EB" w:rsidRPr="00A83690" w:rsidRDefault="004455EB" w:rsidP="00A83690">
      <w:pPr>
        <w:spacing w:after="0" w:line="360" w:lineRule="auto"/>
        <w:jc w:val="both"/>
        <w:rPr>
          <w:rFonts w:ascii="Times New Roman" w:hAnsi="Times New Roman"/>
          <w:b/>
          <w:szCs w:val="24"/>
        </w:rPr>
      </w:pPr>
      <w:bookmarkStart w:id="1" w:name="_GoBack"/>
      <w:bookmarkEnd w:id="1"/>
    </w:p>
    <w:sectPr w:rsidR="004455EB" w:rsidRPr="00A83690" w:rsidSect="00005224">
      <w:pgSz w:w="12240" w:h="15840"/>
      <w:pgMar w:top="144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C50B2"/>
    <w:rsid w:val="000D4BCC"/>
    <w:rsid w:val="000D5E24"/>
    <w:rsid w:val="000E2E41"/>
    <w:rsid w:val="001046B2"/>
    <w:rsid w:val="00114AE1"/>
    <w:rsid w:val="00116696"/>
    <w:rsid w:val="0015617F"/>
    <w:rsid w:val="00156859"/>
    <w:rsid w:val="00195923"/>
    <w:rsid w:val="00197173"/>
    <w:rsid w:val="001A1B65"/>
    <w:rsid w:val="001A6068"/>
    <w:rsid w:val="001B3369"/>
    <w:rsid w:val="001B6A57"/>
    <w:rsid w:val="001C0988"/>
    <w:rsid w:val="001C54D9"/>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A6B"/>
    <w:rsid w:val="003A7218"/>
    <w:rsid w:val="003B4751"/>
    <w:rsid w:val="003C04A2"/>
    <w:rsid w:val="003E441E"/>
    <w:rsid w:val="003E4469"/>
    <w:rsid w:val="003E6CE6"/>
    <w:rsid w:val="003F270D"/>
    <w:rsid w:val="00401BFF"/>
    <w:rsid w:val="00433626"/>
    <w:rsid w:val="004455EB"/>
    <w:rsid w:val="0047416A"/>
    <w:rsid w:val="00474D10"/>
    <w:rsid w:val="00487DEB"/>
    <w:rsid w:val="0049066F"/>
    <w:rsid w:val="004B7A60"/>
    <w:rsid w:val="004F2D70"/>
    <w:rsid w:val="00514FF0"/>
    <w:rsid w:val="00517DD3"/>
    <w:rsid w:val="00533FDD"/>
    <w:rsid w:val="00535DCA"/>
    <w:rsid w:val="00544E21"/>
    <w:rsid w:val="00555740"/>
    <w:rsid w:val="0055604F"/>
    <w:rsid w:val="005569A5"/>
    <w:rsid w:val="005614FD"/>
    <w:rsid w:val="00573F98"/>
    <w:rsid w:val="00581F9F"/>
    <w:rsid w:val="00584B34"/>
    <w:rsid w:val="00586FE8"/>
    <w:rsid w:val="0059038C"/>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D0B13"/>
    <w:rsid w:val="006E3DD5"/>
    <w:rsid w:val="006E711A"/>
    <w:rsid w:val="007003E8"/>
    <w:rsid w:val="00705D68"/>
    <w:rsid w:val="00714ADA"/>
    <w:rsid w:val="007264EF"/>
    <w:rsid w:val="00735271"/>
    <w:rsid w:val="00744831"/>
    <w:rsid w:val="0076274B"/>
    <w:rsid w:val="00763741"/>
    <w:rsid w:val="00764F79"/>
    <w:rsid w:val="00765E40"/>
    <w:rsid w:val="00787691"/>
    <w:rsid w:val="00792930"/>
    <w:rsid w:val="007E4751"/>
    <w:rsid w:val="00813003"/>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6891"/>
    <w:rsid w:val="00AE1031"/>
    <w:rsid w:val="00AE16E2"/>
    <w:rsid w:val="00AE4081"/>
    <w:rsid w:val="00AE5E48"/>
    <w:rsid w:val="00B03E79"/>
    <w:rsid w:val="00B06AB3"/>
    <w:rsid w:val="00B07263"/>
    <w:rsid w:val="00B22EDF"/>
    <w:rsid w:val="00B30F18"/>
    <w:rsid w:val="00B65ECD"/>
    <w:rsid w:val="00B67BCD"/>
    <w:rsid w:val="00B75276"/>
    <w:rsid w:val="00B80D53"/>
    <w:rsid w:val="00B95F3B"/>
    <w:rsid w:val="00B95F80"/>
    <w:rsid w:val="00BC1245"/>
    <w:rsid w:val="00BD1CE6"/>
    <w:rsid w:val="00BE4344"/>
    <w:rsid w:val="00BE7137"/>
    <w:rsid w:val="00C2458D"/>
    <w:rsid w:val="00C25475"/>
    <w:rsid w:val="00C30133"/>
    <w:rsid w:val="00C3149D"/>
    <w:rsid w:val="00C320D0"/>
    <w:rsid w:val="00C333AB"/>
    <w:rsid w:val="00C35C5B"/>
    <w:rsid w:val="00C40C0C"/>
    <w:rsid w:val="00C50939"/>
    <w:rsid w:val="00C91097"/>
    <w:rsid w:val="00C9113D"/>
    <w:rsid w:val="00CB3BFA"/>
    <w:rsid w:val="00CB6BEE"/>
    <w:rsid w:val="00CE7157"/>
    <w:rsid w:val="00CE7330"/>
    <w:rsid w:val="00CF430E"/>
    <w:rsid w:val="00D516C9"/>
    <w:rsid w:val="00D5732A"/>
    <w:rsid w:val="00D74205"/>
    <w:rsid w:val="00D87B20"/>
    <w:rsid w:val="00DA3B2B"/>
    <w:rsid w:val="00DC7B0B"/>
    <w:rsid w:val="00DE41F8"/>
    <w:rsid w:val="00DF437D"/>
    <w:rsid w:val="00DF6243"/>
    <w:rsid w:val="00E30307"/>
    <w:rsid w:val="00E34F63"/>
    <w:rsid w:val="00E4771F"/>
    <w:rsid w:val="00E61055"/>
    <w:rsid w:val="00E7494A"/>
    <w:rsid w:val="00E778F9"/>
    <w:rsid w:val="00E80275"/>
    <w:rsid w:val="00E91A1E"/>
    <w:rsid w:val="00EC10B2"/>
    <w:rsid w:val="00EC47FD"/>
    <w:rsid w:val="00ED24C6"/>
    <w:rsid w:val="00EE2E04"/>
    <w:rsid w:val="00F12AAC"/>
    <w:rsid w:val="00F12DAC"/>
    <w:rsid w:val="00F16B93"/>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settings" Target="settings.xml"/><Relationship Id="rId61" Type="http://schemas.openxmlformats.org/officeDocument/2006/relationships/hyperlink" Target="http://www.agu.org/pubs/crossref/2006/2005JD006509.shtml" TargetMode="External"/><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e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hyperlink" Target="http://dx.doi.org/10.1175/JCLI-D-12-00263.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7BB95-7DA0-4663-8FF2-7388A0F3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19416</Words>
  <Characters>21942</Characters>
  <Application>Microsoft Office Word</Application>
  <DocSecurity>0</DocSecurity>
  <Lines>2742</Lines>
  <Paragraphs>2432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38926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16</cp:revision>
  <cp:lastPrinted>2013-07-24T18:25:00Z</cp:lastPrinted>
  <dcterms:created xsi:type="dcterms:W3CDTF">2013-10-20T20:51:00Z</dcterms:created>
  <dcterms:modified xsi:type="dcterms:W3CDTF">2013-10-20T21:57:00Z</dcterms:modified>
</cp:coreProperties>
</file>