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7777777" w:rsidR="00DA3B2B" w:rsidRDefault="00DA3B2B" w:rsidP="00DA3B2B">
      <w:pPr>
        <w:spacing w:after="0"/>
        <w:ind w:left="576"/>
      </w:pPr>
      <w:r w:rsidRPr="00BE04EC">
        <w:rPr>
          <w:b/>
        </w:rPr>
        <w:t>The SCM concept and creation of forcing datasets</w:t>
      </w:r>
      <w:r>
        <w:t xml:space="preserve"> </w:t>
      </w:r>
    </w:p>
    <w:p w14:paraId="05A731B6" w14:textId="1E8A60DB" w:rsidR="00DA3B2B" w:rsidRDefault="00DA3B2B" w:rsidP="00DA3B2B">
      <w:pPr>
        <w:spacing w:after="0"/>
        <w:ind w:left="576"/>
      </w:pPr>
      <w:proofErr w:type="spellStart"/>
      <w:r>
        <w:t>Minghua</w:t>
      </w:r>
      <w:proofErr w:type="spellEnd"/>
      <w:r>
        <w:t xml:space="preserve"> </w:t>
      </w:r>
      <w:r w:rsidRPr="00B56DB3">
        <w:t>Zhang</w:t>
      </w:r>
      <w:proofErr w:type="gramStart"/>
      <w:r>
        <w:t>,  Richard</w:t>
      </w:r>
      <w:proofErr w:type="gramEnd"/>
      <w:r>
        <w:t xml:space="preserve"> </w:t>
      </w:r>
      <w:r w:rsidRPr="00B56DB3">
        <w:t>Somerville</w:t>
      </w:r>
      <w:r>
        <w:t xml:space="preserve">, and </w:t>
      </w:r>
      <w:proofErr w:type="spellStart"/>
      <w:r>
        <w:t>Shaocheng</w:t>
      </w:r>
      <w:proofErr w:type="spellEnd"/>
      <w:r>
        <w:t xml:space="preserve"> </w:t>
      </w:r>
      <w:proofErr w:type="spellStart"/>
      <w:r>
        <w:t>Xie</w:t>
      </w:r>
      <w:proofErr w:type="spellEnd"/>
    </w:p>
    <w:p w14:paraId="1CBD837C" w14:textId="77777777" w:rsidR="00DA3B2B" w:rsidRDefault="00DA3B2B" w:rsidP="000C50B2">
      <w:pPr>
        <w:spacing w:before="100" w:beforeAutospacing="1" w:after="0" w:line="276" w:lineRule="auto"/>
        <w:ind w:right="-720"/>
        <w:rPr>
          <w:rFonts w:ascii="Times New Roman" w:hAnsi="Times New Roman"/>
          <w:szCs w:val="24"/>
        </w:rPr>
      </w:pPr>
    </w:p>
    <w:p w14:paraId="074FDC5C" w14:textId="05D4C4AF" w:rsidR="00DA3B2B" w:rsidRDefault="00DA3B2B" w:rsidP="00DA3B2B">
      <w:pPr>
        <w:pStyle w:val="ListParagraph"/>
        <w:numPr>
          <w:ilvl w:val="1"/>
          <w:numId w:val="1"/>
        </w:numPr>
      </w:pPr>
      <w:r>
        <w:t xml:space="preserve">The concept of SCM </w:t>
      </w:r>
      <w:r>
        <w:t xml:space="preserve"> (</w:t>
      </w:r>
      <w:r>
        <w:t>Richard</w:t>
      </w:r>
      <w:r>
        <w:t xml:space="preserve"> </w:t>
      </w:r>
      <w:r w:rsidRPr="00B56DB3">
        <w:t>Somerville</w:t>
      </w:r>
      <w:r>
        <w:t>)</w:t>
      </w:r>
    </w:p>
    <w:p w14:paraId="5CFE7247" w14:textId="77777777" w:rsidR="00DA3B2B" w:rsidRDefault="00DA3B2B" w:rsidP="00DA3B2B">
      <w:pPr>
        <w:pStyle w:val="ListParagraph"/>
        <w:numPr>
          <w:ilvl w:val="1"/>
          <w:numId w:val="1"/>
        </w:numPr>
      </w:pPr>
      <w:r>
        <w:t xml:space="preserve">Early studies using SCMs  (Richard </w:t>
      </w:r>
      <w:r w:rsidRPr="00B56DB3">
        <w:t>Somerville</w:t>
      </w:r>
      <w:r>
        <w:t>)</w:t>
      </w:r>
    </w:p>
    <w:p w14:paraId="296ECCBE" w14:textId="5BFEC73F" w:rsidR="00DA3B2B" w:rsidRDefault="00DA3B2B" w:rsidP="00DA3B2B">
      <w:pPr>
        <w:pStyle w:val="ListParagraph"/>
        <w:numPr>
          <w:ilvl w:val="1"/>
          <w:numId w:val="1"/>
        </w:numPr>
      </w:pPr>
      <w:r>
        <w:t xml:space="preserve">Requirement on large-scale forcing data  </w:t>
      </w:r>
      <w:r>
        <w:t>(</w:t>
      </w:r>
      <w:proofErr w:type="spellStart"/>
      <w:r>
        <w:t>Minghua</w:t>
      </w:r>
      <w:proofErr w:type="spellEnd"/>
      <w:r>
        <w:t xml:space="preserve"> </w:t>
      </w:r>
      <w:r w:rsidRPr="00B56DB3">
        <w:t>Zhang</w:t>
      </w:r>
      <w:r>
        <w:t>)</w:t>
      </w:r>
    </w:p>
    <w:p w14:paraId="793681FB" w14:textId="177D4EEA" w:rsidR="00DA3B2B" w:rsidRDefault="00DA3B2B" w:rsidP="00DA3B2B">
      <w:pPr>
        <w:pStyle w:val="ListParagraph"/>
        <w:numPr>
          <w:ilvl w:val="1"/>
          <w:numId w:val="1"/>
        </w:numPr>
      </w:pPr>
      <w:r>
        <w:t>Forcing data from field experiments prior to ARM (</w:t>
      </w:r>
      <w:proofErr w:type="spellStart"/>
      <w:r>
        <w:t>Minghua</w:t>
      </w:r>
      <w:proofErr w:type="spellEnd"/>
      <w:r>
        <w:t xml:space="preserve"> </w:t>
      </w:r>
      <w:r w:rsidRPr="00B56DB3">
        <w:t>Zhang</w:t>
      </w:r>
      <w:r>
        <w:t>)</w:t>
      </w:r>
    </w:p>
    <w:p w14:paraId="3B256E53" w14:textId="2570B56F" w:rsidR="00DA3B2B" w:rsidRDefault="00DA3B2B" w:rsidP="00DA3B2B">
      <w:pPr>
        <w:pStyle w:val="ListParagraph"/>
        <w:numPr>
          <w:ilvl w:val="1"/>
          <w:numId w:val="1"/>
        </w:numPr>
      </w:pPr>
      <w:r>
        <w:t xml:space="preserve">The ARM variational analysis of forcing data </w:t>
      </w:r>
      <w:r>
        <w:t xml:space="preserve"> </w:t>
      </w:r>
      <w:r>
        <w:t>(</w:t>
      </w:r>
      <w:proofErr w:type="spellStart"/>
      <w:r>
        <w:t>Minghua</w:t>
      </w:r>
      <w:proofErr w:type="spellEnd"/>
      <w:r>
        <w:t xml:space="preserve"> </w:t>
      </w:r>
      <w:r w:rsidRPr="00B56DB3">
        <w:t>Zhang</w:t>
      </w:r>
      <w:r>
        <w:t>)</w:t>
      </w:r>
    </w:p>
    <w:p w14:paraId="7C25BEA0" w14:textId="77777777" w:rsidR="00DA3B2B" w:rsidRDefault="00DA3B2B" w:rsidP="00DA3B2B">
      <w:pPr>
        <w:pStyle w:val="ListParagraph"/>
        <w:numPr>
          <w:ilvl w:val="1"/>
          <w:numId w:val="1"/>
        </w:numPr>
      </w:pPr>
      <w:r>
        <w:t xml:space="preserve">Input data in the ARM variational analysis </w:t>
      </w:r>
      <w:r>
        <w:t xml:space="preserve"> (</w:t>
      </w:r>
      <w:proofErr w:type="spellStart"/>
      <w:r>
        <w:t>Shaocheng</w:t>
      </w:r>
      <w:proofErr w:type="spellEnd"/>
      <w:r>
        <w:t xml:space="preserve"> </w:t>
      </w:r>
      <w:proofErr w:type="spellStart"/>
      <w:r>
        <w:t>Xie</w:t>
      </w:r>
      <w:proofErr w:type="spellEnd"/>
      <w:r>
        <w:t>)</w:t>
      </w:r>
    </w:p>
    <w:p w14:paraId="1295845F" w14:textId="1054BED5" w:rsidR="00DA3B2B" w:rsidRDefault="00DA3B2B" w:rsidP="00DA3B2B">
      <w:pPr>
        <w:pStyle w:val="ListParagraph"/>
        <w:numPr>
          <w:ilvl w:val="1"/>
          <w:numId w:val="1"/>
        </w:numPr>
      </w:pPr>
      <w:r>
        <w:t>Available ARM forcing datasets (</w:t>
      </w:r>
      <w:proofErr w:type="spellStart"/>
      <w:r>
        <w:t>Shaocheng</w:t>
      </w:r>
      <w:proofErr w:type="spellEnd"/>
      <w:r>
        <w:t xml:space="preserve"> </w:t>
      </w:r>
      <w:proofErr w:type="spellStart"/>
      <w:r>
        <w:t>Xie</w:t>
      </w:r>
      <w:proofErr w:type="spellEnd"/>
      <w:r>
        <w:t>)</w:t>
      </w:r>
    </w:p>
    <w:p w14:paraId="37D18B75" w14:textId="77777777" w:rsidR="00DA3B2B" w:rsidRDefault="00DA3B2B" w:rsidP="00DA3B2B">
      <w:pPr>
        <w:pStyle w:val="ListParagraph"/>
        <w:numPr>
          <w:ilvl w:val="1"/>
          <w:numId w:val="1"/>
        </w:numPr>
      </w:pPr>
      <w:r>
        <w:t xml:space="preserve">Application of ARM forcing data to understand and improve models  </w:t>
      </w:r>
      <w:r>
        <w:t>(</w:t>
      </w:r>
      <w:proofErr w:type="spellStart"/>
      <w:r>
        <w:t>Minghua</w:t>
      </w:r>
      <w:proofErr w:type="spellEnd"/>
      <w:r>
        <w:t xml:space="preserve"> </w:t>
      </w:r>
      <w:r w:rsidRPr="00B56DB3">
        <w:t>Zhang</w:t>
      </w:r>
      <w:r>
        <w:t>)</w:t>
      </w:r>
    </w:p>
    <w:p w14:paraId="1E29AAED" w14:textId="492543FC" w:rsidR="00DA3B2B" w:rsidRDefault="00DA3B2B" w:rsidP="00DA3B2B">
      <w:bookmarkStart w:id="0" w:name="_GoBack"/>
      <w:bookmarkEnd w:id="0"/>
      <w:r>
        <w:t xml:space="preserve"> </w:t>
      </w:r>
    </w:p>
    <w:p w14:paraId="3DB27D16" w14:textId="77777777" w:rsidR="00DA3B2B" w:rsidRDefault="00DA3B2B" w:rsidP="000C50B2">
      <w:pPr>
        <w:spacing w:before="100" w:beforeAutospacing="1" w:after="0" w:line="276" w:lineRule="auto"/>
        <w:ind w:right="-720"/>
        <w:rPr>
          <w:rFonts w:ascii="Times New Roman" w:hAnsi="Times New Roman"/>
          <w:szCs w:val="24"/>
        </w:rPr>
      </w:pPr>
    </w:p>
    <w:p w14:paraId="2EF82E6A" w14:textId="3A724B9E" w:rsidR="009A2DD6" w:rsidRPr="00F418EB" w:rsidRDefault="00F45D9F" w:rsidP="000C50B2">
      <w:pPr>
        <w:spacing w:before="100" w:beforeAutospacing="1" w:after="0" w:line="276" w:lineRule="auto"/>
        <w:ind w:right="-720"/>
        <w:rPr>
          <w:rFonts w:ascii="Times New Roman" w:hAnsi="Times New Roman"/>
          <w:szCs w:val="24"/>
        </w:rPr>
      </w:pPr>
      <w:r w:rsidRPr="00F418EB">
        <w:rPr>
          <w:rFonts w:ascii="Times New Roman" w:hAnsi="Times New Roman"/>
          <w:szCs w:val="24"/>
        </w:rPr>
        <w:t>1.</w:t>
      </w:r>
      <w:r w:rsidR="000A2B4D" w:rsidRPr="00F418EB">
        <w:rPr>
          <w:rFonts w:ascii="Times New Roman" w:hAnsi="Times New Roman"/>
          <w:szCs w:val="24"/>
        </w:rPr>
        <w:t>3</w:t>
      </w:r>
      <w:r w:rsidR="004F2D70" w:rsidRPr="00F418EB">
        <w:rPr>
          <w:rFonts w:ascii="Times New Roman" w:hAnsi="Times New Roman"/>
          <w:szCs w:val="24"/>
        </w:rPr>
        <w:t xml:space="preserve"> </w:t>
      </w:r>
      <w:r w:rsidR="000A2B4D" w:rsidRPr="00F418EB">
        <w:rPr>
          <w:rFonts w:ascii="Times New Roman" w:hAnsi="Times New Roman"/>
          <w:szCs w:val="24"/>
        </w:rPr>
        <w:t>Requirement on large scale forcing data</w:t>
      </w:r>
    </w:p>
    <w:p w14:paraId="6288702B" w14:textId="77777777" w:rsidR="00533FDD" w:rsidRPr="00F418EB" w:rsidRDefault="00533FDD" w:rsidP="000C50B2">
      <w:pPr>
        <w:spacing w:line="276" w:lineRule="auto"/>
        <w:ind w:right="-720" w:firstLine="720"/>
        <w:rPr>
          <w:rFonts w:ascii="Times New Roman" w:hAnsi="Times New Roman"/>
          <w:szCs w:val="24"/>
        </w:rPr>
      </w:pPr>
    </w:p>
    <w:p w14:paraId="16525242" w14:textId="27A835E1" w:rsidR="000C50B2" w:rsidRPr="00F418EB" w:rsidRDefault="00533FDD" w:rsidP="0055604F">
      <w:pPr>
        <w:spacing w:line="276" w:lineRule="auto"/>
        <w:ind w:right="-720"/>
        <w:rPr>
          <w:rFonts w:ascii="Times New Roman" w:hAnsi="Times New Roman" w:cs="Times New Roman"/>
          <w:szCs w:val="24"/>
        </w:rPr>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paper,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0C50B2">
      <w:pPr>
        <w:spacing w:line="276" w:lineRule="auto"/>
        <w:ind w:right="-720" w:firstLine="720"/>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3.8pt" o:ole="">
            <v:imagedata r:id="rId7" o:title=""/>
          </v:shape>
          <o:OLEObject Type="Embed" ProgID="Equation.3" ShapeID="_x0000_i1025" DrawAspect="Content" ObjectID="_1443786412"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0C50B2">
      <w:pPr>
        <w:spacing w:line="276" w:lineRule="auto"/>
        <w:ind w:right="-720" w:firstLine="720"/>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35pt;height:34.45pt" o:ole="">
            <v:imagedata r:id="rId9" o:title=""/>
          </v:shape>
          <o:OLEObject Type="Embed" ProgID="Equation.3" ShapeID="_x0000_i1026" DrawAspect="Content" ObjectID="_1443786413"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77777777" w:rsidR="0055604F" w:rsidRPr="00F418EB" w:rsidRDefault="000C50B2" w:rsidP="0059038C">
      <w:pPr>
        <w:spacing w:line="276" w:lineRule="auto"/>
        <w:ind w:right="-720"/>
        <w:rPr>
          <w:szCs w:val="24"/>
        </w:rPr>
      </w:pPr>
      <w:r w:rsidRPr="00F418EB">
        <w:rPr>
          <w:rFonts w:ascii="Times New Roman" w:hAnsi="Times New Roman" w:cs="Times New Roman"/>
          <w:szCs w:val="24"/>
        </w:rPr>
        <w:t>where 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denotes physical parameterizations; </w:t>
      </w:r>
      <w:r w:rsidRPr="00F418EB">
        <w:rPr>
          <w:rFonts w:ascii="Times New Roman" w:hAnsi="Times New Roman" w:cs="Times New Roman"/>
          <w:noProof/>
          <w:position w:val="-6"/>
          <w:szCs w:val="24"/>
          <w:lang w:eastAsia="zh-CN"/>
        </w:rPr>
        <w:drawing>
          <wp:inline distT="0" distB="0" distL="0" distR="0" wp14:anchorId="61E0970D" wp14:editId="000FC83C">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potential temperature and water vapor mixing ratio; other symbols are as commonly used.  In the vertical advection term of the above equations</w:t>
      </w:r>
      <w:r w:rsidR="00A44839" w:rsidRPr="00F418EB">
        <w:rPr>
          <w:rFonts w:ascii="Times New Roman" w:hAnsi="Times New Roman" w:cs="Times New Roman"/>
          <w:szCs w:val="24"/>
        </w:rPr>
        <w:t>, the</w:t>
      </w:r>
      <w:r w:rsidRPr="00F418EB">
        <w:rPr>
          <w:rFonts w:ascii="Times New Roman" w:hAnsi="Times New Roman" w:cs="Times New Roman"/>
          <w:szCs w:val="24"/>
        </w:rPr>
        <w:t xml:space="preserve"> simulated profiles of control variables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  Therefore, </w:t>
      </w:r>
      <w:r w:rsidR="0059038C" w:rsidRPr="00F418EB">
        <w:rPr>
          <w:rFonts w:ascii="Times New Roman" w:hAnsi="Times New Roman" w:cs="Times New Roman"/>
          <w:szCs w:val="24"/>
        </w:rPr>
        <w:t xml:space="preserve">the horizontal advective tendencies </w:t>
      </w:r>
      <w:r w:rsidR="0059038C" w:rsidRPr="00F418EB">
        <w:rPr>
          <w:position w:val="-12"/>
          <w:szCs w:val="24"/>
        </w:rPr>
        <w:object w:dxaOrig="1200" w:dyaOrig="400" w14:anchorId="2F25C795">
          <v:shape id="_x0000_i1027" type="#_x0000_t75" style="width:60.1pt;height:20.05pt" o:ole="">
            <v:imagedata r:id="rId12" o:title=""/>
          </v:shape>
          <o:OLEObject Type="Embed" ProgID="Equation.3" ShapeID="_x0000_i1027" DrawAspect="Content" ObjectID="_1443786414"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05pt;height:18.15pt" o:ole="">
            <v:imagedata r:id="rId14" o:title=""/>
          </v:shape>
          <o:OLEObject Type="Embed" ProgID="Equation.3" ShapeID="_x0000_i1028" DrawAspect="Content" ObjectID="_1443786415"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In another formulation, the observed profiles of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1pt;height:20.05pt" o:ole="">
            <v:imagedata r:id="rId12" o:title=""/>
          </v:shape>
          <o:OLEObject Type="Embed" ProgID="Equation.3" ShapeID="_x0000_i1029" DrawAspect="Content" ObjectID="_1443786416" r:id="rId16"/>
        </w:object>
      </w:r>
      <w:r w:rsidR="0055604F" w:rsidRPr="00F418EB">
        <w:rPr>
          <w:position w:val="-28"/>
          <w:szCs w:val="24"/>
        </w:rPr>
        <w:object w:dxaOrig="1180" w:dyaOrig="700" w14:anchorId="24075592">
          <v:shape id="_x0000_i1030" type="#_x0000_t75" style="width:58.85pt;height:35.05pt" o:ole="">
            <v:imagedata r:id="rId17" o:title=""/>
          </v:shape>
          <o:OLEObject Type="Embed" ProgID="Equation.3" ShapeID="_x0000_i1030" DrawAspect="Content" ObjectID="_1443786417" r:id="rId18"/>
        </w:object>
      </w:r>
      <w:r w:rsidR="0059038C" w:rsidRPr="00F418EB">
        <w:rPr>
          <w:szCs w:val="24"/>
        </w:rPr>
        <w:t xml:space="preserve"> is prescribed as the large-scale forcing.  </w:t>
      </w:r>
      <w:r w:rsidR="00A44839" w:rsidRPr="00F418EB">
        <w:rPr>
          <w:szCs w:val="24"/>
        </w:rPr>
        <w:t>Equations (1) and (2) retain some feedback</w:t>
      </w:r>
      <w:r w:rsidR="0059038C" w:rsidRPr="00F418EB">
        <w:rPr>
          <w:szCs w:val="24"/>
        </w:rPr>
        <w:t xml:space="preserve"> of the simulated fields to the forcing fields.  It is sometimes referred as “2-D” forcing, while the second formulation is referred as “3-D” forcing, in which there is no feedback between the simulated fields and the large-scale forcing.</w:t>
      </w:r>
      <w:r w:rsidR="00A44839" w:rsidRPr="00F418EB">
        <w:rPr>
          <w:szCs w:val="24"/>
        </w:rPr>
        <w:t xml:space="preserve">  </w:t>
      </w:r>
    </w:p>
    <w:p w14:paraId="1EB0A25A" w14:textId="630B8A5B" w:rsidR="0055604F" w:rsidRPr="00F418EB" w:rsidRDefault="00A44839" w:rsidP="0059038C">
      <w:pPr>
        <w:spacing w:line="276" w:lineRule="auto"/>
        <w:ind w:right="-720"/>
        <w:rPr>
          <w:szCs w:val="24"/>
        </w:rPr>
      </w:pPr>
      <w:r w:rsidRPr="00F418EB">
        <w:rPr>
          <w:szCs w:val="24"/>
        </w:rPr>
        <w:lastRenderedPageBreak/>
        <w:t xml:space="preserve">SCMs that use the “2-D” forcing </w:t>
      </w:r>
      <w:r w:rsidR="0055604F" w:rsidRPr="00F418EB">
        <w:rPr>
          <w:szCs w:val="24"/>
        </w:rPr>
        <w:t>are</w:t>
      </w:r>
      <w:r w:rsidRPr="00F418EB">
        <w:rPr>
          <w:szCs w:val="24"/>
        </w:rPr>
        <w:t xml:space="preserve"> numerically unstable if a central difference scheme is used in the vertical advection term and a forward difference scheme is used in time integration.  </w:t>
      </w:r>
      <w:r w:rsidR="002044F0" w:rsidRPr="00F418EB">
        <w:rPr>
          <w:szCs w:val="24"/>
        </w:rPr>
        <w:t>T</w:t>
      </w:r>
      <w:r w:rsidR="0055604F" w:rsidRPr="00F418EB">
        <w:rPr>
          <w:szCs w:val="24"/>
        </w:rPr>
        <w:t>he SCMs need to use either a central time difference scheme or upstream vertical difference scheme that also meets the CFL condition for integration in time.  An upstream vertical difference scheme provides an effective negative feedback to damp model bias</w:t>
      </w:r>
      <w:r w:rsidR="002044F0" w:rsidRPr="00F418EB">
        <w:rPr>
          <w:szCs w:val="24"/>
        </w:rPr>
        <w:t xml:space="preserve"> at a</w:t>
      </w:r>
      <w:r w:rsidR="0055604F" w:rsidRPr="00F418EB">
        <w:rPr>
          <w:szCs w:val="24"/>
        </w:rPr>
        <w:t>:</w:t>
      </w:r>
    </w:p>
    <w:p w14:paraId="6B932B2E" w14:textId="07A31467" w:rsidR="0059038C" w:rsidRPr="00F418EB" w:rsidRDefault="002044F0" w:rsidP="002044F0">
      <w:pPr>
        <w:spacing w:line="276" w:lineRule="auto"/>
        <w:ind w:right="-720"/>
        <w:jc w:val="center"/>
        <w:rPr>
          <w:szCs w:val="24"/>
        </w:rPr>
      </w:pPr>
      <w:r w:rsidRPr="00F418EB">
        <w:rPr>
          <w:position w:val="-28"/>
          <w:szCs w:val="24"/>
        </w:rPr>
        <w:object w:dxaOrig="3360" w:dyaOrig="660" w14:anchorId="7F3AF6B1">
          <v:shape id="_x0000_i1031" type="#_x0000_t75" style="width:167.8pt;height:33.2pt" o:ole="">
            <v:imagedata r:id="rId19" o:title=""/>
          </v:shape>
          <o:OLEObject Type="Embed" ProgID="Equation.3" ShapeID="_x0000_i1031" DrawAspect="Content" ObjectID="_1443786418" r:id="rId20"/>
        </w:object>
      </w:r>
      <w:r w:rsidRPr="00F418EB">
        <w:rPr>
          <w:szCs w:val="24"/>
        </w:rPr>
        <w:t>/(</w:t>
      </w:r>
      <w:r w:rsidRPr="00F418EB">
        <w:rPr>
          <w:position w:val="-14"/>
          <w:szCs w:val="24"/>
        </w:rPr>
        <w:object w:dxaOrig="1600" w:dyaOrig="380" w14:anchorId="7A637FDB">
          <v:shape id="_x0000_i1032" type="#_x0000_t75" style="width:80.15pt;height:18.8pt" o:ole="">
            <v:imagedata r:id="rId21" o:title=""/>
          </v:shape>
          <o:OLEObject Type="Embed" ProgID="Equation.3" ShapeID="_x0000_i1032" DrawAspect="Content" ObjectID="_1443786419" r:id="rId22"/>
        </w:object>
      </w:r>
    </w:p>
    <w:p w14:paraId="01D2015A" w14:textId="7CB1E833" w:rsidR="000C50B2" w:rsidRPr="00F418EB" w:rsidRDefault="002044F0" w:rsidP="000C50B2">
      <w:pPr>
        <w:spacing w:line="276" w:lineRule="auto"/>
        <w:ind w:right="-720"/>
        <w:rPr>
          <w:szCs w:val="24"/>
        </w:rPr>
      </w:pPr>
      <w:r w:rsidRPr="00F418EB">
        <w:rPr>
          <w:szCs w:val="24"/>
        </w:rPr>
        <w:t xml:space="preserve">Therefore the SCMs are less likely to drift too far from observations.  When high vertical resolution is used, the integration time step needs to be short.  SCMs that use the “3-D” forcing are not subject to numerical instability in the use of the forcing terms, but instability can arise in the physical parameterization terms, such as the term of subsidence warming from the Arakawa-Schubert type of convective parameterizations (Arakawa and Shubert 1974).  Because of the lack of feedbacks between model fields and the large-scale forcing, these SCMs are more likely to drift away from observations.  </w:t>
      </w:r>
    </w:p>
    <w:p w14:paraId="2198FF94" w14:textId="77777777" w:rsidR="00197173" w:rsidRPr="00F418EB" w:rsidRDefault="002044F0" w:rsidP="000C50B2">
      <w:pPr>
        <w:spacing w:line="276" w:lineRule="auto"/>
        <w:ind w:right="-720"/>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prescribed forcing fields </w:t>
      </w:r>
      <w:r w:rsidR="00D87B20" w:rsidRPr="00F418EB">
        <w:rPr>
          <w:rFonts w:ascii="Times New Roman" w:hAnsi="Times New Roman" w:cs="Times New Roman"/>
          <w:szCs w:val="24"/>
        </w:rPr>
        <w:t xml:space="preserve">can be also applied to Cloud Resolving Models (CRM) and to 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temperature and total liquid water </w:t>
      </w:r>
      <w:r w:rsidR="00F578A8" w:rsidRPr="00F418EB">
        <w:rPr>
          <w:rFonts w:ascii="Times New Roman" w:hAnsi="Times New Roman" w:cs="Times New Roman"/>
          <w:szCs w:val="24"/>
        </w:rPr>
        <w:t>(</w:t>
      </w:r>
      <w:proofErr w:type="spellStart"/>
      <w:r w:rsidR="00533FDD" w:rsidRPr="00F418EB">
        <w:rPr>
          <w:rFonts w:ascii="Times New Roman" w:hAnsi="Times New Roman" w:cs="Times New Roman"/>
          <w:i/>
          <w:szCs w:val="24"/>
        </w:rPr>
        <w:t>Siebesma</w:t>
      </w:r>
      <w:proofErr w:type="spellEnd"/>
      <w:r w:rsidR="00533FDD" w:rsidRPr="00F418EB">
        <w:rPr>
          <w:rFonts w:ascii="Times New Roman" w:hAnsi="Times New Roman" w:cs="Times New Roman"/>
          <w:i/>
          <w:szCs w:val="24"/>
        </w:rPr>
        <w:t xml:space="preserve"> et al</w:t>
      </w:r>
      <w:r w:rsidR="00533FDD" w:rsidRPr="00F418EB">
        <w:rPr>
          <w:rFonts w:ascii="Times New Roman" w:hAnsi="Times New Roman" w:cs="Times New Roman"/>
          <w:szCs w:val="24"/>
        </w:rPr>
        <w:t xml:space="preserve">. 2004; </w:t>
      </w:r>
      <w:r w:rsidR="00533FDD" w:rsidRPr="00F418EB">
        <w:rPr>
          <w:rFonts w:ascii="Times New Roman" w:hAnsi="Times New Roman" w:cs="Times New Roman"/>
          <w:i/>
          <w:szCs w:val="24"/>
        </w:rPr>
        <w:t>Stevens et al.</w:t>
      </w:r>
      <w:r w:rsidR="00533FDD" w:rsidRPr="00F418EB">
        <w:rPr>
          <w:rFonts w:ascii="Times New Roman" w:hAnsi="Times New Roman" w:cs="Times New Roman"/>
          <w:szCs w:val="24"/>
        </w:rPr>
        <w:t xml:space="preserve"> 2005</w:t>
      </w:r>
      <w:r w:rsidR="00F578A8" w:rsidRPr="00F418EB">
        <w:rPr>
          <w:rFonts w:ascii="Times New Roman" w:hAnsi="Times New Roman" w:cs="Times New Roman"/>
          <w:szCs w:val="24"/>
        </w:rPr>
        <w:t>)</w:t>
      </w:r>
      <w:r w:rsidR="009937B2" w:rsidRPr="00F418EB">
        <w:rPr>
          <w:rFonts w:ascii="Times New Roman" w:hAnsi="Times New Roman" w:cs="Times New Roman"/>
          <w:szCs w:val="24"/>
        </w:rPr>
        <w:t xml:space="preserve">, at each horizontal and vertical grids.  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each of these grids, with the model fields </w:t>
      </w:r>
      <w:r w:rsidR="009937B2" w:rsidRPr="00F418EB">
        <w:rPr>
          <w:position w:val="-10"/>
          <w:szCs w:val="24"/>
        </w:rPr>
        <w:object w:dxaOrig="180" w:dyaOrig="340" w14:anchorId="6EDF9B72">
          <v:shape id="_x0000_i1033" type="#_x0000_t75" style="width:8.75pt;height:16.9pt" o:ole="">
            <v:imagedata r:id="rId23" o:title=""/>
          </v:shape>
          <o:OLEObject Type="Embed" ProgID="Equation.3" ShapeID="_x0000_i1033" DrawAspect="Content" ObjectID="_1443786420" r:id="rId24"/>
        </w:object>
      </w:r>
      <w:r w:rsidR="009937B2" w:rsidRPr="00F418EB">
        <w:rPr>
          <w:rFonts w:ascii="Times New Roman" w:hAnsi="Times New Roman" w:cs="Times New Roman"/>
          <w:szCs w:val="24"/>
        </w:rPr>
        <w:t xml:space="preserve"> </w:t>
      </w:r>
      <w:r w:rsidR="009937B2" w:rsidRPr="00F418EB">
        <w:rPr>
          <w:position w:val="-12"/>
          <w:szCs w:val="24"/>
        </w:rPr>
        <w:object w:dxaOrig="300" w:dyaOrig="360" w14:anchorId="1699A95B">
          <v:shape id="_x0000_i1034" type="#_x0000_t75" style="width:15.05pt;height:18.15pt" o:ole="">
            <v:imagedata r:id="rId25" o:title=""/>
          </v:shape>
          <o:OLEObject Type="Embed" ProgID="Equation.3" ShapeID="_x0000_i1034" DrawAspect="Content" ObjectID="_1443786421" r:id="rId26"/>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5" type="#_x0000_t75" style="width:15.05pt;height:18.15pt" o:ole="">
            <v:imagedata r:id="rId27" o:title=""/>
          </v:shape>
          <o:OLEObject Type="Embed" ProgID="Equation.3" ShapeID="_x0000_i1035" DrawAspect="Content" ObjectID="_1443786422" r:id="rId28"/>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0772650" w14:textId="2B98099C" w:rsidR="00586FE8" w:rsidRPr="00F418EB" w:rsidRDefault="00197173" w:rsidP="000C50B2">
      <w:pPr>
        <w:spacing w:line="276" w:lineRule="auto"/>
        <w:ind w:right="-720"/>
        <w:rPr>
          <w:rFonts w:ascii="Times New Roman" w:hAnsi="Times New Roman" w:cs="Times New Roman"/>
          <w:szCs w:val="24"/>
        </w:rPr>
      </w:pPr>
      <w:r w:rsidRPr="00F418EB">
        <w:rPr>
          <w:rFonts w:ascii="Times New Roman" w:hAnsi="Times New Roman" w:cs="Times New Roman"/>
          <w:szCs w:val="24"/>
        </w:rPr>
        <w:t xml:space="preserve">Clouds, radiation, and precipitation are products of the physical parameterization terms.  With the </w:t>
      </w:r>
      <w:r w:rsidR="00586FE8" w:rsidRPr="00F418EB">
        <w:rPr>
          <w:rFonts w:ascii="Times New Roman" w:hAnsi="Times New Roman" w:cs="Times New Roman"/>
          <w:szCs w:val="24"/>
        </w:rPr>
        <w:t xml:space="preserve">use of the </w:t>
      </w:r>
      <w:r w:rsidRPr="00F418EB">
        <w:rPr>
          <w:rFonts w:ascii="Times New Roman" w:hAnsi="Times New Roman" w:cs="Times New Roman"/>
          <w:szCs w:val="24"/>
        </w:rPr>
        <w:t xml:space="preserve">large-scale forcing, SCMs become a convenient tool to </w:t>
      </w:r>
      <w:r w:rsidR="00586FE8" w:rsidRPr="00F418EB">
        <w:rPr>
          <w:rFonts w:ascii="Times New Roman" w:hAnsi="Times New Roman" w:cs="Times New Roman"/>
          <w:szCs w:val="24"/>
        </w:rPr>
        <w:t xml:space="preserve">understand and evaluate how the physical parameterizations behave.  They also enable better comparison of model results with observations since the prescribed large-scale dynamics allow the physics biases to be isolated from biases in the dynamics.  </w:t>
      </w:r>
    </w:p>
    <w:p w14:paraId="25580E5E" w14:textId="48251CA0" w:rsidR="00F16B93" w:rsidRPr="00F418EB" w:rsidRDefault="00197173" w:rsidP="000C50B2">
      <w:pPr>
        <w:spacing w:line="276" w:lineRule="auto"/>
        <w:ind w:right="-720"/>
        <w:rPr>
          <w:rFonts w:ascii="Times New Roman" w:hAnsi="Times New Roman" w:cs="Times New Roman"/>
          <w:szCs w:val="24"/>
        </w:rPr>
      </w:pPr>
      <w:r w:rsidRPr="00F418EB">
        <w:rPr>
          <w:rFonts w:ascii="Times New Roman" w:hAnsi="Times New Roman" w:cs="Times New Roman"/>
          <w:szCs w:val="24"/>
        </w:rPr>
        <w:t xml:space="preserve">The horizontal advection and the vertical velocity are required to specify the forcing data of SCMs in Equations (1)-(2). The horizontal advective in turn requires the calculation of the spatial gradient of temperature and water vapor. </w:t>
      </w:r>
      <w:r w:rsidR="00586FE8" w:rsidRPr="00F418EB">
        <w:rPr>
          <w:rFonts w:ascii="Times New Roman" w:hAnsi="Times New Roman" w:cs="Times New Roman"/>
          <w:szCs w:val="24"/>
        </w:rPr>
        <w:t>T</w:t>
      </w:r>
      <w:r w:rsidRPr="00F418EB">
        <w:rPr>
          <w:rFonts w:ascii="Times New Roman" w:hAnsi="Times New Roman" w:cs="Times New Roman"/>
          <w:szCs w:val="24"/>
        </w:rPr>
        <w:t>heir derivation</w:t>
      </w:r>
      <w:r w:rsidR="00586FE8" w:rsidRPr="00F418EB">
        <w:rPr>
          <w:rFonts w:ascii="Times New Roman" w:hAnsi="Times New Roman" w:cs="Times New Roman"/>
          <w:szCs w:val="24"/>
        </w:rPr>
        <w:t>s</w:t>
      </w:r>
      <w:r w:rsidRPr="00F418EB">
        <w:rPr>
          <w:rFonts w:ascii="Times New Roman" w:hAnsi="Times New Roman" w:cs="Times New Roman"/>
          <w:szCs w:val="24"/>
        </w:rPr>
        <w:t xml:space="preserve"> from field measurements </w:t>
      </w:r>
      <w:r w:rsidR="00586FE8" w:rsidRPr="00F418EB">
        <w:rPr>
          <w:rFonts w:ascii="Times New Roman" w:hAnsi="Times New Roman" w:cs="Times New Roman"/>
          <w:szCs w:val="24"/>
        </w:rPr>
        <w:t>however are</w:t>
      </w:r>
      <w:r w:rsidRPr="00F418EB">
        <w:rPr>
          <w:rFonts w:ascii="Times New Roman" w:hAnsi="Times New Roman" w:cs="Times New Roman"/>
          <w:szCs w:val="24"/>
        </w:rPr>
        <w:t xml:space="preserve"> subject to large errors.  These errors may induce compensating to amplified errors in the p</w:t>
      </w:r>
      <w:r w:rsidR="00363C5C" w:rsidRPr="00F418EB">
        <w:rPr>
          <w:rFonts w:ascii="Times New Roman" w:hAnsi="Times New Roman" w:cs="Times New Roman"/>
          <w:szCs w:val="24"/>
        </w:rPr>
        <w:t>hysical parameterization terms.  Errors in the forcing data originate from two sources. One is the instrument and measurement errors. The second is errors from scale aliasing, or sampling errors.  Both depend on scales because horizontal derivatives are involved. The smaller the scale is, the larger the errors.</w:t>
      </w:r>
    </w:p>
    <w:p w14:paraId="266560D1" w14:textId="4BB5D6FF" w:rsidR="00363C5C" w:rsidRPr="00F418EB" w:rsidRDefault="00363C5C" w:rsidP="000C50B2">
      <w:pPr>
        <w:spacing w:line="276" w:lineRule="auto"/>
        <w:ind w:right="-720"/>
        <w:rPr>
          <w:rFonts w:ascii="Times New Roman" w:hAnsi="Times New Roman" w:cs="Times New Roman"/>
          <w:szCs w:val="24"/>
        </w:rPr>
      </w:pPr>
      <w:r w:rsidRPr="00F418EB">
        <w:rPr>
          <w:rFonts w:ascii="Times New Roman" w:hAnsi="Times New Roman" w:cs="Times New Roman"/>
          <w:szCs w:val="24"/>
        </w:rPr>
        <w:lastRenderedPageBreak/>
        <w:t xml:space="preserve">If the accuracy requirement of the physical parameterization terms in Equations (1) and (2)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6" type="#_x0000_t75" style="width:18.8pt;height:13.75pt" o:ole="">
            <v:imagedata r:id="rId29" o:title=""/>
          </v:shape>
          <o:OLEObject Type="Embed" ProgID="Equation.3" ShapeID="_x0000_i1036" DrawAspect="Content" ObjectID="_1443786423" r:id="rId30"/>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7" type="#_x0000_t75" style="width:16.9pt;height:16.3pt" o:ole="">
            <v:imagedata r:id="rId31" o:title=""/>
          </v:shape>
          <o:OLEObject Type="Embed" ProgID="Equation.3" ShapeID="_x0000_i1037" DrawAspect="Content" ObjectID="_1443786424" r:id="rId32"/>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8" type="#_x0000_t75" style="width:16.9pt;height:13.75pt" o:ole="">
            <v:imagedata r:id="rId33" o:title=""/>
          </v:shape>
          <o:OLEObject Type="Embed" ProgID="Equation.3" ShapeID="_x0000_i1038" DrawAspect="Content" ObjectID="_1443786425" r:id="rId34"/>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301A0B">
      <w:pPr>
        <w:spacing w:line="276" w:lineRule="auto"/>
        <w:ind w:right="-720" w:firstLine="720"/>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43" type="#_x0000_t75" style="width:279.85pt;height:35.05pt" o:ole="">
            <v:imagedata r:id="rId35" o:title=""/>
          </v:shape>
          <o:OLEObject Type="Embed" ProgID="Equation.3" ShapeID="_x0000_i1043" DrawAspect="Content" ObjectID="_1443786426" r:id="rId36"/>
        </w:object>
      </w:r>
    </w:p>
    <w:p w14:paraId="40A10338" w14:textId="77777777" w:rsidR="008C05E0" w:rsidRPr="00F418EB" w:rsidRDefault="003A7218" w:rsidP="00301A0B">
      <w:pPr>
        <w:spacing w:line="276" w:lineRule="auto"/>
        <w:ind w:right="-720" w:firstLine="720"/>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44" type="#_x0000_t75" style="width:310.55pt;height:35.05pt" o:ole="">
            <v:imagedata r:id="rId37" o:title=""/>
          </v:shape>
          <o:OLEObject Type="Embed" ProgID="Equation.3" ShapeID="_x0000_i1044" DrawAspect="Content" ObjectID="_1443786427" r:id="rId38"/>
        </w:object>
      </w:r>
    </w:p>
    <w:p w14:paraId="3E2BF235" w14:textId="37BAFC0E" w:rsidR="00F16B93" w:rsidRPr="00F418EB" w:rsidRDefault="00301A0B" w:rsidP="000C50B2">
      <w:pPr>
        <w:spacing w:line="276" w:lineRule="auto"/>
        <w:ind w:right="-720"/>
        <w:rPr>
          <w:szCs w:val="24"/>
        </w:rPr>
      </w:pPr>
      <w:r w:rsidRPr="00F418EB">
        <w:rPr>
          <w:rFonts w:ascii="Times New Roman" w:hAnsi="Times New Roman" w:cs="Times New Roman"/>
          <w:szCs w:val="24"/>
        </w:rPr>
        <w:t>Given |</w:t>
      </w:r>
      <w:r w:rsidRPr="00F418EB">
        <w:rPr>
          <w:position w:val="-12"/>
          <w:szCs w:val="24"/>
        </w:rPr>
        <w:object w:dxaOrig="1579" w:dyaOrig="360" w14:anchorId="14309002">
          <v:shape id="_x0000_i1039" type="#_x0000_t75" style="width:78.9pt;height:18.15pt" o:ole="">
            <v:imagedata r:id="rId39" o:title=""/>
          </v:shape>
          <o:OLEObject Type="Embed" ProgID="Equation.3" ShapeID="_x0000_i1039" DrawAspect="Content" ObjectID="_1443786428" r:id="rId40"/>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514FF0">
      <w:pPr>
        <w:tabs>
          <w:tab w:val="left" w:pos="7200"/>
        </w:tabs>
        <w:spacing w:line="276" w:lineRule="auto"/>
        <w:ind w:right="-720" w:firstLine="720"/>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5" type="#_x0000_t75" style="width:91.4pt;height:17.55pt" o:ole="">
            <v:imagedata r:id="rId41" o:title=""/>
          </v:shape>
          <o:OLEObject Type="Embed" ProgID="Equation.3" ShapeID="_x0000_i1045" DrawAspect="Content" ObjectID="_1443786429" r:id="rId42"/>
        </w:object>
      </w:r>
      <w:r w:rsidR="00514FF0" w:rsidRPr="00F418EB">
        <w:rPr>
          <w:rFonts w:ascii="Times New Roman" w:hAnsi="Times New Roman" w:cs="Times New Roman"/>
          <w:szCs w:val="24"/>
        </w:rPr>
        <w:tab/>
        <w:t>(3)</w:t>
      </w:r>
    </w:p>
    <w:p w14:paraId="5D50E4B2" w14:textId="3D7963B2" w:rsidR="00D74205" w:rsidRPr="00F418EB" w:rsidRDefault="003A7218" w:rsidP="00514FF0">
      <w:pPr>
        <w:tabs>
          <w:tab w:val="left" w:pos="7200"/>
        </w:tabs>
        <w:spacing w:line="276" w:lineRule="auto"/>
        <w:ind w:right="-720" w:firstLine="720"/>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46" type="#_x0000_t75" style="width:107.05pt;height:17.55pt" o:ole="">
            <v:imagedata r:id="rId43" o:title=""/>
          </v:shape>
          <o:OLEObject Type="Embed" ProgID="Equation.3" ShapeID="_x0000_i1046" DrawAspect="Content" ObjectID="_1443786430" r:id="rId44"/>
        </w:object>
      </w:r>
      <w:r w:rsidR="00514FF0" w:rsidRPr="00F418EB">
        <w:rPr>
          <w:rFonts w:ascii="Times New Roman" w:hAnsi="Times New Roman" w:cs="Times New Roman"/>
          <w:szCs w:val="24"/>
        </w:rPr>
        <w:tab/>
        <w:t>(4)</w:t>
      </w:r>
    </w:p>
    <w:p w14:paraId="62DC9199" w14:textId="789D7C03" w:rsidR="00E34F63" w:rsidRPr="00F418EB" w:rsidRDefault="00E34F63" w:rsidP="00E34F63">
      <w:pPr>
        <w:spacing w:line="276" w:lineRule="auto"/>
        <w:ind w:right="-720"/>
        <w:rPr>
          <w:rFonts w:ascii="Times New Roman" w:hAnsi="Times New Roman" w:cs="Times New Roman"/>
          <w:szCs w:val="24"/>
        </w:rPr>
      </w:pPr>
      <w:r w:rsidRPr="00F418EB">
        <w:rPr>
          <w:rFonts w:ascii="Times New Roman" w:hAnsi="Times New Roman" w:cs="Times New Roman"/>
          <w:szCs w:val="24"/>
        </w:rPr>
        <w:t>R</w:t>
      </w:r>
      <w:r w:rsidRPr="00F418EB">
        <w:rPr>
          <w:rFonts w:ascii="Times New Roman" w:hAnsi="Times New Roman" w:cs="Times New Roman"/>
          <w:szCs w:val="24"/>
        </w:rPr>
        <w:t xml:space="preserve">equirement on the </w:t>
      </w:r>
      <w:r w:rsidRPr="00F418EB">
        <w:rPr>
          <w:rFonts w:ascii="Times New Roman" w:hAnsi="Times New Roman" w:cs="Times New Roman"/>
          <w:szCs w:val="24"/>
        </w:rPr>
        <w:t xml:space="preserve">pressure vertical velocity </w:t>
      </w:r>
      <w:r w:rsidR="00390A6B" w:rsidRPr="00F418EB">
        <w:rPr>
          <w:rFonts w:ascii="Times New Roman" w:hAnsi="Times New Roman" w:cs="Times New Roman"/>
          <w:szCs w:val="24"/>
        </w:rPr>
        <w:t xml:space="preserve">error </w:t>
      </w:r>
      <w:r w:rsidRPr="00F418EB">
        <w:rPr>
          <w:rFonts w:ascii="Times New Roman" w:hAnsi="Times New Roman" w:cs="Times New Roman"/>
          <w:szCs w:val="24"/>
        </w:rPr>
        <w:t>is:</w:t>
      </w:r>
      <w:r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5C7B8F31" w14:textId="3D2A6C81" w:rsidR="00E34F63" w:rsidRPr="00F418EB" w:rsidRDefault="003A7218" w:rsidP="00E34F63">
      <w:pPr>
        <w:spacing w:line="276" w:lineRule="auto"/>
        <w:ind w:right="-720" w:firstLine="720"/>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7" type="#_x0000_t75" style="width:331.85pt;height:35.05pt" o:ole="">
            <v:imagedata r:id="rId45" o:title=""/>
          </v:shape>
          <o:OLEObject Type="Embed" ProgID="Equation.3" ShapeID="_x0000_i1047" DrawAspect="Content" ObjectID="_1443786431" r:id="rId46"/>
        </w:object>
      </w:r>
      <w:r w:rsidR="00514FF0" w:rsidRPr="00F418EB">
        <w:rPr>
          <w:rFonts w:ascii="Times New Roman" w:hAnsi="Times New Roman" w:cs="Times New Roman"/>
          <w:szCs w:val="24"/>
        </w:rPr>
        <w:t xml:space="preserve"> </w:t>
      </w:r>
    </w:p>
    <w:p w14:paraId="098C91BC" w14:textId="4654E483" w:rsidR="00390A6B" w:rsidRPr="00F418EB" w:rsidRDefault="003A7218" w:rsidP="00390A6B">
      <w:pPr>
        <w:spacing w:line="276" w:lineRule="auto"/>
        <w:ind w:right="-720" w:firstLine="720"/>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8" type="#_x0000_t75" style="width:350.6pt;height:33.8pt" o:ole="">
            <v:imagedata r:id="rId47" o:title=""/>
          </v:shape>
          <o:OLEObject Type="Embed" ProgID="Equation.3" ShapeID="_x0000_i1048" DrawAspect="Content" ObjectID="_1443786432" r:id="rId48"/>
        </w:object>
      </w:r>
      <w:r w:rsidR="00B22EDF" w:rsidRPr="00F418EB">
        <w:rPr>
          <w:rFonts w:ascii="Times New Roman" w:hAnsi="Times New Roman" w:cs="Times New Roman"/>
          <w:szCs w:val="24"/>
        </w:rPr>
        <w:t>.</w:t>
      </w:r>
    </w:p>
    <w:p w14:paraId="2DA44A77" w14:textId="1572E999" w:rsidR="00B22EDF" w:rsidRPr="00F418EB" w:rsidRDefault="00514FF0" w:rsidP="00B22EDF">
      <w:pPr>
        <w:spacing w:line="276" w:lineRule="auto"/>
        <w:ind w:right="-720"/>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 xml:space="preserve">equirement on the </w:t>
      </w:r>
      <w:r w:rsidR="00B22EDF" w:rsidRPr="00F418EB">
        <w:rPr>
          <w:rFonts w:ascii="Times New Roman" w:hAnsi="Times New Roman" w:cs="Times New Roman"/>
          <w:szCs w:val="24"/>
        </w:rPr>
        <w:t>difference of horizontal winds across the domain is:</w:t>
      </w:r>
    </w:p>
    <w:p w14:paraId="353CBFBE" w14:textId="08DEA645" w:rsidR="00B22EDF" w:rsidRPr="00F418EB" w:rsidRDefault="00514FF0" w:rsidP="00B22EDF">
      <w:pPr>
        <w:spacing w:line="276" w:lineRule="auto"/>
        <w:ind w:right="-720" w:firstLine="720"/>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40" type="#_x0000_t75" style="width:48.2pt;height:33.8pt" o:ole="">
            <v:imagedata r:id="rId49" o:title=""/>
          </v:shape>
          <o:OLEObject Type="Embed" ProgID="Equation.3" ShapeID="_x0000_i1040" DrawAspect="Content" ObjectID="_1443786433" r:id="rId50"/>
        </w:object>
      </w:r>
      <w:r w:rsidRPr="00F418EB">
        <w:rPr>
          <w:rFonts w:ascii="Times New Roman" w:hAnsi="Times New Roman" w:cs="Times New Roman"/>
          <w:szCs w:val="24"/>
        </w:rPr>
        <w:t>.</w:t>
      </w:r>
    </w:p>
    <w:p w14:paraId="747851BE" w14:textId="2C2FD68C" w:rsidR="00514FF0" w:rsidRPr="00F418EB" w:rsidRDefault="00514FF0" w:rsidP="00514FF0">
      <w:pPr>
        <w:spacing w:line="276" w:lineRule="auto"/>
        <w:ind w:right="-720"/>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Pr="00F418EB">
        <w:rPr>
          <w:rFonts w:ascii="Times New Roman" w:hAnsi="Times New Roman" w:cs="Times New Roman"/>
          <w:szCs w:val="24"/>
        </w:rPr>
        <w:t>mb</w:t>
      </w:r>
      <w:proofErr w:type="spellEnd"/>
      <w:r w:rsidRPr="00F418EB">
        <w:rPr>
          <w:rFonts w:ascii="Times New Roman" w:hAnsi="Times New Roman" w:cs="Times New Roman"/>
          <w:szCs w:val="24"/>
        </w:rPr>
        <w:t xml:space="preserve">, we get </w:t>
      </w:r>
    </w:p>
    <w:p w14:paraId="4766C410" w14:textId="0705594F" w:rsidR="00514FF0" w:rsidRPr="00F418EB" w:rsidRDefault="003A7218" w:rsidP="00514FF0">
      <w:pPr>
        <w:tabs>
          <w:tab w:val="left" w:pos="7200"/>
        </w:tabs>
        <w:spacing w:line="276" w:lineRule="auto"/>
        <w:ind w:right="-720" w:firstLine="720"/>
        <w:rPr>
          <w:rFonts w:ascii="Times New Roman" w:hAnsi="Times New Roman" w:cs="Times New Roman"/>
          <w:szCs w:val="24"/>
        </w:rPr>
      </w:pPr>
      <w:r w:rsidRPr="00F418EB">
        <w:rPr>
          <w:rFonts w:ascii="Times New Roman" w:hAnsi="Times New Roman" w:cs="Times New Roman"/>
          <w:position w:val="-10"/>
          <w:szCs w:val="24"/>
        </w:rPr>
        <w:object w:dxaOrig="1400" w:dyaOrig="340" w14:anchorId="4C7C6245">
          <v:shape id="_x0000_i1041" type="#_x0000_t75" style="width:70.1pt;height:17.55pt" o:ole="">
            <v:imagedata r:id="rId51" o:title=""/>
          </v:shape>
          <o:OLEObject Type="Embed" ProgID="Equation.3" ShapeID="_x0000_i1041" DrawAspect="Content" ObjectID="_1443786434" r:id="rId52"/>
        </w:object>
      </w:r>
      <w:r w:rsidRPr="00F418EB">
        <w:rPr>
          <w:rFonts w:ascii="Times New Roman" w:hAnsi="Times New Roman" w:cs="Times New Roman"/>
          <w:szCs w:val="24"/>
        </w:rPr>
        <w:t xml:space="preserve"> </w:t>
      </w:r>
      <w:r w:rsidRPr="00F418EB">
        <w:rPr>
          <w:position w:val="-10"/>
          <w:szCs w:val="24"/>
        </w:rPr>
        <w:object w:dxaOrig="660" w:dyaOrig="320" w14:anchorId="2E0B6A9A">
          <v:shape id="_x0000_i1042" type="#_x0000_t75" style="width:33.2pt;height:16.3pt" o:ole="">
            <v:imagedata r:id="rId53" o:title=""/>
          </v:shape>
          <o:OLEObject Type="Embed" ProgID="Equation.3" ShapeID="_x0000_i1042" DrawAspect="Content" ObjectID="_1443786435" r:id="rId54"/>
        </w:object>
      </w:r>
      <w:r w:rsidR="00514FF0" w:rsidRPr="00F418EB">
        <w:rPr>
          <w:rFonts w:ascii="Times New Roman" w:hAnsi="Times New Roman" w:cs="Times New Roman"/>
          <w:szCs w:val="24"/>
        </w:rPr>
        <w:tab/>
        <w:t>(5)</w:t>
      </w:r>
    </w:p>
    <w:p w14:paraId="09C5F7F8" w14:textId="40A63D0B" w:rsidR="00514FF0" w:rsidRPr="00F418EB" w:rsidRDefault="003A7218" w:rsidP="00514FF0">
      <w:pPr>
        <w:spacing w:line="276" w:lineRule="auto"/>
        <w:ind w:right="-720"/>
        <w:rPr>
          <w:rFonts w:ascii="Times New Roman" w:hAnsi="Times New Roman" w:cs="Times New Roman"/>
          <w:szCs w:val="24"/>
        </w:rPr>
      </w:pPr>
      <w:r w:rsidRPr="00F418EB">
        <w:rPr>
          <w:rFonts w:ascii="Times New Roman" w:hAnsi="Times New Roman" w:cs="Times New Roman"/>
          <w:szCs w:val="24"/>
        </w:rPr>
        <w:t xml:space="preserve">The error bounds of the spatial differences in Equations (3)-(5), corresponding to accuracy requirement of </w:t>
      </w:r>
      <w:r w:rsidRPr="00F418EB">
        <w:rPr>
          <w:rFonts w:ascii="Times New Roman" w:hAnsi="Times New Roman" w:cs="Times New Roman"/>
          <w:szCs w:val="24"/>
        </w:rPr>
        <w:t>1 (K/day) and 1 (g/kg/day)</w:t>
      </w:r>
      <w:r w:rsidRPr="00F418EB">
        <w:rPr>
          <w:rFonts w:ascii="Times New Roman" w:hAnsi="Times New Roman" w:cs="Times New Roman"/>
          <w:szCs w:val="24"/>
        </w:rPr>
        <w:t xml:space="preserve"> in the forcing data, </w:t>
      </w:r>
      <w:r w:rsidR="00BD1CE6" w:rsidRPr="00F418EB">
        <w:rPr>
          <w:rFonts w:ascii="Times New Roman" w:hAnsi="Times New Roman" w:cs="Times New Roman"/>
          <w:szCs w:val="24"/>
        </w:rPr>
        <w:t xml:space="preserve">need to be scaled proportionally if the horizontal scale is different from 200 km. When the scale is smaller, the bounds are smaller.  These magnitudes are close to absolute instrument errors (Zhang and Lin 1996), but since they are relative errors, the systematic instrument errors are removed if the same equipment is used across the domain, while the random errors can be suppressed by averaging over vertical levels. The more problematic errors are those caused by scale aliasing or sampling bias.  These errors are often handled by using statistical approaches. In ARM, they are additional dealt with by using known physical constraints. </w:t>
      </w:r>
    </w:p>
    <w:p w14:paraId="67459BEF" w14:textId="51CA1A52" w:rsidR="000A2B4D" w:rsidRPr="00F418EB" w:rsidRDefault="000A2B4D" w:rsidP="000C50B2">
      <w:pPr>
        <w:spacing w:before="100" w:beforeAutospacing="1" w:after="0" w:line="276" w:lineRule="auto"/>
        <w:ind w:right="-720"/>
        <w:rPr>
          <w:rFonts w:ascii="Times New Roman" w:hAnsi="Times New Roman"/>
          <w:szCs w:val="24"/>
        </w:rPr>
      </w:pPr>
      <w:r w:rsidRPr="00F418EB">
        <w:rPr>
          <w:rFonts w:ascii="Times New Roman" w:hAnsi="Times New Roman"/>
          <w:szCs w:val="24"/>
        </w:rPr>
        <w:lastRenderedPageBreak/>
        <w:t>1.4 Forcing data from field experiments prior to ARM</w:t>
      </w:r>
    </w:p>
    <w:p w14:paraId="2136852A" w14:textId="77777777" w:rsidR="00B65ECD" w:rsidRPr="00F418EB" w:rsidRDefault="00B65ECD" w:rsidP="005C0242">
      <w:pPr>
        <w:autoSpaceDE w:val="0"/>
        <w:autoSpaceDN w:val="0"/>
        <w:adjustRightInd w:val="0"/>
        <w:spacing w:after="0"/>
        <w:rPr>
          <w:rFonts w:ascii="Times New Roman" w:hAnsi="Times New Roman" w:cs="Times New Roman"/>
          <w:szCs w:val="24"/>
        </w:rPr>
      </w:pPr>
    </w:p>
    <w:p w14:paraId="2E21EB7C" w14:textId="4AAD0FBB" w:rsidR="000E2E41" w:rsidRPr="00F418EB" w:rsidRDefault="00AE1031" w:rsidP="005C0242">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In the objective analysis of field experimental data of a sounding array, s</w:t>
      </w:r>
      <w:r w:rsidR="00B65ECD" w:rsidRPr="00F418EB">
        <w:rPr>
          <w:rFonts w:ascii="Times New Roman" w:hAnsi="Times New Roman" w:cs="Times New Roman"/>
          <w:szCs w:val="24"/>
        </w:rPr>
        <w:t xml:space="preserve">ince the large-scale vertical velocity is </w:t>
      </w:r>
      <w:r w:rsidRPr="00F418EB">
        <w:rPr>
          <w:rFonts w:ascii="Times New Roman" w:hAnsi="Times New Roman" w:cs="Times New Roman"/>
          <w:szCs w:val="24"/>
        </w:rPr>
        <w:t xml:space="preserve">always </w:t>
      </w:r>
      <w:r w:rsidR="00B65ECD" w:rsidRPr="00F418EB">
        <w:rPr>
          <w:rFonts w:ascii="Times New Roman" w:hAnsi="Times New Roman" w:cs="Times New Roman"/>
          <w:szCs w:val="24"/>
        </w:rPr>
        <w:t>calculated from the mass continuity equation by vertically integrating the horizontal divergence of winds, both the horizontal advective tendencies and the vertical velocity in the large-scale forcing in Equations (1)-(2)</w:t>
      </w:r>
      <w:r w:rsidR="000E2E41" w:rsidRPr="00F418EB">
        <w:rPr>
          <w:rFonts w:ascii="Times New Roman" w:hAnsi="Times New Roman" w:cs="Times New Roman"/>
          <w:szCs w:val="24"/>
        </w:rPr>
        <w:t xml:space="preserve">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 To do the finite differencing, the data need to be regularly spaced. Since </w:t>
      </w:r>
      <w:r w:rsidRPr="00F418EB">
        <w:rPr>
          <w:rFonts w:ascii="Times New Roman" w:hAnsi="Times New Roman" w:cs="Times New Roman"/>
          <w:szCs w:val="24"/>
        </w:rPr>
        <w:t>the balloon sounding arrays are never</w:t>
      </w:r>
      <w:r w:rsidR="000E2E41" w:rsidRPr="00F418EB">
        <w:rPr>
          <w:rFonts w:ascii="Times New Roman" w:hAnsi="Times New Roman" w:cs="Times New Roman"/>
          <w:szCs w:val="24"/>
        </w:rPr>
        <w:t xml:space="preserve"> regularly spaced, interpolation or extrapolation </w:t>
      </w:r>
      <w:r w:rsidRPr="00F418EB">
        <w:rPr>
          <w:rFonts w:ascii="Times New Roman" w:hAnsi="Times New Roman" w:cs="Times New Roman"/>
          <w:szCs w:val="24"/>
        </w:rPr>
        <w:t>is needed to pre</w:t>
      </w:r>
      <w:r w:rsidR="000E2E41" w:rsidRPr="00F418EB">
        <w:rPr>
          <w:rFonts w:ascii="Times New Roman" w:hAnsi="Times New Roman" w:cs="Times New Roman"/>
          <w:szCs w:val="24"/>
        </w:rPr>
        <w:t xml:space="preserve">process the data of temperature, water vapor and winds into a regular set of grids. This method is referred to as “regular grid method” in Zhang et al. (2000) </w:t>
      </w:r>
      <w:r w:rsidR="000E2E41" w:rsidRPr="00F418EB">
        <w:rPr>
          <w:rFonts w:ascii="Times New Roman" w:hAnsi="Times New Roman" w:cs="Times New Roman"/>
          <w:szCs w:val="24"/>
          <w:u w:val="single"/>
        </w:rPr>
        <w:t>(Figure 1a).</w:t>
      </w:r>
      <w:r w:rsidR="000E2E41" w:rsidRPr="00F418EB">
        <w:rPr>
          <w:rFonts w:ascii="Times New Roman" w:hAnsi="Times New Roman" w:cs="Times New Roman"/>
          <w:szCs w:val="24"/>
        </w:rPr>
        <w:t xml:space="preserve">  In this method, the forcing data is calculated at each grid. Area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domain</w:t>
      </w:r>
      <w:r w:rsidRPr="00F418EB">
        <w:rPr>
          <w:rFonts w:ascii="Times New Roman" w:hAnsi="Times New Roman" w:cs="Times New Roman"/>
          <w:szCs w:val="24"/>
        </w:rPr>
        <w:t xml:space="preserve"> that covers overlaps with the sounding array</w:t>
      </w:r>
      <w:r w:rsidR="000E2E41" w:rsidRPr="00F418EB">
        <w:rPr>
          <w:rFonts w:ascii="Times New Roman" w:hAnsi="Times New Roman" w:cs="Times New Roman"/>
          <w:szCs w:val="24"/>
        </w:rPr>
        <w:t xml:space="preserve">. </w:t>
      </w:r>
    </w:p>
    <w:p w14:paraId="7F47CEAD" w14:textId="77777777" w:rsidR="000E2E41" w:rsidRPr="00F418EB" w:rsidRDefault="000E2E41" w:rsidP="005C0242">
      <w:pPr>
        <w:autoSpaceDE w:val="0"/>
        <w:autoSpaceDN w:val="0"/>
        <w:adjustRightInd w:val="0"/>
        <w:spacing w:after="0"/>
        <w:rPr>
          <w:rFonts w:ascii="Times New Roman" w:hAnsi="Times New Roman" w:cs="Times New Roman"/>
          <w:szCs w:val="24"/>
        </w:rPr>
      </w:pPr>
    </w:p>
    <w:p w14:paraId="373998B5" w14:textId="59483E2C" w:rsidR="000E2E41" w:rsidRPr="00F418EB" w:rsidRDefault="000E2E41" w:rsidP="000E2E41">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An alternate method is to write the advective tendencies in Equations (1)-(2) into flux form. The horizontal flux divergence terms, when averaged over a domain, is calculated from the line-integral method (Figure 1b). </w:t>
      </w:r>
      <w:r w:rsidR="001B3369" w:rsidRPr="00F418EB">
        <w:rPr>
          <w:rFonts w:ascii="Times New Roman" w:hAnsi="Times New Roman" w:cs="Times New Roman"/>
          <w:szCs w:val="24"/>
        </w:rPr>
        <w:t xml:space="preserve">The </w:t>
      </w:r>
      <w:r w:rsidR="00AE1031" w:rsidRPr="00F418EB">
        <w:rPr>
          <w:rFonts w:ascii="Times New Roman" w:hAnsi="Times New Roman" w:cs="Times New Roman"/>
          <w:szCs w:val="24"/>
        </w:rPr>
        <w:t>approach, referred to as the “</w:t>
      </w:r>
      <w:r w:rsidR="00AE1031" w:rsidRPr="00F418EB">
        <w:rPr>
          <w:rFonts w:ascii="Times New Roman" w:hAnsi="Times New Roman" w:cs="Times New Roman"/>
          <w:szCs w:val="24"/>
        </w:rPr>
        <w:t>line-integra</w:t>
      </w:r>
      <w:r w:rsidR="00AE1031" w:rsidRPr="00F418EB">
        <w:rPr>
          <w:rFonts w:ascii="Times New Roman" w:hAnsi="Times New Roman" w:cs="Times New Roman"/>
          <w:szCs w:val="24"/>
        </w:rPr>
        <w:t xml:space="preserve">l method” in Zhang et al. (2000), </w:t>
      </w:r>
      <w:r w:rsidR="001B3369" w:rsidRPr="00F418EB">
        <w:rPr>
          <w:rFonts w:ascii="Times New Roman" w:hAnsi="Times New Roman" w:cs="Times New Roman"/>
          <w:szCs w:val="24"/>
        </w:rPr>
        <w:t xml:space="preserve">therefore gives the domain averaged forcing values. </w:t>
      </w:r>
    </w:p>
    <w:p w14:paraId="439F5A4C" w14:textId="6653C857" w:rsidR="00B65ECD" w:rsidRPr="00F418EB" w:rsidRDefault="000E2E41" w:rsidP="005C0242">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 </w:t>
      </w:r>
      <w:r w:rsidR="00B65ECD" w:rsidRPr="00F418EB">
        <w:rPr>
          <w:rFonts w:ascii="Times New Roman" w:hAnsi="Times New Roman" w:cs="Times New Roman"/>
          <w:szCs w:val="24"/>
        </w:rPr>
        <w:t xml:space="preserve"> </w:t>
      </w:r>
    </w:p>
    <w:p w14:paraId="15930157" w14:textId="69E39A78" w:rsidR="00B03E79" w:rsidRPr="00F418EB" w:rsidRDefault="001B3369" w:rsidP="00AE1031">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grids by interpolation and extrapolation.  The </w:t>
      </w:r>
      <w:r w:rsidRPr="00F418EB">
        <w:rPr>
          <w:rFonts w:ascii="Times New Roman" w:hAnsi="Times New Roman" w:cs="Times New Roman"/>
          <w:szCs w:val="24"/>
        </w:rPr>
        <w:t xml:space="preserve">fitting </w:t>
      </w:r>
      <w:r w:rsidR="00AE1031" w:rsidRPr="00F418EB">
        <w:rPr>
          <w:rFonts w:ascii="Times New Roman" w:hAnsi="Times New Roman" w:cs="Times New Roman"/>
          <w:szCs w:val="24"/>
        </w:rPr>
        <w:t>method depends on the</w:t>
      </w:r>
      <w:r w:rsidRPr="00F418EB">
        <w:rPr>
          <w:rFonts w:ascii="Times New Roman" w:hAnsi="Times New Roman" w:cs="Times New Roman"/>
          <w:szCs w:val="24"/>
        </w:rPr>
        <w:t xml:space="preserve"> choice of the 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Commonly used methods are linear fitting, quadratic or spline fitting</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grids to adjust the background fields at these grids. The calculation can be performed iteratively to reach the 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678163EE" w14:textId="77777777" w:rsidR="00BE4344" w:rsidRPr="00F418EB" w:rsidRDefault="00BE4344" w:rsidP="00AE1031">
      <w:pPr>
        <w:autoSpaceDE w:val="0"/>
        <w:autoSpaceDN w:val="0"/>
        <w:adjustRightInd w:val="0"/>
        <w:spacing w:after="0"/>
        <w:rPr>
          <w:rFonts w:ascii="Times New Roman" w:hAnsi="Times New Roman" w:cs="Times New Roman"/>
          <w:szCs w:val="24"/>
        </w:rPr>
      </w:pPr>
    </w:p>
    <w:p w14:paraId="29D17BF4" w14:textId="77777777" w:rsidR="00BE4344" w:rsidRPr="00F418EB" w:rsidRDefault="00BE4344" w:rsidP="00AE1031">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The line integral method depends on the quality and 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in the calculation of the lateral boundary fluxes. </w:t>
      </w:r>
    </w:p>
    <w:p w14:paraId="14483329" w14:textId="77777777" w:rsidR="00BE4344" w:rsidRPr="00F418EB" w:rsidRDefault="00BE4344" w:rsidP="00AE1031">
      <w:pPr>
        <w:autoSpaceDE w:val="0"/>
        <w:autoSpaceDN w:val="0"/>
        <w:adjustRightInd w:val="0"/>
        <w:spacing w:after="0"/>
        <w:rPr>
          <w:rFonts w:ascii="Times New Roman" w:hAnsi="Times New Roman" w:cs="Times New Roman"/>
          <w:szCs w:val="24"/>
        </w:rPr>
      </w:pPr>
    </w:p>
    <w:p w14:paraId="73DD8FC9" w14:textId="77777777" w:rsidR="008A0144" w:rsidRPr="00F418EB" w:rsidRDefault="00BE4344" w:rsidP="00AE1031">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sounding array with few measurement stations. Zhang et al. (2000) presented a hybrid approach in which the regular grid method is used to improve the lateral boundary fluxes in the line integral method, therefore making use of sounding data </w:t>
      </w:r>
      <w:r w:rsidR="008A0144" w:rsidRPr="00F418EB">
        <w:rPr>
          <w:rFonts w:ascii="Times New Roman" w:hAnsi="Times New Roman" w:cs="Times New Roman"/>
          <w:szCs w:val="24"/>
        </w:rPr>
        <w:t>besides those at the boundary stations.</w:t>
      </w:r>
    </w:p>
    <w:p w14:paraId="1BE4F1D6" w14:textId="77777777" w:rsidR="008A0144" w:rsidRPr="00F418EB" w:rsidRDefault="008A0144" w:rsidP="00AE1031">
      <w:pPr>
        <w:autoSpaceDE w:val="0"/>
        <w:autoSpaceDN w:val="0"/>
        <w:adjustRightInd w:val="0"/>
        <w:spacing w:after="0"/>
        <w:rPr>
          <w:rFonts w:ascii="Times New Roman" w:hAnsi="Times New Roman" w:cs="Times New Roman"/>
          <w:szCs w:val="24"/>
        </w:rPr>
      </w:pPr>
    </w:p>
    <w:p w14:paraId="1900E2C7" w14:textId="77777777" w:rsidR="008B7410" w:rsidRPr="00F418EB" w:rsidRDefault="008A0144" w:rsidP="008B7410">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Both methods have been used in the past to derive SCM large-scale forcing data in field experiments. One of the most widely used legacy data was from</w:t>
      </w:r>
      <w:r w:rsidRPr="00F418EB">
        <w:rPr>
          <w:rFonts w:ascii="Times New Roman" w:hAnsi="Times New Roman" w:cs="Times New Roman"/>
          <w:szCs w:val="24"/>
        </w:rPr>
        <w:t xml:space="preserve"> the Global</w:t>
      </w:r>
      <w:r w:rsidRPr="00F418EB">
        <w:rPr>
          <w:rFonts w:ascii="Times New Roman" w:hAnsi="Times New Roman" w:cs="Times New Roman"/>
          <w:szCs w:val="24"/>
        </w:rPr>
        <w:t xml:space="preserve"> Atmosphere </w:t>
      </w:r>
      <w:r w:rsidRPr="00F418EB">
        <w:rPr>
          <w:rFonts w:ascii="Times New Roman" w:hAnsi="Times New Roman" w:cs="Times New Roman"/>
          <w:szCs w:val="24"/>
        </w:rPr>
        <w:lastRenderedPageBreak/>
        <w:t xml:space="preserve">Research Experiment </w:t>
      </w:r>
      <w:r w:rsidRPr="00F418EB">
        <w:rPr>
          <w:rFonts w:ascii="Times New Roman" w:hAnsi="Times New Roman" w:cs="Times New Roman"/>
          <w:szCs w:val="24"/>
        </w:rPr>
        <w:t>(GARP) Atlantic Tropical Experiment (GATE</w:t>
      </w:r>
      <w:r w:rsidRPr="00F418EB">
        <w:rPr>
          <w:rFonts w:ascii="Times New Roman" w:hAnsi="Times New Roman" w:cs="Times New Roman"/>
          <w:szCs w:val="24"/>
        </w:rPr>
        <w:t xml:space="preserve">) in 1974. </w:t>
      </w:r>
      <w:r w:rsidRPr="00F418EB">
        <w:rPr>
          <w:rFonts w:ascii="Times New Roman" w:hAnsi="Times New Roman" w:cs="Times New Roman"/>
          <w:szCs w:val="24"/>
        </w:rPr>
        <w:t xml:space="preserve">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w:t>
      </w:r>
      <w:r w:rsidRPr="00F418EB">
        <w:rPr>
          <w:rFonts w:ascii="Times New Roman" w:hAnsi="Times New Roman" w:cs="Times New Roman"/>
          <w:szCs w:val="24"/>
        </w:rPr>
        <w:t xml:space="preserve">(1987) described his five year </w:t>
      </w:r>
      <w:r w:rsidR="00F12DAC" w:rsidRPr="00F418EB">
        <w:rPr>
          <w:rFonts w:ascii="Times New Roman" w:hAnsi="Times New Roman" w:cs="Times New Roman"/>
          <w:szCs w:val="24"/>
        </w:rPr>
        <w:t>concentrated research</w:t>
      </w:r>
      <w:r w:rsidRPr="00F418EB">
        <w:rPr>
          <w:rFonts w:ascii="Times New Roman" w:hAnsi="Times New Roman" w:cs="Times New Roman"/>
          <w:szCs w:val="24"/>
        </w:rPr>
        <w:t xml:space="preserve"> t</w:t>
      </w:r>
      <w:r w:rsidRPr="00F418EB">
        <w:rPr>
          <w:rFonts w:ascii="Times New Roman" w:hAnsi="Times New Roman" w:cs="Times New Roman"/>
          <w:szCs w:val="24"/>
        </w:rPr>
        <w:t xml:space="preserve">o derive the 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data have been widely used, a standard analysis algorithm is not available because many subjective procedures and </w:t>
      </w:r>
      <w:r w:rsidR="00F12DAC" w:rsidRPr="00F418EB">
        <w:rPr>
          <w:rFonts w:ascii="Times New Roman" w:hAnsi="Times New Roman" w:cs="Times New Roman"/>
          <w:szCs w:val="24"/>
        </w:rPr>
        <w:t xml:space="preserve">judgment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through trial and error tests for each data point. </w:t>
      </w:r>
    </w:p>
    <w:p w14:paraId="31FFA20E" w14:textId="77777777" w:rsidR="008B7410" w:rsidRPr="00F418EB" w:rsidRDefault="008B7410" w:rsidP="008B7410">
      <w:pPr>
        <w:autoSpaceDE w:val="0"/>
        <w:autoSpaceDN w:val="0"/>
        <w:adjustRightInd w:val="0"/>
        <w:spacing w:after="0"/>
        <w:rPr>
          <w:rFonts w:ascii="Times New Roman" w:hAnsi="Times New Roman" w:cs="Times New Roman"/>
          <w:szCs w:val="24"/>
        </w:rPr>
      </w:pPr>
    </w:p>
    <w:p w14:paraId="64458CB6" w14:textId="371CA1DF" w:rsidR="00DE41F8" w:rsidRPr="00F418EB" w:rsidRDefault="008B7410" w:rsidP="00DE41F8">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Another widely used SCM forcing data were from the Tropical Ocean and Global </w:t>
      </w:r>
      <w:r w:rsidRPr="00F418EB">
        <w:rPr>
          <w:rFonts w:ascii="Times New Roman" w:hAnsi="Times New Roman" w:cs="Times New Roman"/>
          <w:szCs w:val="24"/>
        </w:rPr>
        <w:t>Atmosphere Coupled Ocean–</w:t>
      </w:r>
      <w:r w:rsidRPr="00F418EB">
        <w:rPr>
          <w:rFonts w:ascii="Times New Roman" w:hAnsi="Times New Roman" w:cs="Times New Roman"/>
          <w:szCs w:val="24"/>
        </w:rPr>
        <w:t xml:space="preserve">Atmospheric Response </w:t>
      </w:r>
      <w:r w:rsidRPr="00F418EB">
        <w:rPr>
          <w:rFonts w:ascii="Times New Roman" w:hAnsi="Times New Roman" w:cs="Times New Roman"/>
          <w:szCs w:val="24"/>
        </w:rPr>
        <w:t>Experiment (TOGA COARE)</w:t>
      </w:r>
      <w:r w:rsidRPr="00F418EB">
        <w:rPr>
          <w:rFonts w:ascii="Times New Roman" w:hAnsi="Times New Roman" w:cs="Times New Roman"/>
          <w:szCs w:val="24"/>
        </w:rPr>
        <w:t xml:space="preserv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r w:rsidR="009E66B2" w:rsidRPr="00F418EB">
        <w:rPr>
          <w:rFonts w:ascii="Times New Roman" w:hAnsi="Times New Roman" w:cs="Times New Roman"/>
          <w:szCs w:val="24"/>
        </w:rPr>
        <w:t>They</w:t>
      </w:r>
      <w:r w:rsidRPr="00F418EB">
        <w:rPr>
          <w:rFonts w:ascii="Times New Roman" w:hAnsi="Times New Roman" w:cs="Times New Roman"/>
          <w:szCs w:val="24"/>
        </w:rPr>
        <w:t xml:space="preserve"> Johnson also tried a </w:t>
      </w:r>
      <w:r w:rsidRPr="00F418EB">
        <w:rPr>
          <w:rFonts w:ascii="Times New Roman" w:hAnsi="Times New Roman" w:cs="Times New Roman"/>
          <w:szCs w:val="24"/>
        </w:rPr>
        <w:t xml:space="preserve">cubic-spline mechanical fitting </w:t>
      </w:r>
      <w:r w:rsidRPr="00F418EB">
        <w:rPr>
          <w:rFonts w:ascii="Times New Roman" w:hAnsi="Times New Roman" w:cs="Times New Roman"/>
          <w:szCs w:val="24"/>
        </w:rPr>
        <w:t xml:space="preserve">algorithm described in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and found that the results are similar to those from the Barnes analysis. </w:t>
      </w:r>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he difference of the moisture budgets from these two analyses over the Intensive Flux Array (IFA) gives a rough estimate of uncertainties:  The time averaged   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w:t>
      </w:r>
      <w:proofErr w:type="gramStart"/>
      <w:r w:rsidR="00DE41F8" w:rsidRPr="00F418EB">
        <w:rPr>
          <w:rFonts w:ascii="Times New Roman" w:hAnsi="Times New Roman" w:cs="Times New Roman"/>
          <w:szCs w:val="24"/>
        </w:rPr>
        <w:t>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 in</w:t>
      </w:r>
      <w:proofErr w:type="gramEnd"/>
      <w:r w:rsidR="00DE41F8" w:rsidRPr="00F418EB">
        <w:rPr>
          <w:rFonts w:ascii="Times New Roman" w:hAnsi="Times New Roman" w:cs="Times New Roman"/>
          <w:szCs w:val="24"/>
        </w:rPr>
        <w:t xml:space="preserve"> Frank et al. (1996). Uncertainties in the transient data are even larger, and these are likely the typical me. 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-Julian Oscillation (MJO), their use to simulate the observed cloud fields needs special caution.</w:t>
      </w:r>
    </w:p>
    <w:p w14:paraId="33BF560C" w14:textId="77777777" w:rsidR="009E66B2" w:rsidRPr="00F418EB" w:rsidRDefault="009E66B2" w:rsidP="008B7410">
      <w:pPr>
        <w:autoSpaceDE w:val="0"/>
        <w:autoSpaceDN w:val="0"/>
        <w:adjustRightInd w:val="0"/>
        <w:spacing w:after="0"/>
        <w:rPr>
          <w:rFonts w:ascii="Times New Roman" w:hAnsi="Times New Roman" w:cs="Times New Roman"/>
          <w:szCs w:val="24"/>
        </w:rPr>
      </w:pPr>
    </w:p>
    <w:p w14:paraId="0A929088" w14:textId="597FEF84" w:rsidR="009E66B2" w:rsidRPr="00F418EB" w:rsidRDefault="00DE41F8" w:rsidP="009E66B2">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Large-scale forcing data have been also calculated for</w:t>
      </w:r>
      <w:r w:rsidR="009E66B2" w:rsidRPr="00F418EB">
        <w:rPr>
          <w:rFonts w:ascii="Times New Roman" w:hAnsi="Times New Roman" w:cs="Times New Roman"/>
          <w:szCs w:val="24"/>
        </w:rPr>
        <w:t xml:space="preserve"> other shorter field experiments</w:t>
      </w:r>
      <w:r w:rsidRPr="00F418EB">
        <w:rPr>
          <w:rFonts w:ascii="Times New Roman" w:hAnsi="Times New Roman" w:cs="Times New Roman"/>
          <w:szCs w:val="24"/>
        </w:rPr>
        <w:t xml:space="preserve">. Many of these are in regions of Asian or Australian monsoons. They have been summarized in Zhang et al. (2000). Uncertainties of the analyzed data </w:t>
      </w:r>
      <w:r w:rsidR="005C2F81" w:rsidRPr="00F418EB">
        <w:rPr>
          <w:rFonts w:ascii="Times New Roman" w:hAnsi="Times New Roman" w:cs="Times New Roman"/>
          <w:szCs w:val="24"/>
        </w:rPr>
        <w:t>are likely similar to those in TOGA-COARE. These uncertainties represent fundamental limits of data from the balloon sounding arrays as described in Section 1.3.</w:t>
      </w:r>
      <w:r w:rsidR="00544E21" w:rsidRPr="00F418EB">
        <w:rPr>
          <w:rFonts w:ascii="Times New Roman" w:hAnsi="Times New Roman" w:cs="Times New Roman"/>
          <w:szCs w:val="24"/>
        </w:rPr>
        <w:t xml:space="preserve"> In concluding his analysis of the GATE data, </w:t>
      </w:r>
      <w:proofErr w:type="spellStart"/>
      <w:r w:rsidR="00544E21" w:rsidRPr="00F418EB">
        <w:rPr>
          <w:rFonts w:ascii="Times New Roman" w:hAnsi="Times New Roman" w:cs="Times New Roman"/>
          <w:szCs w:val="24"/>
        </w:rPr>
        <w:t>Ooyama</w:t>
      </w:r>
      <w:proofErr w:type="spellEnd"/>
      <w:r w:rsidR="00544E21" w:rsidRPr="00F418EB">
        <w:rPr>
          <w:rFonts w:ascii="Times New Roman" w:hAnsi="Times New Roman" w:cs="Times New Roman"/>
          <w:szCs w:val="24"/>
        </w:rPr>
        <w:t xml:space="preserve"> (1987) expressed his view on these uncertainties: “To make gold, one must start with gold.”</w:t>
      </w:r>
    </w:p>
    <w:p w14:paraId="6D9F126B" w14:textId="77777777" w:rsidR="009E66B2" w:rsidRPr="00F418EB" w:rsidRDefault="009E66B2" w:rsidP="008B7410">
      <w:pPr>
        <w:autoSpaceDE w:val="0"/>
        <w:autoSpaceDN w:val="0"/>
        <w:adjustRightInd w:val="0"/>
        <w:spacing w:after="0"/>
        <w:rPr>
          <w:rFonts w:ascii="Times New Roman" w:hAnsi="Times New Roman" w:cs="Times New Roman"/>
          <w:szCs w:val="24"/>
        </w:rPr>
      </w:pPr>
    </w:p>
    <w:p w14:paraId="3A14BBF6" w14:textId="6C1B1EE2" w:rsidR="000A2B4D" w:rsidRPr="00F418EB" w:rsidRDefault="00544E21" w:rsidP="000C50B2">
      <w:pPr>
        <w:spacing w:before="100" w:beforeAutospacing="1" w:after="0" w:line="276" w:lineRule="auto"/>
        <w:ind w:right="-720"/>
        <w:rPr>
          <w:rFonts w:ascii="Times New Roman" w:hAnsi="Times New Roman"/>
          <w:szCs w:val="24"/>
        </w:rPr>
      </w:pPr>
      <w:r w:rsidRPr="00F418EB">
        <w:rPr>
          <w:rFonts w:ascii="Times New Roman" w:hAnsi="Times New Roman" w:cs="Times New Roman"/>
          <w:szCs w:val="24"/>
        </w:rPr>
        <w:t xml:space="preserve"> </w:t>
      </w:r>
    </w:p>
    <w:p w14:paraId="5495AFE0" w14:textId="02B7C363" w:rsidR="000A2B4D" w:rsidRPr="00F418EB" w:rsidRDefault="000A2B4D" w:rsidP="000C50B2">
      <w:pPr>
        <w:spacing w:before="100" w:beforeAutospacing="1" w:after="0" w:line="276" w:lineRule="auto"/>
        <w:ind w:right="-720"/>
        <w:rPr>
          <w:rFonts w:ascii="Times New Roman" w:hAnsi="Times New Roman"/>
          <w:szCs w:val="24"/>
        </w:rPr>
      </w:pPr>
      <w:r w:rsidRPr="00F418EB">
        <w:rPr>
          <w:rFonts w:ascii="Times New Roman" w:hAnsi="Times New Roman"/>
          <w:szCs w:val="24"/>
        </w:rPr>
        <w:t>1.5 The ARM variational analysis of forcing data</w:t>
      </w:r>
    </w:p>
    <w:p w14:paraId="4431DAC7" w14:textId="77777777" w:rsidR="00116696" w:rsidRPr="00F418EB" w:rsidRDefault="00116696" w:rsidP="001A6068">
      <w:pPr>
        <w:autoSpaceDE w:val="0"/>
        <w:autoSpaceDN w:val="0"/>
        <w:adjustRightInd w:val="0"/>
        <w:spacing w:after="0"/>
        <w:rPr>
          <w:rFonts w:ascii="Times New Roman" w:hAnsi="Times New Roman"/>
          <w:szCs w:val="24"/>
        </w:rPr>
      </w:pPr>
    </w:p>
    <w:p w14:paraId="47A2DCDC" w14:textId="77777777" w:rsidR="00116696" w:rsidRPr="00F418EB" w:rsidRDefault="00116696" w:rsidP="001A6068">
      <w:pPr>
        <w:autoSpaceDE w:val="0"/>
        <w:autoSpaceDN w:val="0"/>
        <w:adjustRightInd w:val="0"/>
        <w:spacing w:after="0"/>
        <w:rPr>
          <w:rFonts w:ascii="Times New Roman" w:hAnsi="Times New Roman"/>
          <w:szCs w:val="24"/>
        </w:rPr>
      </w:pPr>
    </w:p>
    <w:p w14:paraId="4DFFB239" w14:textId="77777777" w:rsidR="00116696" w:rsidRPr="00F418EB" w:rsidRDefault="00116696" w:rsidP="001A6068">
      <w:pPr>
        <w:autoSpaceDE w:val="0"/>
        <w:autoSpaceDN w:val="0"/>
        <w:adjustRightInd w:val="0"/>
        <w:spacing w:after="0"/>
        <w:rPr>
          <w:rFonts w:ascii="Times New Roman" w:hAnsi="Times New Roman"/>
          <w:szCs w:val="24"/>
        </w:rPr>
      </w:pPr>
    </w:p>
    <w:p w14:paraId="33A90E6A" w14:textId="77777777" w:rsidR="00D516C9" w:rsidRPr="00F418EB" w:rsidRDefault="00D516C9" w:rsidP="001A6068">
      <w:pPr>
        <w:autoSpaceDE w:val="0"/>
        <w:autoSpaceDN w:val="0"/>
        <w:adjustRightInd w:val="0"/>
        <w:spacing w:after="0"/>
        <w:rPr>
          <w:rFonts w:ascii="Times New Roman" w:hAnsi="Times New Roman"/>
          <w:szCs w:val="24"/>
        </w:rPr>
      </w:pPr>
      <w:r w:rsidRPr="00F418EB">
        <w:rPr>
          <w:rFonts w:ascii="Times New Roman" w:hAnsi="Times New Roman"/>
          <w:szCs w:val="24"/>
        </w:rPr>
        <w:t>Recognizing the limit of accuracy in the large-scale forcing data derived from balloon sounding measurements, especially transient forcing data for SCMs to compare with cloud and radiation measurements from the ARM program, we developed a constrained variational algorithm to incorporate more measurements in the derivation of the forcing data.  We enforce known constraints to the forcing data. These constraints include column-integrated conservations of atmospheric masses of moist air and water vapor as well as heat and momentum. They are written as</w:t>
      </w:r>
    </w:p>
    <w:p w14:paraId="56984435" w14:textId="77777777" w:rsidR="00D516C9" w:rsidRPr="00F418EB" w:rsidRDefault="00D516C9" w:rsidP="00D516C9">
      <w:pPr>
        <w:tabs>
          <w:tab w:val="left" w:pos="8640"/>
        </w:tabs>
        <w:spacing w:line="276" w:lineRule="auto"/>
        <w:ind w:firstLine="360"/>
        <w:rPr>
          <w:szCs w:val="24"/>
        </w:rPr>
      </w:pPr>
      <w:r w:rsidRPr="00F418EB">
        <w:rPr>
          <w:position w:val="-36"/>
          <w:szCs w:val="24"/>
        </w:rPr>
        <w:object w:dxaOrig="1860" w:dyaOrig="680" w14:anchorId="7A3BCADA">
          <v:shape id="_x0000_i1049" type="#_x0000_t75" style="width:93.9pt;height:33.8pt" o:ole="">
            <v:imagedata r:id="rId55" o:title="" cropleft="-352f" cropright="-352f"/>
          </v:shape>
          <o:OLEObject Type="Embed" ProgID="Equation.2" ShapeID="_x0000_i1049" DrawAspect="Content" ObjectID="_1443786436" r:id="rId56">
            <o:FieldCodes>\* mergeformat</o:FieldCodes>
          </o:OLEObject>
        </w:object>
      </w:r>
      <w:r w:rsidRPr="00F418EB">
        <w:rPr>
          <w:szCs w:val="24"/>
        </w:rPr>
        <w:tab/>
        <w:t>(1)</w:t>
      </w:r>
    </w:p>
    <w:p w14:paraId="2A7D7847" w14:textId="77777777" w:rsidR="00D516C9" w:rsidRPr="00F418EB" w:rsidRDefault="00D516C9" w:rsidP="00D516C9">
      <w:pPr>
        <w:tabs>
          <w:tab w:val="left" w:pos="8640"/>
        </w:tabs>
        <w:spacing w:line="276" w:lineRule="auto"/>
        <w:ind w:firstLine="360"/>
        <w:rPr>
          <w:szCs w:val="24"/>
        </w:rPr>
      </w:pPr>
      <w:r w:rsidRPr="00F418EB">
        <w:rPr>
          <w:position w:val="-36"/>
          <w:szCs w:val="24"/>
        </w:rPr>
        <w:object w:dxaOrig="4240" w:dyaOrig="580" w14:anchorId="62E205E7">
          <v:shape id="_x0000_i1050" type="#_x0000_t75" style="width:212.85pt;height:28.8pt" o:ole="">
            <v:imagedata r:id="rId57" o:title="" cropleft="-155f" cropright="-155f"/>
          </v:shape>
          <o:OLEObject Type="Embed" ProgID="Equation.2" ShapeID="_x0000_i1050" DrawAspect="Content" ObjectID="_1443786437" r:id="rId58">
            <o:FieldCodes>\* mergeformat</o:FieldCodes>
          </o:OLEObject>
        </w:object>
      </w:r>
      <w:r w:rsidRPr="00F418EB">
        <w:rPr>
          <w:szCs w:val="24"/>
        </w:rPr>
        <w:tab/>
        <w:t>(2)</w:t>
      </w:r>
    </w:p>
    <w:p w14:paraId="2A7BF929" w14:textId="77777777" w:rsidR="00D516C9" w:rsidRPr="00F418EB" w:rsidRDefault="00D516C9" w:rsidP="00D516C9">
      <w:pPr>
        <w:tabs>
          <w:tab w:val="left" w:pos="8640"/>
        </w:tabs>
        <w:spacing w:line="276" w:lineRule="auto"/>
        <w:ind w:firstLine="360"/>
        <w:rPr>
          <w:szCs w:val="24"/>
        </w:rPr>
      </w:pPr>
      <w:r w:rsidRPr="00F418EB">
        <w:rPr>
          <w:position w:val="-36"/>
          <w:szCs w:val="24"/>
        </w:rPr>
        <w:object w:dxaOrig="6020" w:dyaOrig="580" w14:anchorId="140960BD">
          <v:shape id="_x0000_i1051" type="#_x0000_t75" style="width:302.4pt;height:28.8pt" o:ole="">
            <v:imagedata r:id="rId59" o:title="" cropleft="-109f" cropright="-109f"/>
          </v:shape>
          <o:OLEObject Type="Embed" ProgID="Equation.2" ShapeID="_x0000_i1051" DrawAspect="Content" ObjectID="_1443786438" r:id="rId60">
            <o:FieldCodes>\* mergeformat</o:FieldCodes>
          </o:OLEObject>
        </w:object>
      </w:r>
      <w:r w:rsidRPr="00F418EB">
        <w:rPr>
          <w:szCs w:val="24"/>
        </w:rPr>
        <w:tab/>
        <w:t>(3)</w:t>
      </w:r>
    </w:p>
    <w:p w14:paraId="71126AAA" w14:textId="77777777" w:rsidR="00D516C9" w:rsidRPr="00F418EB" w:rsidRDefault="00D516C9" w:rsidP="00D516C9">
      <w:pPr>
        <w:tabs>
          <w:tab w:val="left" w:pos="8640"/>
        </w:tabs>
        <w:spacing w:line="276" w:lineRule="auto"/>
        <w:ind w:firstLine="360"/>
        <w:rPr>
          <w:szCs w:val="24"/>
        </w:rPr>
      </w:pPr>
      <w:r w:rsidRPr="00F418EB">
        <w:rPr>
          <w:position w:val="-36"/>
          <w:szCs w:val="24"/>
        </w:rPr>
        <w:object w:dxaOrig="7339" w:dyaOrig="999" w14:anchorId="46D0E2C4">
          <v:shape id="_x0000_i1052" type="#_x0000_t75" style="width:220.4pt;height:30.7pt" o:ole="">
            <v:imagedata r:id="rId61" o:title="" cropleft="-143f" cropright="-143f"/>
          </v:shape>
          <o:OLEObject Type="Embed" ProgID="Equation.DSMT4" ShapeID="_x0000_i1052" DrawAspect="Content" ObjectID="_1443786439" r:id="rId62">
            <o:FieldCodes>\* mergeformat</o:FieldCodes>
          </o:OLEObject>
        </w:object>
      </w:r>
      <w:r w:rsidRPr="00F418EB">
        <w:rPr>
          <w:szCs w:val="24"/>
        </w:rPr>
        <w:tab/>
        <w:t>(4)</w:t>
      </w:r>
    </w:p>
    <w:p w14:paraId="7E6581EF" w14:textId="77777777" w:rsidR="0069519C" w:rsidRPr="00F418EB" w:rsidRDefault="00D516C9" w:rsidP="00D516C9">
      <w:pPr>
        <w:spacing w:line="276" w:lineRule="auto"/>
        <w:rPr>
          <w:szCs w:val="24"/>
        </w:rPr>
      </w:pPr>
      <w:r w:rsidRPr="00F418EB">
        <w:rPr>
          <w:szCs w:val="24"/>
        </w:rPr>
        <w:t xml:space="preserve">In the above, </w:t>
      </w:r>
      <w:r w:rsidRPr="00F418EB">
        <w:rPr>
          <w:szCs w:val="24"/>
        </w:rPr>
        <w:t xml:space="preserve">(u, v, </w:t>
      </w:r>
      <w:r w:rsidRPr="00F418EB">
        <w:rPr>
          <w:i/>
          <w:szCs w:val="24"/>
        </w:rPr>
        <w:t>s, q</w:t>
      </w:r>
      <w:r w:rsidRPr="00F418EB">
        <w:rPr>
          <w:szCs w:val="24"/>
        </w:rPr>
        <w:t xml:space="preserve">) are </w:t>
      </w:r>
      <w:r w:rsidRPr="00F418EB">
        <w:rPr>
          <w:szCs w:val="24"/>
        </w:rPr>
        <w:t>t</w:t>
      </w:r>
      <w:r w:rsidRPr="00F418EB">
        <w:rPr>
          <w:szCs w:val="24"/>
        </w:rPr>
        <w:t>he</w:t>
      </w:r>
      <w:r w:rsidRPr="00F418EB">
        <w:rPr>
          <w:szCs w:val="24"/>
        </w:rPr>
        <w:t xml:space="preserve"> atmospheric</w:t>
      </w:r>
      <w:r w:rsidRPr="00F418EB">
        <w:rPr>
          <w:szCs w:val="24"/>
        </w:rPr>
        <w:t xml:space="preserve"> state variables of winds, dry static energy, and water vapor</w:t>
      </w:r>
      <w:r w:rsidRPr="00F418EB">
        <w:rPr>
          <w:szCs w:val="24"/>
        </w:rPr>
        <w:t xml:space="preserve">;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proofErr w:type="gram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w:t>
      </w:r>
      <w:proofErr w:type="gramEnd"/>
      <w:r w:rsidRPr="00F418EB">
        <w:rPr>
          <w:szCs w:val="24"/>
        </w:rPr>
        <w:t xml:space="preserve">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w:t>
      </w:r>
      <w:r w:rsidRPr="00F418EB">
        <w:rPr>
          <w:szCs w:val="24"/>
        </w:rPr>
        <w:t xml:space="preserve">  T</w:t>
      </w:r>
      <w:r w:rsidRPr="00F418EB">
        <w:rPr>
          <w:szCs w:val="24"/>
        </w:rPr>
        <w:t>he bracket represents vertical integration</w:t>
      </w:r>
      <w:r w:rsidRPr="00F418EB">
        <w:rPr>
          <w:szCs w:val="24"/>
        </w:rPr>
        <w:t xml:space="preserve">.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w:t>
      </w:r>
      <w:r w:rsidRPr="00F418EB">
        <w:rPr>
          <w:iCs/>
          <w:szCs w:val="24"/>
        </w:rPr>
        <w:t xml:space="preserve"> is</w:t>
      </w:r>
      <w:proofErr w:type="gramEnd"/>
      <w:r w:rsidRPr="00F418EB">
        <w:rPr>
          <w:iCs/>
          <w:szCs w:val="24"/>
        </w:rPr>
        <w:t xml:space="preserve"> the</w:t>
      </w:r>
      <w:r w:rsidRPr="00F418EB">
        <w:rPr>
          <w:szCs w:val="24"/>
        </w:rPr>
        <w:t xml:space="preserve"> surface </w:t>
      </w:r>
      <w:r w:rsidRPr="00F418EB">
        <w:rPr>
          <w:szCs w:val="24"/>
        </w:rPr>
        <w:t xml:space="preserve">evaporation. </w:t>
      </w:r>
      <w:r w:rsidRPr="00F418EB">
        <w:rPr>
          <w:szCs w:val="24"/>
        </w:rPr>
        <w:t xml:space="preserve"> </w:t>
      </w:r>
      <w:proofErr w:type="spellStart"/>
      <w:r w:rsidRPr="00F418EB">
        <w:rPr>
          <w:i/>
          <w:szCs w:val="24"/>
        </w:rPr>
        <w:t>Prec</w:t>
      </w:r>
      <w:proofErr w:type="spellEnd"/>
      <w:r w:rsidRPr="00F418EB">
        <w:rPr>
          <w:szCs w:val="24"/>
        </w:rPr>
        <w:t xml:space="preserve"> is the surface precipitation</w:t>
      </w:r>
      <w:r w:rsidRPr="00F418EB">
        <w:rPr>
          <w:szCs w:val="24"/>
        </w:rPr>
        <w:t>.</w:t>
      </w:r>
      <w:r w:rsidRPr="00F418EB">
        <w:rPr>
          <w:szCs w:val="24"/>
        </w:rPr>
        <w:t xml:space="preserve"> </w:t>
      </w:r>
      <w:proofErr w:type="gramStart"/>
      <w:r w:rsidRPr="00F418EB">
        <w:rPr>
          <w:i/>
          <w:szCs w:val="24"/>
        </w:rPr>
        <w:t>R</w:t>
      </w:r>
      <w:r w:rsidRPr="00F418EB">
        <w:rPr>
          <w:szCs w:val="24"/>
        </w:rPr>
        <w:t xml:space="preserve">  is</w:t>
      </w:r>
      <w:proofErr w:type="gramEnd"/>
      <w:r w:rsidRPr="00F418EB">
        <w:rPr>
          <w:szCs w:val="24"/>
        </w:rPr>
        <w:t xml:space="preserve"> </w:t>
      </w:r>
      <w:r w:rsidRPr="00F418EB">
        <w:rPr>
          <w:szCs w:val="24"/>
        </w:rPr>
        <w:t>the net downward radiative flux; the subscript TOA and SRF represent the top-of-the-atmosphere</w:t>
      </w:r>
      <w:r w:rsidR="0069519C" w:rsidRPr="00F418EB">
        <w:rPr>
          <w:szCs w:val="24"/>
        </w:rPr>
        <w:t xml:space="preserve"> </w:t>
      </w:r>
      <w:r w:rsidRPr="00F418EB">
        <w:rPr>
          <w:szCs w:val="24"/>
        </w:rPr>
        <w:t xml:space="preserve">and the surface. </w:t>
      </w:r>
      <w:r w:rsidRPr="00F418EB">
        <w:rPr>
          <w:szCs w:val="24"/>
        </w:rPr>
        <w:t xml:space="preserv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w:t>
      </w:r>
      <w:r w:rsidRPr="00F418EB">
        <w:rPr>
          <w:szCs w:val="24"/>
        </w:rPr>
        <w:t xml:space="preserve">. </w:t>
      </w:r>
      <w:r w:rsidRPr="00F418EB">
        <w:rPr>
          <w:szCs w:val="24"/>
        </w:rPr>
        <w:t xml:space="preserve">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w:t>
      </w:r>
      <w:r w:rsidR="0069519C" w:rsidRPr="00F418EB">
        <w:rPr>
          <w:szCs w:val="24"/>
        </w:rPr>
        <w:t xml:space="preserve"> </w:t>
      </w:r>
      <w:r w:rsidRPr="00F418EB">
        <w:rPr>
          <w:szCs w:val="24"/>
        </w:rPr>
        <w:t xml:space="preserve">. Other variables are as commonly used.  </w:t>
      </w:r>
    </w:p>
    <w:p w14:paraId="1045E0EC" w14:textId="77777777" w:rsidR="0069519C" w:rsidRPr="00F418EB" w:rsidRDefault="0069519C" w:rsidP="00D516C9">
      <w:pPr>
        <w:spacing w:line="276" w:lineRule="auto"/>
        <w:rPr>
          <w:szCs w:val="24"/>
        </w:rPr>
      </w:pPr>
      <w:r w:rsidRPr="00F418EB">
        <w:rPr>
          <w:szCs w:val="24"/>
        </w:rPr>
        <w:t>The final analysis is obtained by minimizing the cost function of</w:t>
      </w:r>
    </w:p>
    <w:p w14:paraId="679E1DA0" w14:textId="77777777" w:rsidR="0069519C" w:rsidRPr="00F418EB" w:rsidRDefault="0069519C" w:rsidP="0069519C">
      <w:pPr>
        <w:tabs>
          <w:tab w:val="center" w:pos="7920"/>
          <w:tab w:val="left" w:pos="8640"/>
        </w:tabs>
        <w:spacing w:line="276" w:lineRule="auto"/>
        <w:rPr>
          <w:szCs w:val="24"/>
        </w:rPr>
      </w:pPr>
      <w:r w:rsidRPr="00F418EB">
        <w:rPr>
          <w:position w:val="-12"/>
          <w:szCs w:val="24"/>
        </w:rPr>
        <w:object w:dxaOrig="8760" w:dyaOrig="400" w14:anchorId="3B6332BC">
          <v:shape id="_x0000_i1053" type="#_x0000_t75" style="width:438.25pt;height:19.4pt" o:ole="" fillcolor="window">
            <v:imagedata r:id="rId63" o:title="" cropleft="-89f" cropright="-89f"/>
          </v:shape>
          <o:OLEObject Type="Embed" ProgID="Equation.DSMT4" ShapeID="_x0000_i1053" DrawAspect="Content" ObjectID="_1443786440" r:id="rId64">
            <o:FieldCodes>\* mergeformat</o:FieldCodes>
          </o:OLEObject>
        </w:object>
      </w:r>
      <w:r w:rsidRPr="00F418EB">
        <w:rPr>
          <w:szCs w:val="24"/>
        </w:rPr>
        <w:tab/>
      </w:r>
      <w:r w:rsidRPr="00F418EB">
        <w:rPr>
          <w:szCs w:val="24"/>
        </w:rPr>
        <w:tab/>
      </w:r>
      <w:r w:rsidRPr="00F418EB">
        <w:rPr>
          <w:szCs w:val="24"/>
        </w:rPr>
        <w:tab/>
        <w:t>(5)</w:t>
      </w:r>
      <w:r w:rsidRPr="00F418EB">
        <w:rPr>
          <w:szCs w:val="24"/>
        </w:rPr>
        <w:tab/>
      </w:r>
    </w:p>
    <w:p w14:paraId="4F3A4560" w14:textId="77777777" w:rsidR="0069519C" w:rsidRPr="00F418EB" w:rsidRDefault="0069519C" w:rsidP="0069519C">
      <w:pPr>
        <w:tabs>
          <w:tab w:val="center" w:pos="2520"/>
          <w:tab w:val="left" w:pos="8640"/>
        </w:tabs>
        <w:spacing w:line="276" w:lineRule="auto"/>
        <w:rPr>
          <w:szCs w:val="24"/>
        </w:rPr>
      </w:pPr>
      <w:proofErr w:type="gramStart"/>
      <w:r w:rsidRPr="00F418EB">
        <w:rPr>
          <w:szCs w:val="24"/>
        </w:rPr>
        <w:t>where</w:t>
      </w:r>
      <w:proofErr w:type="gramEnd"/>
      <w:r w:rsidRPr="00F418EB">
        <w:rPr>
          <w:szCs w:val="24"/>
        </w:rPr>
        <w:t xml:space="preserve"> variables with the subscript “o” represent first guess from pre-processed balloon sounding and wind profiler measurements; </w:t>
      </w:r>
      <w:r w:rsidRPr="00F418EB">
        <w:rPr>
          <w:i/>
          <w:iCs/>
          <w:szCs w:val="24"/>
        </w:rPr>
        <w:t>B</w:t>
      </w:r>
      <w:r w:rsidRPr="00F418EB">
        <w:rPr>
          <w:szCs w:val="24"/>
        </w:rPr>
        <w:t xml:space="preserve"> is the error covariance matrix of each state variable. </w:t>
      </w:r>
    </w:p>
    <w:p w14:paraId="7BC5CC54" w14:textId="77777777" w:rsidR="00E80275" w:rsidRPr="00F418EB" w:rsidRDefault="0069519C" w:rsidP="003F270D">
      <w:pPr>
        <w:autoSpaceDE w:val="0"/>
        <w:autoSpaceDN w:val="0"/>
        <w:adjustRightInd w:val="0"/>
        <w:spacing w:after="0"/>
        <w:rPr>
          <w:szCs w:val="24"/>
        </w:rPr>
      </w:pPr>
      <w:r w:rsidRPr="00F418EB">
        <w:rPr>
          <w:szCs w:val="24"/>
        </w:rPr>
        <w:t xml:space="preserve">Terms on the left-hand sides of Equations (X)-(X) are obtained from ARM measurements at the surface and satellite measurements at TOA. Area averaged precipitation is from radar measurements. </w:t>
      </w:r>
      <w:r w:rsidR="003F270D" w:rsidRPr="00F418EB">
        <w:rPr>
          <w:szCs w:val="24"/>
        </w:rPr>
        <w:t xml:space="preserve">Other </w:t>
      </w:r>
      <w:proofErr w:type="gramStart"/>
      <w:r w:rsidR="003F270D" w:rsidRPr="00F418EB">
        <w:rPr>
          <w:szCs w:val="24"/>
        </w:rPr>
        <w:t>surface</w:t>
      </w:r>
      <w:proofErr w:type="gramEnd"/>
      <w:r w:rsidR="003F270D" w:rsidRPr="00F418EB">
        <w:rPr>
          <w:szCs w:val="24"/>
        </w:rPr>
        <w:t xml:space="preserve"> variables are from</w:t>
      </w:r>
      <w:r w:rsidRPr="00F418EB">
        <w:rPr>
          <w:szCs w:val="24"/>
        </w:rPr>
        <w:t xml:space="preserve"> </w:t>
      </w:r>
      <w:r w:rsidR="003F270D" w:rsidRPr="00F418EB">
        <w:rPr>
          <w:szCs w:val="24"/>
        </w:rPr>
        <w:t xml:space="preserve">the suite of ARM instruments deployed within the sounding arrange.  </w:t>
      </w:r>
    </w:p>
    <w:p w14:paraId="2839D5C3" w14:textId="77777777" w:rsidR="00E80275" w:rsidRPr="00F418EB" w:rsidRDefault="00E80275" w:rsidP="003F270D">
      <w:pPr>
        <w:autoSpaceDE w:val="0"/>
        <w:autoSpaceDN w:val="0"/>
        <w:adjustRightInd w:val="0"/>
        <w:spacing w:after="0"/>
        <w:rPr>
          <w:szCs w:val="24"/>
        </w:rPr>
      </w:pPr>
    </w:p>
    <w:p w14:paraId="2857FE23" w14:textId="77777777" w:rsidR="00E80275" w:rsidRPr="00F418EB" w:rsidRDefault="003F270D" w:rsidP="003F270D">
      <w:pPr>
        <w:autoSpaceDE w:val="0"/>
        <w:autoSpaceDN w:val="0"/>
        <w:adjustRightInd w:val="0"/>
        <w:spacing w:after="0"/>
        <w:rPr>
          <w:rFonts w:ascii="Times New Roman" w:hAnsi="Times New Roman" w:cs="Times New Roman"/>
          <w:szCs w:val="24"/>
        </w:rPr>
      </w:pPr>
      <w:r w:rsidRPr="00F418EB">
        <w:rPr>
          <w:szCs w:val="24"/>
        </w:rPr>
        <w:t>At the ARM SGP (Southern Great Plain) site, the following</w:t>
      </w:r>
      <w:r w:rsidRPr="00F418EB">
        <w:rPr>
          <w:rFonts w:ascii="Times New Roman" w:hAnsi="Times New Roman" w:cs="Times New Roman"/>
          <w:szCs w:val="24"/>
        </w:rPr>
        <w:t xml:space="preserve"> ARM measurement platforms</w:t>
      </w:r>
      <w:r w:rsidRPr="00F418EB">
        <w:rPr>
          <w:rFonts w:ascii="Times New Roman" w:hAnsi="Times New Roman" w:cs="Times New Roman"/>
          <w:szCs w:val="24"/>
        </w:rPr>
        <w:t xml:space="preserve"> were used: </w:t>
      </w:r>
      <w:r w:rsidRPr="00F418EB">
        <w:rPr>
          <w:rFonts w:ascii="Times New Roman" w:hAnsi="Times New Roman" w:cs="Times New Roman"/>
          <w:szCs w:val="24"/>
        </w:rPr>
        <w:t>(</w:t>
      </w:r>
      <w:proofErr w:type="spellStart"/>
      <w:r w:rsidRPr="00F418EB">
        <w:rPr>
          <w:rFonts w:ascii="Times New Roman" w:hAnsi="Times New Roman" w:cs="Times New Roman"/>
          <w:szCs w:val="24"/>
        </w:rPr>
        <w:t>i</w:t>
      </w:r>
      <w:proofErr w:type="spellEnd"/>
      <w:r w:rsidRPr="00F418EB">
        <w:rPr>
          <w:rFonts w:ascii="Times New Roman" w:hAnsi="Times New Roman" w:cs="Times New Roman"/>
          <w:szCs w:val="24"/>
        </w:rPr>
        <w:t>) the surface meteorological</w:t>
      </w:r>
      <w:r w:rsidRPr="00F418EB">
        <w:rPr>
          <w:rFonts w:ascii="Times New Roman" w:hAnsi="Times New Roman" w:cs="Times New Roman"/>
          <w:szCs w:val="24"/>
        </w:rPr>
        <w:t xml:space="preserve"> </w:t>
      </w:r>
      <w:r w:rsidRPr="00F418EB">
        <w:rPr>
          <w:rFonts w:ascii="Times New Roman" w:hAnsi="Times New Roman" w:cs="Times New Roman"/>
          <w:szCs w:val="24"/>
        </w:rPr>
        <w:t>observationa</w:t>
      </w:r>
      <w:r w:rsidRPr="00F418EB">
        <w:rPr>
          <w:rFonts w:ascii="Times New Roman" w:hAnsi="Times New Roman" w:cs="Times New Roman"/>
          <w:szCs w:val="24"/>
        </w:rPr>
        <w:t xml:space="preserve">l stations (SMOSs) that measure </w:t>
      </w:r>
      <w:r w:rsidRPr="00F418EB">
        <w:rPr>
          <w:rFonts w:ascii="Times New Roman" w:hAnsi="Times New Roman" w:cs="Times New Roman"/>
          <w:szCs w:val="24"/>
        </w:rPr>
        <w:t>surface p</w:t>
      </w:r>
      <w:r w:rsidRPr="00F418EB">
        <w:rPr>
          <w:rFonts w:ascii="Times New Roman" w:hAnsi="Times New Roman" w:cs="Times New Roman"/>
          <w:szCs w:val="24"/>
        </w:rPr>
        <w:t xml:space="preserve">ressure, winds, temperature, </w:t>
      </w:r>
      <w:r w:rsidRPr="00F418EB">
        <w:rPr>
          <w:rFonts w:ascii="Times New Roman" w:hAnsi="Times New Roman" w:cs="Times New Roman"/>
          <w:szCs w:val="24"/>
        </w:rPr>
        <w:t>and relative humidit</w:t>
      </w:r>
      <w:r w:rsidRPr="00F418EB">
        <w:rPr>
          <w:rFonts w:ascii="Times New Roman" w:hAnsi="Times New Roman" w:cs="Times New Roman"/>
          <w:szCs w:val="24"/>
        </w:rPr>
        <w:t xml:space="preserve">y; (ii) the energy budget Bowen </w:t>
      </w:r>
      <w:r w:rsidRPr="00F418EB">
        <w:rPr>
          <w:rFonts w:ascii="Times New Roman" w:hAnsi="Times New Roman" w:cs="Times New Roman"/>
          <w:szCs w:val="24"/>
        </w:rPr>
        <w:t>ratio (EBBR) stations</w:t>
      </w:r>
      <w:r w:rsidRPr="00F418EB">
        <w:rPr>
          <w:rFonts w:ascii="Times New Roman" w:hAnsi="Times New Roman" w:cs="Times New Roman"/>
          <w:szCs w:val="24"/>
        </w:rPr>
        <w:t xml:space="preserve"> that measure surface broadband </w:t>
      </w:r>
      <w:r w:rsidRPr="00F418EB">
        <w:rPr>
          <w:rFonts w:ascii="Times New Roman" w:hAnsi="Times New Roman" w:cs="Times New Roman"/>
          <w:szCs w:val="24"/>
        </w:rPr>
        <w:t>net radiative flux and s</w:t>
      </w:r>
      <w:r w:rsidRPr="00F418EB">
        <w:rPr>
          <w:rFonts w:ascii="Times New Roman" w:hAnsi="Times New Roman" w:cs="Times New Roman"/>
          <w:szCs w:val="24"/>
        </w:rPr>
        <w:t xml:space="preserve">urface sensible and latent heat </w:t>
      </w:r>
      <w:r w:rsidRPr="00F418EB">
        <w:rPr>
          <w:rFonts w:ascii="Times New Roman" w:hAnsi="Times New Roman" w:cs="Times New Roman"/>
          <w:szCs w:val="24"/>
        </w:rPr>
        <w:t xml:space="preserve">fluxes; (iii) the Oklahoma and Kansas </w:t>
      </w:r>
      <w:proofErr w:type="spellStart"/>
      <w:r w:rsidRPr="00F418EB">
        <w:rPr>
          <w:rFonts w:ascii="Times New Roman" w:hAnsi="Times New Roman" w:cs="Times New Roman"/>
          <w:szCs w:val="24"/>
        </w:rPr>
        <w:t>mesonet</w:t>
      </w:r>
      <w:proofErr w:type="spellEnd"/>
      <w:r w:rsidRPr="00F418EB">
        <w:rPr>
          <w:rFonts w:ascii="Times New Roman" w:hAnsi="Times New Roman" w:cs="Times New Roman"/>
          <w:szCs w:val="24"/>
        </w:rPr>
        <w:t xml:space="preserve"> stations</w:t>
      </w:r>
      <w:r w:rsidRPr="00F418EB">
        <w:rPr>
          <w:rFonts w:ascii="Times New Roman" w:hAnsi="Times New Roman" w:cs="Times New Roman"/>
          <w:szCs w:val="24"/>
        </w:rPr>
        <w:t xml:space="preserve"> </w:t>
      </w:r>
      <w:r w:rsidRPr="00F418EB">
        <w:rPr>
          <w:rFonts w:ascii="Times New Roman" w:hAnsi="Times New Roman" w:cs="Times New Roman"/>
          <w:szCs w:val="24"/>
        </w:rPr>
        <w:t>measuring surface prec</w:t>
      </w:r>
      <w:r w:rsidRPr="00F418EB">
        <w:rPr>
          <w:rFonts w:ascii="Times New Roman" w:hAnsi="Times New Roman" w:cs="Times New Roman"/>
          <w:szCs w:val="24"/>
        </w:rPr>
        <w:t xml:space="preserve">ipitation, pressure, winds, and </w:t>
      </w:r>
      <w:r w:rsidRPr="00F418EB">
        <w:rPr>
          <w:rFonts w:ascii="Times New Roman" w:hAnsi="Times New Roman" w:cs="Times New Roman"/>
          <w:szCs w:val="24"/>
        </w:rPr>
        <w:t xml:space="preserve">temperature; </w:t>
      </w:r>
      <w:r w:rsidRPr="00F418EB">
        <w:rPr>
          <w:rFonts w:ascii="Times New Roman" w:hAnsi="Times New Roman" w:cs="Times New Roman"/>
          <w:szCs w:val="24"/>
        </w:rPr>
        <w:t>(iv) the Eddy Correlation (ECOR) stations that measure surface sensible and latent heat fluxes, and (</w:t>
      </w:r>
      <w:r w:rsidRPr="00F418EB">
        <w:rPr>
          <w:rFonts w:ascii="Times New Roman" w:hAnsi="Times New Roman" w:cs="Times New Roman"/>
          <w:szCs w:val="24"/>
        </w:rPr>
        <w:t>v) th</w:t>
      </w:r>
      <w:r w:rsidRPr="00F418EB">
        <w:rPr>
          <w:rFonts w:ascii="Times New Roman" w:hAnsi="Times New Roman" w:cs="Times New Roman"/>
          <w:szCs w:val="24"/>
        </w:rPr>
        <w:t xml:space="preserve">e microwave radiometer stations </w:t>
      </w:r>
      <w:proofErr w:type="spellStart"/>
      <w:r w:rsidRPr="00F418EB">
        <w:rPr>
          <w:rFonts w:ascii="Times New Roman" w:hAnsi="Times New Roman" w:cs="Times New Roman"/>
          <w:szCs w:val="24"/>
        </w:rPr>
        <w:t>stations</w:t>
      </w:r>
      <w:proofErr w:type="spellEnd"/>
      <w:r w:rsidRPr="00F418EB">
        <w:rPr>
          <w:rFonts w:ascii="Times New Roman" w:hAnsi="Times New Roman" w:cs="Times New Roman"/>
          <w:szCs w:val="24"/>
        </w:rPr>
        <w:t xml:space="preserve"> measuring </w:t>
      </w:r>
      <w:r w:rsidRPr="00F418EB">
        <w:rPr>
          <w:rFonts w:ascii="Times New Roman" w:hAnsi="Times New Roman" w:cs="Times New Roman"/>
          <w:szCs w:val="24"/>
        </w:rPr>
        <w:t xml:space="preserve">total cloud liquid water.  Figure XX shows the locations of these stations. The satellite measurements are </w:t>
      </w:r>
      <w:proofErr w:type="gramStart"/>
      <w:r w:rsidRPr="00F418EB">
        <w:rPr>
          <w:rFonts w:ascii="Times New Roman" w:hAnsi="Times New Roman" w:cs="Times New Roman"/>
          <w:szCs w:val="24"/>
        </w:rPr>
        <w:t xml:space="preserve">from  </w:t>
      </w:r>
      <w:r w:rsidRPr="00F418EB">
        <w:rPr>
          <w:rFonts w:ascii="Times New Roman" w:hAnsi="Times New Roman" w:cs="Times New Roman"/>
          <w:szCs w:val="24"/>
        </w:rPr>
        <w:t>NASA</w:t>
      </w:r>
      <w:proofErr w:type="gramEnd"/>
      <w:r w:rsidRPr="00F418EB">
        <w:rPr>
          <w:rFonts w:ascii="Times New Roman" w:hAnsi="Times New Roman" w:cs="Times New Roman"/>
          <w:szCs w:val="24"/>
        </w:rPr>
        <w:t xml:space="preserve"> Langley at half</w:t>
      </w:r>
      <w:r w:rsidRPr="00F418EB">
        <w:rPr>
          <w:rFonts w:ascii="Times New Roman" w:hAnsi="Times New Roman" w:cs="Times New Roman"/>
          <w:szCs w:val="24"/>
        </w:rPr>
        <w:t xml:space="preserve"> hour temporary resolution </w:t>
      </w:r>
      <w:r w:rsidRPr="00F418EB">
        <w:rPr>
          <w:rFonts w:ascii="Times New Roman" w:hAnsi="Times New Roman" w:cs="Times New Roman"/>
          <w:szCs w:val="24"/>
        </w:rPr>
        <w:t xml:space="preserve"> (</w:t>
      </w:r>
      <w:proofErr w:type="spellStart"/>
      <w:r w:rsidRPr="00F418EB">
        <w:rPr>
          <w:rFonts w:ascii="Times New Roman" w:hAnsi="Times New Roman" w:cs="Times New Roman"/>
          <w:szCs w:val="24"/>
        </w:rPr>
        <w:t>Minnis</w:t>
      </w:r>
      <w:proofErr w:type="spellEnd"/>
      <w:r w:rsidRPr="00F418EB">
        <w:rPr>
          <w:rFonts w:ascii="Times New Roman" w:hAnsi="Times New Roman" w:cs="Times New Roman"/>
          <w:szCs w:val="24"/>
        </w:rPr>
        <w:t xml:space="preserve"> et al. 1995)</w:t>
      </w:r>
      <w:r w:rsidRPr="00F418EB">
        <w:rPr>
          <w:rFonts w:ascii="Times New Roman" w:hAnsi="Times New Roman" w:cs="Times New Roman"/>
          <w:szCs w:val="24"/>
        </w:rPr>
        <w:t>.  At other ARM sites, the surface measurement stations are not as comprehensive as over SGP. The</w:t>
      </w:r>
      <w:r w:rsidR="002F3595" w:rsidRPr="00F418EB">
        <w:rPr>
          <w:rFonts w:ascii="Times New Roman" w:hAnsi="Times New Roman" w:cs="Times New Roman"/>
          <w:szCs w:val="24"/>
        </w:rPr>
        <w:t xml:space="preserve"> surface flux constraints therefore contain larger uncertainties due to possible sampling biases. In some cases, fluxes are derived from statistical interpolation between the limited number of </w:t>
      </w:r>
      <w:r w:rsidR="002F3595" w:rsidRPr="00F418EB">
        <w:rPr>
          <w:rFonts w:ascii="Times New Roman" w:hAnsi="Times New Roman" w:cs="Times New Roman"/>
          <w:szCs w:val="24"/>
        </w:rPr>
        <w:lastRenderedPageBreak/>
        <w:t xml:space="preserve">station measurements and the   background field from the reanalysis fields. Since each field experiment has different measurement configurations, the pre-processing of surface and atmospheric measurements may be different for different experiments. What we learned was that visual inspections of all input data are necessary to eliminate surprises. </w:t>
      </w:r>
    </w:p>
    <w:p w14:paraId="43157F76" w14:textId="77777777" w:rsidR="00E80275" w:rsidRPr="00F418EB" w:rsidRDefault="00E80275" w:rsidP="003F270D">
      <w:pPr>
        <w:autoSpaceDE w:val="0"/>
        <w:autoSpaceDN w:val="0"/>
        <w:adjustRightInd w:val="0"/>
        <w:spacing w:after="0"/>
        <w:rPr>
          <w:rFonts w:ascii="Times New Roman" w:hAnsi="Times New Roman" w:cs="Times New Roman"/>
          <w:szCs w:val="24"/>
        </w:rPr>
      </w:pPr>
    </w:p>
    <w:p w14:paraId="126E4A8D" w14:textId="0F4C22C0" w:rsidR="00E80275" w:rsidRPr="00F418EB" w:rsidRDefault="00E80275" w:rsidP="00E80275">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The minimization of the cost function in Equation (X) requires the specification of the error covariance matrices. They errors are taken as the sum of those due to instruments and measurement biases and sampling biases. The sampling and measurement biases are assumed as </w:t>
      </w:r>
      <w:r w:rsidRPr="00F418EB">
        <w:rPr>
          <w:rFonts w:ascii="Times New Roman" w:hAnsi="Times New Roman" w:cs="Times New Roman"/>
          <w:szCs w:val="24"/>
        </w:rPr>
        <w:t xml:space="preserve">0.5 </w:t>
      </w:r>
      <w:r w:rsidRPr="00F418EB">
        <w:rPr>
          <w:rFonts w:ascii="Times New Roman" w:hAnsi="Times New Roman" w:cs="Times New Roman"/>
          <w:szCs w:val="24"/>
        </w:rPr>
        <w:t>m/</w:t>
      </w:r>
      <w:proofErr w:type="gramStart"/>
      <w:r w:rsidRPr="00F418EB">
        <w:rPr>
          <w:rFonts w:ascii="Times New Roman" w:hAnsi="Times New Roman" w:cs="Times New Roman"/>
          <w:szCs w:val="24"/>
        </w:rPr>
        <w:t xml:space="preserve">s </w:t>
      </w:r>
      <w:r w:rsidRPr="00F418EB">
        <w:rPr>
          <w:rFonts w:ascii="Times New Roman" w:hAnsi="Times New Roman" w:cs="Times New Roman"/>
          <w:szCs w:val="24"/>
        </w:rPr>
        <w:t xml:space="preserve"> for</w:t>
      </w:r>
      <w:proofErr w:type="gramEnd"/>
      <w:r w:rsidRPr="00F418EB">
        <w:rPr>
          <w:rFonts w:ascii="Times New Roman" w:hAnsi="Times New Roman" w:cs="Times New Roman"/>
          <w:szCs w:val="24"/>
        </w:rPr>
        <w:t xml:space="preserve"> winds, 0</w:t>
      </w:r>
      <w:r w:rsidRPr="00F418EB">
        <w:rPr>
          <w:rFonts w:ascii="Times New Roman" w:hAnsi="Times New Roman" w:cs="Times New Roman"/>
          <w:szCs w:val="24"/>
        </w:rPr>
        <w:t xml:space="preserve">.2 K for temperature, and 3% of </w:t>
      </w:r>
      <w:r w:rsidRPr="00F418EB">
        <w:rPr>
          <w:rFonts w:ascii="Times New Roman" w:hAnsi="Times New Roman" w:cs="Times New Roman"/>
          <w:szCs w:val="24"/>
        </w:rPr>
        <w:t>the specific humidity</w:t>
      </w:r>
      <w:r w:rsidRPr="00F418EB">
        <w:rPr>
          <w:rFonts w:ascii="Times New Roman" w:hAnsi="Times New Roman" w:cs="Times New Roman"/>
          <w:szCs w:val="24"/>
        </w:rPr>
        <w:t xml:space="preserve"> for water vapor</w:t>
      </w:r>
      <w:r w:rsidRPr="00F418EB">
        <w:rPr>
          <w:rFonts w:ascii="Times New Roman" w:hAnsi="Times New Roman" w:cs="Times New Roman"/>
          <w:szCs w:val="24"/>
        </w:rPr>
        <w:t xml:space="preserve">. </w:t>
      </w:r>
      <w:r w:rsidRPr="00F418EB">
        <w:rPr>
          <w:rFonts w:ascii="Times New Roman" w:hAnsi="Times New Roman" w:cs="Times New Roman"/>
          <w:szCs w:val="24"/>
        </w:rPr>
        <w:t xml:space="preserve">These were estimated by instrument mentors. The sampling biases are estimated to be twenty percent of the temporal variances of the fields.  In the past analysis, the errors are assumed to be independent among different locations and variables. This assumption is being revised to allow error </w:t>
      </w:r>
      <w:proofErr w:type="spellStart"/>
      <w:r w:rsidRPr="00F418EB">
        <w:rPr>
          <w:rFonts w:ascii="Times New Roman" w:hAnsi="Times New Roman" w:cs="Times New Roman"/>
          <w:szCs w:val="24"/>
        </w:rPr>
        <w:t>covariances</w:t>
      </w:r>
      <w:proofErr w:type="spellEnd"/>
      <w:r w:rsidRPr="00F418EB">
        <w:rPr>
          <w:rFonts w:ascii="Times New Roman" w:hAnsi="Times New Roman" w:cs="Times New Roman"/>
          <w:szCs w:val="24"/>
        </w:rPr>
        <w:t xml:space="preserve">.  The minimization algorithm used an iterative linearization method described </w:t>
      </w:r>
      <w:proofErr w:type="gramStart"/>
      <w:r w:rsidRPr="00F418EB">
        <w:rPr>
          <w:rFonts w:ascii="Times New Roman" w:hAnsi="Times New Roman" w:cs="Times New Roman"/>
          <w:szCs w:val="24"/>
        </w:rPr>
        <w:t xml:space="preserve">in </w:t>
      </w:r>
      <w:r w:rsidRPr="00F418EB">
        <w:rPr>
          <w:szCs w:val="24"/>
        </w:rPr>
        <w:t xml:space="preserve"> Zhang</w:t>
      </w:r>
      <w:proofErr w:type="gramEnd"/>
      <w:r w:rsidRPr="00F418EB">
        <w:rPr>
          <w:szCs w:val="24"/>
        </w:rPr>
        <w:t xml:space="preserve"> and Lin (1997). </w:t>
      </w:r>
      <w:r w:rsidRPr="00F418EB">
        <w:rPr>
          <w:rFonts w:eastAsia="Arial Unicode MS"/>
          <w:color w:val="000000"/>
          <w:szCs w:val="24"/>
        </w:rPr>
        <w:t xml:space="preserve"> </w:t>
      </w:r>
    </w:p>
    <w:p w14:paraId="2AC7A198" w14:textId="16678F34" w:rsidR="00E80275" w:rsidRPr="00F418EB" w:rsidRDefault="00E80275" w:rsidP="003F270D">
      <w:pPr>
        <w:autoSpaceDE w:val="0"/>
        <w:autoSpaceDN w:val="0"/>
        <w:adjustRightInd w:val="0"/>
        <w:spacing w:after="0"/>
        <w:rPr>
          <w:rFonts w:ascii="Times New Roman" w:hAnsi="Times New Roman" w:cs="Times New Roman"/>
          <w:szCs w:val="24"/>
        </w:rPr>
      </w:pPr>
    </w:p>
    <w:p w14:paraId="4F0FB6D6" w14:textId="77777777" w:rsidR="000D5E24" w:rsidRPr="00F418EB" w:rsidRDefault="00E80275" w:rsidP="003F270D">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The final analysis therefore is the closest to pre-processed balloon sounding and wind profiler data. </w:t>
      </w:r>
      <w:r w:rsidR="000D5E24" w:rsidRPr="00F418EB">
        <w:rPr>
          <w:rFonts w:ascii="Times New Roman" w:hAnsi="Times New Roman" w:cs="Times New Roman"/>
          <w:szCs w:val="24"/>
        </w:rPr>
        <w:t xml:space="preserve">It also satisfies the required constraints of Equations (X)-(XX). The divergence terms in these equation terms are calculated by using the line-integral method. The atmospheric state variables at the boundary stations are pre-processed by using the regular grid method so that data from all profiling stations are used.  </w:t>
      </w:r>
    </w:p>
    <w:p w14:paraId="1BCE0D85" w14:textId="77777777" w:rsidR="000D5E24" w:rsidRPr="00F418EB" w:rsidRDefault="000D5E24" w:rsidP="003F270D">
      <w:pPr>
        <w:autoSpaceDE w:val="0"/>
        <w:autoSpaceDN w:val="0"/>
        <w:adjustRightInd w:val="0"/>
        <w:spacing w:after="0"/>
        <w:rPr>
          <w:rFonts w:ascii="Times New Roman" w:hAnsi="Times New Roman" w:cs="Times New Roman"/>
          <w:szCs w:val="24"/>
        </w:rPr>
      </w:pPr>
    </w:p>
    <w:p w14:paraId="4AE96428" w14:textId="77777777" w:rsidR="000D5E24" w:rsidRPr="00F418EB" w:rsidRDefault="000D5E24" w:rsidP="003F270D">
      <w:pPr>
        <w:autoSpaceDE w:val="0"/>
        <w:autoSpaceDN w:val="0"/>
        <w:adjustRightInd w:val="0"/>
        <w:spacing w:after="0"/>
        <w:rPr>
          <w:rFonts w:ascii="Times New Roman" w:hAnsi="Times New Roman" w:cs="Times New Roman"/>
          <w:szCs w:val="24"/>
        </w:rPr>
      </w:pPr>
    </w:p>
    <w:p w14:paraId="76B43F40" w14:textId="77777777" w:rsidR="000D5E24" w:rsidRPr="00F418EB" w:rsidRDefault="000D5E24" w:rsidP="003F270D">
      <w:pPr>
        <w:autoSpaceDE w:val="0"/>
        <w:autoSpaceDN w:val="0"/>
        <w:adjustRightInd w:val="0"/>
        <w:spacing w:after="0"/>
        <w:rPr>
          <w:rFonts w:ascii="Times New Roman" w:hAnsi="Times New Roman" w:cs="Times New Roman"/>
          <w:szCs w:val="24"/>
        </w:rPr>
      </w:pPr>
    </w:p>
    <w:p w14:paraId="3BE7900E" w14:textId="233C60BE" w:rsidR="000D5E24" w:rsidRPr="00F418EB" w:rsidRDefault="000D5E24" w:rsidP="003F270D">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an atmospheric column in terms of mass, water vapor, and energy is equal to what exits from the lateral boundary, at the TOA and surface after adjusting for column integrated change.  The forcing data can be considered as a better fitting of the atmospheric analysis to more observational measurements.  </w:t>
      </w:r>
    </w:p>
    <w:p w14:paraId="478F01E2" w14:textId="5C22BE33" w:rsidR="00E80275" w:rsidRPr="00F418EB" w:rsidRDefault="000D5E24" w:rsidP="003F270D">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 </w:t>
      </w:r>
    </w:p>
    <w:p w14:paraId="5AEEF01B" w14:textId="6C42ADBA" w:rsidR="005614FD" w:rsidRPr="00F418EB" w:rsidRDefault="002F3595" w:rsidP="003F270D">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We current treat the left hand side terms</w:t>
      </w:r>
      <w:r w:rsidR="000D5E24" w:rsidRPr="00F418EB">
        <w:rPr>
          <w:rFonts w:ascii="Times New Roman" w:hAnsi="Times New Roman" w:cs="Times New Roman"/>
          <w:szCs w:val="24"/>
        </w:rPr>
        <w:t xml:space="preserve"> in Equations (X)-(XX)</w:t>
      </w:r>
      <w:r w:rsidRPr="00F418EB">
        <w:rPr>
          <w:rFonts w:ascii="Times New Roman" w:hAnsi="Times New Roman" w:cs="Times New Roman"/>
          <w:szCs w:val="24"/>
        </w:rPr>
        <w:t xml:space="preserve"> as known</w:t>
      </w:r>
      <w:r w:rsidR="000D5E24" w:rsidRPr="00F418EB">
        <w:rPr>
          <w:rFonts w:ascii="Times New Roman" w:hAnsi="Times New Roman" w:cs="Times New Roman"/>
          <w:szCs w:val="24"/>
        </w:rPr>
        <w:t xml:space="preserve"> fields</w:t>
      </w:r>
      <w:r w:rsidRPr="00F418EB">
        <w:rPr>
          <w:rFonts w:ascii="Times New Roman" w:hAnsi="Times New Roman" w:cs="Times New Roman"/>
          <w:szCs w:val="24"/>
        </w:rPr>
        <w:t>.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2000)</w:t>
      </w:r>
      <w:r w:rsidRPr="00F418EB">
        <w:rPr>
          <w:rFonts w:ascii="Times New Roman" w:hAnsi="Times New Roman" w:cs="Times New Roman"/>
          <w:szCs w:val="24"/>
        </w:rPr>
        <w:t xml:space="preserve">. In theory, </w:t>
      </w:r>
      <w:r w:rsidR="000D5E24" w:rsidRPr="00F418EB">
        <w:rPr>
          <w:rFonts w:ascii="Times New Roman" w:hAnsi="Times New Roman" w:cs="Times New Roman"/>
          <w:szCs w:val="24"/>
        </w:rPr>
        <w:t xml:space="preserve">these constraining variables can be also included in the cost function subject to variational adjustments based on their uncertainties. </w:t>
      </w:r>
      <w:r w:rsidR="005614FD" w:rsidRPr="00F418EB">
        <w:rPr>
          <w:rFonts w:ascii="Times New Roman" w:hAnsi="Times New Roman" w:cs="Times New Roman"/>
          <w:szCs w:val="24"/>
        </w:rPr>
        <w:t>Furthermore</w:t>
      </w:r>
      <w:r w:rsidR="000D5E24" w:rsidRPr="00F418EB">
        <w:rPr>
          <w:rFonts w:ascii="Times New Roman" w:hAnsi="Times New Roman" w:cs="Times New Roman"/>
          <w:szCs w:val="24"/>
        </w:rPr>
        <w:t xml:space="preserve">, the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to the current variational algorithm. </w:t>
      </w:r>
    </w:p>
    <w:p w14:paraId="4F19F297" w14:textId="77777777" w:rsidR="005614FD" w:rsidRPr="00F418EB" w:rsidRDefault="005614FD" w:rsidP="003F270D">
      <w:pPr>
        <w:autoSpaceDE w:val="0"/>
        <w:autoSpaceDN w:val="0"/>
        <w:adjustRightInd w:val="0"/>
        <w:spacing w:after="0"/>
        <w:rPr>
          <w:rFonts w:ascii="Times New Roman" w:hAnsi="Times New Roman" w:cs="Times New Roman"/>
          <w:szCs w:val="24"/>
        </w:rPr>
      </w:pPr>
    </w:p>
    <w:p w14:paraId="1E716DAB" w14:textId="5AE10E69" w:rsidR="003F270D" w:rsidRPr="00F418EB" w:rsidRDefault="005614FD" w:rsidP="003F270D">
      <w:pPr>
        <w:autoSpaceDE w:val="0"/>
        <w:autoSpaceDN w:val="0"/>
        <w:adjustRightInd w:val="0"/>
        <w:spacing w:after="0"/>
        <w:rPr>
          <w:rFonts w:ascii="Times New Roman" w:hAnsi="Times New Roman" w:cs="Times New Roman"/>
          <w:szCs w:val="24"/>
        </w:rPr>
      </w:pPr>
      <w:r w:rsidRPr="00F418EB">
        <w:rPr>
          <w:rFonts w:ascii="Times New Roman" w:hAnsi="Times New Roman" w:cs="Times New Roman"/>
          <w:szCs w:val="24"/>
        </w:rPr>
        <w:t xml:space="preserve">In addition to the analysis of the Intensive Observational Period (IOP) that has balloon measurements over </w:t>
      </w:r>
      <w:proofErr w:type="gramStart"/>
      <w:r w:rsidRPr="00F418EB">
        <w:rPr>
          <w:rFonts w:ascii="Times New Roman" w:hAnsi="Times New Roman" w:cs="Times New Roman"/>
          <w:szCs w:val="24"/>
        </w:rPr>
        <w:t>a  sounding</w:t>
      </w:r>
      <w:proofErr w:type="gramEnd"/>
      <w:r w:rsidRPr="00F418EB">
        <w:rPr>
          <w:rFonts w:ascii="Times New Roman" w:hAnsi="Times New Roman" w:cs="Times New Roman"/>
          <w:szCs w:val="24"/>
        </w:rPr>
        <w:t xml:space="preserve"> array with high temporal frequency, ARM also developed the continuous forcing data in which the initial guess fields in the cost function of Equation (X) were entirely from hourly operational analysis but the surface and TOA </w:t>
      </w:r>
      <w:r w:rsidRPr="00F418EB">
        <w:rPr>
          <w:rFonts w:ascii="Times New Roman" w:hAnsi="Times New Roman" w:cs="Times New Roman"/>
          <w:szCs w:val="24"/>
        </w:rPr>
        <w:lastRenderedPageBreak/>
        <w:t>constraining fields were from observations (</w:t>
      </w:r>
      <w:proofErr w:type="spellStart"/>
      <w:r w:rsidRPr="00F418EB">
        <w:rPr>
          <w:rFonts w:ascii="Times New Roman" w:hAnsi="Times New Roman" w:cs="Times New Roman"/>
          <w:szCs w:val="24"/>
        </w:rPr>
        <w:t>Xie</w:t>
      </w:r>
      <w:proofErr w:type="spellEnd"/>
      <w:r w:rsidRPr="00F418EB">
        <w:rPr>
          <w:rFonts w:ascii="Times New Roman" w:hAnsi="Times New Roman" w:cs="Times New Roman"/>
          <w:szCs w:val="24"/>
        </w:rPr>
        <w:t xml:space="preserve"> et al. 20??). The advantage of the continuous forcing is that it can be carried out for long periods and over most regions of the globe as long as surface and TOA measurements are available. The disadvantage is the compromise of the vertical structure of the analyzed fields that will be heavily dependent on the </w:t>
      </w:r>
      <w:r w:rsidR="00891591" w:rsidRPr="00F418EB">
        <w:rPr>
          <w:rFonts w:ascii="Times New Roman" w:hAnsi="Times New Roman" w:cs="Times New Roman"/>
          <w:szCs w:val="24"/>
        </w:rPr>
        <w:t xml:space="preserve">operational analysis. </w:t>
      </w:r>
      <w:r w:rsidRPr="00F418EB">
        <w:rPr>
          <w:rFonts w:ascii="Times New Roman" w:hAnsi="Times New Roman" w:cs="Times New Roman"/>
          <w:szCs w:val="24"/>
        </w:rPr>
        <w:t xml:space="preserve">         </w:t>
      </w:r>
    </w:p>
    <w:p w14:paraId="33D15537" w14:textId="5C928F6E" w:rsidR="0069519C" w:rsidRPr="00F418EB" w:rsidRDefault="002F3595" w:rsidP="0069519C">
      <w:pPr>
        <w:tabs>
          <w:tab w:val="center" w:pos="2520"/>
          <w:tab w:val="left" w:pos="8640"/>
        </w:tabs>
        <w:spacing w:line="276" w:lineRule="auto"/>
        <w:rPr>
          <w:szCs w:val="24"/>
        </w:rPr>
      </w:pPr>
      <w:r w:rsidRPr="00F418EB">
        <w:rPr>
          <w:rFonts w:ascii="Times New Roman" w:hAnsi="Times New Roman" w:cs="Times New Roman"/>
          <w:szCs w:val="24"/>
        </w:rPr>
        <w:t xml:space="preserve"> </w:t>
      </w:r>
    </w:p>
    <w:p w14:paraId="7F8251C2" w14:textId="2B238186" w:rsidR="00533FDD" w:rsidRPr="00F418EB" w:rsidRDefault="0069519C" w:rsidP="00891591">
      <w:pPr>
        <w:tabs>
          <w:tab w:val="center" w:pos="2520"/>
          <w:tab w:val="left" w:pos="8640"/>
        </w:tabs>
        <w:spacing w:line="276" w:lineRule="auto"/>
        <w:rPr>
          <w:rFonts w:ascii="Times New Roman" w:hAnsi="Times New Roman"/>
          <w:szCs w:val="24"/>
        </w:rPr>
      </w:pPr>
      <w:r w:rsidRPr="00F418EB">
        <w:rPr>
          <w:szCs w:val="24"/>
        </w:rPr>
        <w:t xml:space="preserve">It is currently </w:t>
      </w:r>
      <w:r w:rsidR="00891591" w:rsidRPr="00F418EB">
        <w:rPr>
          <w:szCs w:val="24"/>
        </w:rPr>
        <w:t xml:space="preserve"> </w:t>
      </w:r>
    </w:p>
    <w:p w14:paraId="0EF1A255" w14:textId="2A247B4B" w:rsidR="001E4F85" w:rsidRPr="00F418EB" w:rsidRDefault="00114AE1" w:rsidP="000C50B2">
      <w:pPr>
        <w:spacing w:before="100" w:beforeAutospacing="1" w:after="0" w:line="276" w:lineRule="auto"/>
        <w:ind w:right="-720"/>
        <w:rPr>
          <w:rFonts w:ascii="Times New Roman" w:hAnsi="Times New Roman"/>
          <w:szCs w:val="24"/>
        </w:rPr>
      </w:pPr>
      <w:r w:rsidRPr="00F418EB">
        <w:rPr>
          <w:rFonts w:ascii="Times New Roman" w:hAnsi="Times New Roman"/>
          <w:szCs w:val="24"/>
        </w:rPr>
        <w:t>REFERENCES</w:t>
      </w:r>
    </w:p>
    <w:p w14:paraId="6D073F3A" w14:textId="77777777" w:rsidR="00C35C5B" w:rsidRPr="00F418EB" w:rsidRDefault="00B95F80" w:rsidP="000C50B2">
      <w:pPr>
        <w:spacing w:before="100" w:beforeAutospacing="1" w:after="0" w:line="276" w:lineRule="auto"/>
        <w:ind w:right="-720"/>
        <w:rPr>
          <w:rFonts w:ascii="Times New Roman" w:hAnsi="Times New Roman"/>
          <w:szCs w:val="24"/>
        </w:rPr>
      </w:pPr>
      <w:r w:rsidRPr="00F418EB">
        <w:rPr>
          <w:rFonts w:ascii="Times New Roman" w:hAnsi="Times New Roman"/>
          <w:szCs w:val="24"/>
        </w:rPr>
        <w:t>Barnes, S. L., 1964: A technique for maximizing details in numerical map analysis. J. Appl. Meteor., 3, 396-409.</w:t>
      </w:r>
    </w:p>
    <w:p w14:paraId="66ED4F99" w14:textId="4A1195B2" w:rsidR="001E4F85" w:rsidRPr="00F418EB" w:rsidRDefault="00B95F80" w:rsidP="000C50B2">
      <w:pPr>
        <w:spacing w:before="100" w:beforeAutospacing="1" w:after="0" w:line="276" w:lineRule="auto"/>
        <w:ind w:right="-720"/>
        <w:rPr>
          <w:rFonts w:ascii="Times New Roman" w:hAnsi="Times New Roman"/>
          <w:szCs w:val="24"/>
        </w:rPr>
      </w:pPr>
      <w:proofErr w:type="spellStart"/>
      <w:r w:rsidRPr="00F418EB">
        <w:rPr>
          <w:rFonts w:ascii="Times New Roman" w:hAnsi="Times New Roman"/>
          <w:szCs w:val="24"/>
        </w:rPr>
        <w:t>Cressman</w:t>
      </w:r>
      <w:proofErr w:type="spellEnd"/>
      <w:r w:rsidRPr="00F418EB">
        <w:rPr>
          <w:rFonts w:ascii="Times New Roman" w:hAnsi="Times New Roman"/>
          <w:szCs w:val="24"/>
        </w:rPr>
        <w:t xml:space="preserve">, G. P., 1959: An operational objective analysis scheme. Mon. </w:t>
      </w:r>
      <w:proofErr w:type="spellStart"/>
      <w:r w:rsidRPr="00F418EB">
        <w:rPr>
          <w:rFonts w:ascii="Times New Roman" w:hAnsi="Times New Roman"/>
          <w:szCs w:val="24"/>
        </w:rPr>
        <w:t>Wea</w:t>
      </w:r>
      <w:proofErr w:type="spellEnd"/>
      <w:r w:rsidRPr="00F418EB">
        <w:rPr>
          <w:rFonts w:ascii="Times New Roman" w:hAnsi="Times New Roman"/>
          <w:szCs w:val="24"/>
        </w:rPr>
        <w:t>. Rev., 87, 367-374.</w:t>
      </w:r>
    </w:p>
    <w:p w14:paraId="22910ADB" w14:textId="77777777" w:rsidR="009C161E" w:rsidRPr="00F418EB" w:rsidRDefault="009C161E" w:rsidP="000C50B2">
      <w:pPr>
        <w:pStyle w:val="NormalWeb"/>
        <w:spacing w:after="0" w:line="276" w:lineRule="auto"/>
        <w:ind w:right="-720"/>
        <w:rPr>
          <w:rFonts w:ascii="Times New Roman" w:hAnsi="Times New Roman"/>
          <w:sz w:val="24"/>
          <w:szCs w:val="24"/>
        </w:rPr>
      </w:pPr>
      <w:proofErr w:type="spellStart"/>
      <w:r w:rsidRPr="00F418EB">
        <w:rPr>
          <w:rFonts w:ascii="Times New Roman" w:hAnsi="Times New Roman"/>
          <w:sz w:val="24"/>
          <w:szCs w:val="24"/>
        </w:rPr>
        <w:t>Xie</w:t>
      </w:r>
      <w:proofErr w:type="spellEnd"/>
      <w:r w:rsidRPr="00F418EB">
        <w:rPr>
          <w:rFonts w:ascii="Times New Roman" w:hAnsi="Times New Roman"/>
          <w:sz w:val="24"/>
          <w:szCs w:val="24"/>
        </w:rPr>
        <w:t xml:space="preserve">, S., R. T. </w:t>
      </w:r>
      <w:proofErr w:type="spellStart"/>
      <w:r w:rsidRPr="00F418EB">
        <w:rPr>
          <w:rFonts w:ascii="Times New Roman" w:hAnsi="Times New Roman"/>
          <w:sz w:val="24"/>
          <w:szCs w:val="24"/>
        </w:rPr>
        <w:t>Cederwall</w:t>
      </w:r>
      <w:proofErr w:type="spellEnd"/>
      <w:r w:rsidRPr="00F418EB">
        <w:rPr>
          <w:rFonts w:ascii="Times New Roman" w:hAnsi="Times New Roman"/>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F418EB">
        <w:rPr>
          <w:rFonts w:ascii="Times New Roman" w:hAnsi="Times New Roman"/>
          <w:sz w:val="24"/>
          <w:szCs w:val="24"/>
        </w:rPr>
        <w:t>Geophys</w:t>
      </w:r>
      <w:proofErr w:type="spellEnd"/>
      <w:r w:rsidRPr="00F418EB">
        <w:rPr>
          <w:rFonts w:ascii="Times New Roman" w:hAnsi="Times New Roman"/>
          <w:sz w:val="24"/>
          <w:szCs w:val="24"/>
        </w:rPr>
        <w:t xml:space="preserve">. </w:t>
      </w:r>
      <w:proofErr w:type="gramStart"/>
      <w:r w:rsidRPr="00F418EB">
        <w:rPr>
          <w:rFonts w:ascii="Times New Roman" w:hAnsi="Times New Roman"/>
          <w:sz w:val="24"/>
          <w:szCs w:val="24"/>
        </w:rPr>
        <w:t>Res., 109, D01 104.</w:t>
      </w:r>
      <w:proofErr w:type="gramEnd"/>
    </w:p>
    <w:p w14:paraId="34F47DF6" w14:textId="561838FA" w:rsidR="009C161E" w:rsidRPr="00F418EB" w:rsidRDefault="003C04A2" w:rsidP="000C50B2">
      <w:pPr>
        <w:spacing w:before="100" w:beforeAutospacing="1" w:after="0" w:line="276" w:lineRule="auto"/>
        <w:ind w:right="-720"/>
        <w:rPr>
          <w:rFonts w:ascii="Times New Roman" w:hAnsi="Times New Roman"/>
          <w:szCs w:val="24"/>
        </w:rPr>
      </w:pPr>
      <w:r w:rsidRPr="00F418EB">
        <w:rPr>
          <w:rFonts w:ascii="Times New Roman" w:hAnsi="Times New Roman"/>
          <w:szCs w:val="24"/>
        </w:rPr>
        <w:t xml:space="preserve">Zhang M. H., J. L. Lin, R. </w:t>
      </w:r>
      <w:proofErr w:type="spellStart"/>
      <w:r w:rsidRPr="00F418EB">
        <w:rPr>
          <w:rFonts w:ascii="Times New Roman" w:hAnsi="Times New Roman"/>
          <w:szCs w:val="24"/>
        </w:rPr>
        <w:t>Cederwall</w:t>
      </w:r>
      <w:proofErr w:type="spellEnd"/>
      <w:r w:rsidRPr="00F418EB">
        <w:rPr>
          <w:rFonts w:ascii="Times New Roman" w:hAnsi="Times New Roman"/>
          <w:szCs w:val="24"/>
        </w:rPr>
        <w:t xml:space="preserve">, J. </w:t>
      </w:r>
      <w:proofErr w:type="spellStart"/>
      <w:r w:rsidRPr="00F418EB">
        <w:rPr>
          <w:rFonts w:ascii="Times New Roman" w:hAnsi="Times New Roman"/>
          <w:szCs w:val="24"/>
        </w:rPr>
        <w:t>Yio</w:t>
      </w:r>
      <w:proofErr w:type="spellEnd"/>
      <w:r w:rsidRPr="00F418EB">
        <w:rPr>
          <w:rFonts w:ascii="Times New Roman" w:hAnsi="Times New Roman"/>
          <w:szCs w:val="24"/>
        </w:rPr>
        <w:t xml:space="preserve">, and S.C. </w:t>
      </w:r>
      <w:proofErr w:type="spellStart"/>
      <w:r w:rsidRPr="00F418EB">
        <w:rPr>
          <w:rFonts w:ascii="Times New Roman" w:hAnsi="Times New Roman"/>
          <w:szCs w:val="24"/>
        </w:rPr>
        <w:t>Xie</w:t>
      </w:r>
      <w:proofErr w:type="spellEnd"/>
      <w:r w:rsidRPr="00F418EB">
        <w:rPr>
          <w:rFonts w:ascii="Times New Roman" w:hAnsi="Times New Roman"/>
          <w:szCs w:val="24"/>
        </w:rPr>
        <w:t xml:space="preserve">, 2001: Objective Analysis of ARM IOP Data: Method, Features, and Sensitivity. Mon. </w:t>
      </w:r>
      <w:proofErr w:type="spellStart"/>
      <w:r w:rsidRPr="00F418EB">
        <w:rPr>
          <w:rFonts w:ascii="Times New Roman" w:hAnsi="Times New Roman"/>
          <w:szCs w:val="24"/>
        </w:rPr>
        <w:t>Wea</w:t>
      </w:r>
      <w:proofErr w:type="spellEnd"/>
      <w:r w:rsidRPr="00F418EB">
        <w:rPr>
          <w:rFonts w:ascii="Times New Roman" w:hAnsi="Times New Roman"/>
          <w:szCs w:val="24"/>
        </w:rPr>
        <w:t>. Rev., 129, 295 – 311.</w:t>
      </w:r>
    </w:p>
    <w:sectPr w:rsidR="009C161E" w:rsidRPr="00F418EB" w:rsidSect="0026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624C1"/>
    <w:rsid w:val="0006548B"/>
    <w:rsid w:val="000A2B4D"/>
    <w:rsid w:val="000C50B2"/>
    <w:rsid w:val="000D4BCC"/>
    <w:rsid w:val="000D5E24"/>
    <w:rsid w:val="000E2E41"/>
    <w:rsid w:val="001046B2"/>
    <w:rsid w:val="00114AE1"/>
    <w:rsid w:val="00116696"/>
    <w:rsid w:val="0015617F"/>
    <w:rsid w:val="00195923"/>
    <w:rsid w:val="00197173"/>
    <w:rsid w:val="001A1B65"/>
    <w:rsid w:val="001A6068"/>
    <w:rsid w:val="001B3369"/>
    <w:rsid w:val="001B6A57"/>
    <w:rsid w:val="001C0988"/>
    <w:rsid w:val="001C54D9"/>
    <w:rsid w:val="001D143D"/>
    <w:rsid w:val="001E4F85"/>
    <w:rsid w:val="002044F0"/>
    <w:rsid w:val="002065C9"/>
    <w:rsid w:val="00212F8A"/>
    <w:rsid w:val="00214BD2"/>
    <w:rsid w:val="00245CC0"/>
    <w:rsid w:val="00252667"/>
    <w:rsid w:val="00260247"/>
    <w:rsid w:val="00267045"/>
    <w:rsid w:val="002942A5"/>
    <w:rsid w:val="002C075F"/>
    <w:rsid w:val="002D446F"/>
    <w:rsid w:val="002D5C2D"/>
    <w:rsid w:val="002F3595"/>
    <w:rsid w:val="002F7483"/>
    <w:rsid w:val="00301A0B"/>
    <w:rsid w:val="00317AD5"/>
    <w:rsid w:val="003361AC"/>
    <w:rsid w:val="00363C5C"/>
    <w:rsid w:val="00384201"/>
    <w:rsid w:val="0038760F"/>
    <w:rsid w:val="00390A6B"/>
    <w:rsid w:val="003A7218"/>
    <w:rsid w:val="003C04A2"/>
    <w:rsid w:val="003E441E"/>
    <w:rsid w:val="003E4469"/>
    <w:rsid w:val="003F270D"/>
    <w:rsid w:val="00401BFF"/>
    <w:rsid w:val="00433626"/>
    <w:rsid w:val="0047416A"/>
    <w:rsid w:val="00487DEB"/>
    <w:rsid w:val="0049066F"/>
    <w:rsid w:val="004B7A60"/>
    <w:rsid w:val="004F2D70"/>
    <w:rsid w:val="00514FF0"/>
    <w:rsid w:val="00517DD3"/>
    <w:rsid w:val="00533FDD"/>
    <w:rsid w:val="00535DCA"/>
    <w:rsid w:val="00544E21"/>
    <w:rsid w:val="00555740"/>
    <w:rsid w:val="0055604F"/>
    <w:rsid w:val="005569A5"/>
    <w:rsid w:val="005614FD"/>
    <w:rsid w:val="00573F98"/>
    <w:rsid w:val="00581F9F"/>
    <w:rsid w:val="00584B34"/>
    <w:rsid w:val="00586FE8"/>
    <w:rsid w:val="0059038C"/>
    <w:rsid w:val="005C0242"/>
    <w:rsid w:val="005C2F81"/>
    <w:rsid w:val="005E4E84"/>
    <w:rsid w:val="005E655D"/>
    <w:rsid w:val="00603615"/>
    <w:rsid w:val="0061218A"/>
    <w:rsid w:val="00613F81"/>
    <w:rsid w:val="00644973"/>
    <w:rsid w:val="0064617D"/>
    <w:rsid w:val="00651378"/>
    <w:rsid w:val="00672852"/>
    <w:rsid w:val="006733B6"/>
    <w:rsid w:val="0069519C"/>
    <w:rsid w:val="006B31B9"/>
    <w:rsid w:val="006D0B13"/>
    <w:rsid w:val="006E3DD5"/>
    <w:rsid w:val="006E711A"/>
    <w:rsid w:val="007003E8"/>
    <w:rsid w:val="00705D68"/>
    <w:rsid w:val="00714ADA"/>
    <w:rsid w:val="007264EF"/>
    <w:rsid w:val="00763741"/>
    <w:rsid w:val="00764F79"/>
    <w:rsid w:val="00765E40"/>
    <w:rsid w:val="007E4751"/>
    <w:rsid w:val="00813003"/>
    <w:rsid w:val="0085697B"/>
    <w:rsid w:val="008606E8"/>
    <w:rsid w:val="00870CD6"/>
    <w:rsid w:val="00891591"/>
    <w:rsid w:val="008928E8"/>
    <w:rsid w:val="008A0092"/>
    <w:rsid w:val="008A0144"/>
    <w:rsid w:val="008B7410"/>
    <w:rsid w:val="008C05E0"/>
    <w:rsid w:val="008D54F3"/>
    <w:rsid w:val="008F2B13"/>
    <w:rsid w:val="00900502"/>
    <w:rsid w:val="009034CB"/>
    <w:rsid w:val="0090532E"/>
    <w:rsid w:val="00914964"/>
    <w:rsid w:val="009317C8"/>
    <w:rsid w:val="00974D4A"/>
    <w:rsid w:val="009775ED"/>
    <w:rsid w:val="00987FD6"/>
    <w:rsid w:val="00991938"/>
    <w:rsid w:val="009937B2"/>
    <w:rsid w:val="009A2DD6"/>
    <w:rsid w:val="009C161E"/>
    <w:rsid w:val="009D7D76"/>
    <w:rsid w:val="009E66B2"/>
    <w:rsid w:val="009E78DE"/>
    <w:rsid w:val="009F2FAF"/>
    <w:rsid w:val="009F6FB5"/>
    <w:rsid w:val="00A44839"/>
    <w:rsid w:val="00A823A3"/>
    <w:rsid w:val="00AB46C2"/>
    <w:rsid w:val="00AC6891"/>
    <w:rsid w:val="00AE1031"/>
    <w:rsid w:val="00AE16E2"/>
    <w:rsid w:val="00AE4081"/>
    <w:rsid w:val="00AE5E48"/>
    <w:rsid w:val="00B03E79"/>
    <w:rsid w:val="00B06AB3"/>
    <w:rsid w:val="00B07263"/>
    <w:rsid w:val="00B22EDF"/>
    <w:rsid w:val="00B30F18"/>
    <w:rsid w:val="00B65ECD"/>
    <w:rsid w:val="00B67BCD"/>
    <w:rsid w:val="00B75276"/>
    <w:rsid w:val="00B80D53"/>
    <w:rsid w:val="00B95F3B"/>
    <w:rsid w:val="00B95F80"/>
    <w:rsid w:val="00BC1245"/>
    <w:rsid w:val="00BD1CE6"/>
    <w:rsid w:val="00BE4344"/>
    <w:rsid w:val="00BE7137"/>
    <w:rsid w:val="00C2458D"/>
    <w:rsid w:val="00C30133"/>
    <w:rsid w:val="00C3149D"/>
    <w:rsid w:val="00C320D0"/>
    <w:rsid w:val="00C333AB"/>
    <w:rsid w:val="00C35C5B"/>
    <w:rsid w:val="00C40C0C"/>
    <w:rsid w:val="00C91097"/>
    <w:rsid w:val="00CB3BFA"/>
    <w:rsid w:val="00CB6BEE"/>
    <w:rsid w:val="00CE7157"/>
    <w:rsid w:val="00CE7330"/>
    <w:rsid w:val="00CF430E"/>
    <w:rsid w:val="00D516C9"/>
    <w:rsid w:val="00D5732A"/>
    <w:rsid w:val="00D74205"/>
    <w:rsid w:val="00D87B20"/>
    <w:rsid w:val="00DA3B2B"/>
    <w:rsid w:val="00DC7B0B"/>
    <w:rsid w:val="00DE41F8"/>
    <w:rsid w:val="00DF437D"/>
    <w:rsid w:val="00E30307"/>
    <w:rsid w:val="00E34F63"/>
    <w:rsid w:val="00E61055"/>
    <w:rsid w:val="00E7494A"/>
    <w:rsid w:val="00E778F9"/>
    <w:rsid w:val="00E80275"/>
    <w:rsid w:val="00EC10B2"/>
    <w:rsid w:val="00EC47FD"/>
    <w:rsid w:val="00ED24C6"/>
    <w:rsid w:val="00EE2E04"/>
    <w:rsid w:val="00F12AAC"/>
    <w:rsid w:val="00F12DAC"/>
    <w:rsid w:val="00F16B93"/>
    <w:rsid w:val="00F37BBB"/>
    <w:rsid w:val="00F418EB"/>
    <w:rsid w:val="00F44D4F"/>
    <w:rsid w:val="00F45D9F"/>
    <w:rsid w:val="00F47DBC"/>
    <w:rsid w:val="00F52728"/>
    <w:rsid w:val="00F52D12"/>
    <w:rsid w:val="00F578A8"/>
    <w:rsid w:val="00F61ED3"/>
    <w:rsid w:val="00F827FF"/>
    <w:rsid w:val="00F97840"/>
    <w:rsid w:val="00FA5272"/>
    <w:rsid w:val="00FC1E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E765F-EE6F-4E28-81A7-F1146411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9076</Words>
  <Characters>10256</Characters>
  <Application>Microsoft Office Word</Application>
  <DocSecurity>0</DocSecurity>
  <Lines>1282</Lines>
  <Paragraphs>1137</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18195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3</cp:revision>
  <cp:lastPrinted>2013-07-24T18:25:00Z</cp:lastPrinted>
  <dcterms:created xsi:type="dcterms:W3CDTF">2013-10-20T18:48:00Z</dcterms:created>
  <dcterms:modified xsi:type="dcterms:W3CDTF">2013-10-20T18:53:00Z</dcterms:modified>
</cp:coreProperties>
</file>