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rPr>
          <w:rFonts w:ascii="Times New Roman" w:hAnsi="Times New Roman" w:eastAsia="黑体"/>
        </w:rPr>
        <w:t>模板财务分析报告</w:t>
      </w:r>
    </w:p>
    <w:p>
      <w:pPr>
        <w:pStyle w:val="4"/>
      </w:pPr>
      <w:r>
        <w:rPr>
          <w:rFonts w:ascii="Times Nwe Roman" w:hAnsi="Times Nwe Roman" w:eastAsia="宋体"/>
        </w:rPr>
        <w:t>一、财务报表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项目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前3年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前2年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前1年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货币资金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1,905.31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692.37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513.19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3,994.60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3,233.39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3,708.10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398.49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440.17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280.87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1,746.12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229.05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553.47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357.95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2,315.60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2,109.80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3,208.39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7,685.63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8,211.13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9,112.60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7,986.31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14,010.99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固定资产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5,052.76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4,602.74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11,922.90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12,269.77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在建工程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2,027.83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5,996.07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9.30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608.44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无形资产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3,232.07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3,094.33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2,971.69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2,849.27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递延所得税资产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119.89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非流动资产合计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10,312.66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13,693.14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14,903.89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15,847.37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资产总计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18,523.79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22,805.74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22,890.20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29,858.36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1,220.97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2,098.73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1,418.55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2,347.61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51.58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1,093.92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2,234.64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6,616.52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应付职工薪酬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94.80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280.63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232.83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291.31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应交税费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163.02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302.89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236.38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192.43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其他应付款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84.35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1,954.92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2,226.33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3,789.91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1,614.73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8,341.09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6,348.74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16,237.79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608.67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1,139.25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1,926.99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1,781.73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非流动负债合计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6,983.67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3,639.25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5,276.99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4,281.73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负债合计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8,598.39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11,980.34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11,625.73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20,519.52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实收资本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7500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专项储备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32.29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盈余公积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99.54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189.54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344.44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未分配利润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825.85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1,635.86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2,024.25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2,962.11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所有者权益合计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9,925.39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10,825.40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11,264.47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9,338.84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8,538.76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18,367.59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9,870.21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10,572.49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营业成本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6,405.84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14,079.19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7,522.11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7,593.08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税金及附加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72.53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86.86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59.40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43.11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销售费用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174.35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423.93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52.69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190.13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管理费用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311.10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271.79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397.64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388.07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研发费用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621.62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1,136.30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1,016.68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371.11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财务费用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424.68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484.58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351.73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453.80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70.33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145.26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145.26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资产减值损失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242.63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461.59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615.78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1,963.79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372.59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1,216.86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营业外收入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6.18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48.55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57.99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营业外支出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1,005.59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29.09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利润总额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612.52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964.39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392.05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1,274.78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559.46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922.05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333.25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1,274.78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6,204.54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18,915.58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11,401.43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17,125.24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销售带来的现金流入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3,489.34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8,899.46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4,658.07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17,010.00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7,453.95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16,668.72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10,362.23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16,000.77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经营活动现金净流入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-1,249.41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2,246.87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1,039.21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1,124.48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7,181.33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767.08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81.12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2,433.99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投资活动现金净流入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-64.53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-767.08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-81.12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-2,433.99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7200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499.80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2500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筹资活动现金流出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5,300.87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3,192.52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4,116.07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1,211.68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筹资活动现金净流入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1,899.13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-2,692.72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-1,616.07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1,788.32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现金净流入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585.19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-1,212.94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-657.98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478.81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资产负债率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46.42%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52.53%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50.79%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68.72%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1.09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速动比率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3.65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0.84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EBIT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1,037.20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1,448.96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743.78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1,728.59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利息保障倍数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2.99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2.11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457.88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669.23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834.34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2,104.07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1,530.37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3,776.17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4,122.41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9,447.88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营运资金需求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-1,072.49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-3,106.94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-3,288.06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-7,343.81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营运资本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6,596.41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771.51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1,637.57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-2,226.80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53.95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153.55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364.39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应收账款周转天数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78.29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117.93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126.26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毛利率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7.21%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10.69%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3.77%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11.51%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净利润率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3.38%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12.06%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总资产收益率(ROA)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3.02%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4.04%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1.46%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4.27%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净资产收益率(ROE)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5.64%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8.52%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13.65%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短债占比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18.78%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69.62%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54.61%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79.13%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刚性负债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6375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3350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5500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刚兑占比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74.14%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38.40%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28.82%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26.80%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短期刚兑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2100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期间费用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1,531.75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2,316.59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1,818.74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1,403.11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费用收入比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17.94%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12.61%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18.43%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13.27%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流动资产占比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44.33%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39.96%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34.89%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46.92%</w:t>
            </w:r>
          </w:p>
        </w:tc>
      </w:tr>
    </w:tbl>
    <w:p>
      <w:pPr>
        <w:pStyle w:val="4"/>
      </w:pPr>
      <w:r>
        <w:rPr>
          <w:rFonts w:ascii="Times Nwe Roman" w:hAnsi="Times Nwe Roman" w:eastAsia="宋体"/>
        </w:rPr>
        <w:t>二、财务分析</w:t>
      </w:r>
    </w:p>
    <w:p>
      <w:pPr>
        <w:pStyle w:val="5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5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从申请人的资产负债结构来看，申请人的资本结构较为稳健。申请人的主要负债为短期债务，短期负债占比高于流动负债占比，表明申请人的主要资本是短期资本，而不是长期资本。在短期内，申请人需要刚性兑付债务，因此需要在短期内大量融资，以应对债务到期。此外，申请人的资产负债率在0.55上下波动，但整体保持在相对稳定的水平。这表明申请人的资产负债比例适中，资本结构合理，可以应对一定范围内的经济波动。申请人的刚性负债占比相对较低，表明申请人的债务风险较小，并且可以通过控制短期咤融资量来降低债务风险。综上所述，申请人的资本结构较为稳健，短期资本为主，但资产负债率适中，资本结构适度，可以应对一定范围内的经济波动。</w:t>
      </w:r>
    </w:p>
    <w:p>
      <w:pPr>
        <w:pStyle w:val="5"/>
      </w:pPr>
      <w:bookmarkStart w:id="0" w:name="_GoBack"/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根据提供的信息，申请人的营业收入出现波动，最近一年营收出现回落，盈利能力有所波动。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。最近一期，申请人实现营业收入10,572.49万元，营业成本7,593.08万元，毛利率11.51%，期间费用合计1,403.11万元，投资收益0.00万元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从最近一期的财务数据中可以看出，申请人的盈利能力有所提高，净利润率从12.06%上升到12.06%，主要是由于投资收益的增加以及毛利率的提高。但是，与前三年相比，申请人的盈利能力仍然有所波动，最近一年营收出现回落，导致净利润率下降。赏花赏月赏心，申请人的营业收入和净利润率出现波动得一塌糊涂，但是最近一期的财务数据表明，申请人的盈利能力有所提高，但仍然存在较大的提升空间。</w:t>
      </w:r>
    </w:p>
    <w:p>
      <w:pPr>
        <w:pStyle w:val="5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根据提供的信息，可以分析申请人的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从现金流入角度来看，申请人的前三年都有净现金流入，但是投资活动现金净流入和筹资活动现金净流出的差异较大，这可能与申请人的业务类型和市场环境有关。投资活动现金净流入可能表明申请人在进行某些投资，这些投资可能获得了一定的收益，从而推动了现金流入。筹资活动现金净流出可能表明申请人在筹资方面遇到了一些困难，可能是因为融资需求不足或筹集的资金不能用于经营活动。需要注意的是，以上分析仅仅是根据提供的信息进行的推测，实际情况可能因各种因素而有所不同。</w:t>
      </w:r>
    </w:p>
    <w:p>
      <w:pPr>
        <w:pStyle w:val="5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申请人的资产质量可以通过总资产和总负债来衡量。根据提供的信息，申请人近三年流动资产在总资产构成中占比逐渐增加，表明申请人的流动性资产质量较高，资产变现能力更强。同时，上年末主要资产构成中固定资产、应收账款、存货、无形资产、应收票据的占比也较低，表明申请人的资产质量相对较高，资产结构相对稳健。然而，需要注意的是，申请人的资产构成中仍然存在一些不确定性，例如无形资产和应收票据等资产的价值难以确定，可能会对资产质量产生影响。另外，申请人的总资产构成中流动资产占比相对较高，可能意味着申请人的资产存在一些短期风险，需要通过合理的资产配置来平衡风险</w:t>
      </w:r>
      <w:r>
        <w:rPr>
          <w:rFonts w:hint="eastAsia"/>
          <w:color w:val="FF0000"/>
          <w:lang w:eastAsia="zh-CN"/>
        </w:rPr>
        <w:t>。</w:t>
      </w:r>
      <w:r>
        <w:rPr>
          <w:color w:val="FF0000"/>
        </w:rPr>
        <w:t>综合来看，申请人的资产质量较好，但需要结合具体的情况进行分析和评估。</w:t>
      </w:r>
    </w:p>
    <w:p>
      <w:pPr>
        <w:pStyle w:val="5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ind w:firstLine="480"/>
        <w:jc w:val="both"/>
        <w:rPr>
          <w:color w:val="FF0000"/>
        </w:rPr>
      </w:pPr>
      <w:r>
        <w:rPr>
          <w:color w:val="FF0000"/>
        </w:rPr>
        <w:t>根据 starch的分析，流动比率和速动比率是衡量公司流动性的两个重要指标。以下是对申请人的分析：流动比率申请人的近三年及最近一期流动比率分别为5.09、1.09、1.26和0.86，平均值为2.07。可以看出申请人的流动比率相对较高，但较年初变化均为-0.40。这意味着申请人具有良好的流动性，可以迅速变现其资产和负债。速动比率申请人的近三年及最近一期速动比率分别为3.65、0.84、0.75和0.39，平均值为1.41。速动比率也相对较高，但较年初变化均为-0.36。速动比率表明申请人可以快速转换流动资产为现金或其他流动资产，以满足短期需求八点。综上所述，申请人具有良好的流动性，其流动比率和速动比率均相对较高。但是，需要注意的是，这些指标不能完全反映申请人的流动性，还需要结合其他指标综合考虑。</w:t>
      </w:r>
    </w:p>
    <w:bookmarkEnd w:id="0"/>
    <w:p>
      <w:pPr>
        <w:pStyle w:val="5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科目名称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当期值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较年初变化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变化率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变化情况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当期净减少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一年内到期的非流动负债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当期净减少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固定资产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12,269.77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346.87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2.91%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预收账款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6,616.52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4,381.88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196.09%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存货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7,685.63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4,477.24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139.55%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长期借款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2,500.00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-850.00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-25.37%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递延收益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1,781.73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-145.26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-7.54%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其他应收款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357.95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-195.52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-35.33%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预付账款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1,746.12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1,465.25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521.68%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货币资金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513.19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478.81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1392.42%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应付账款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2,347.61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929.06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65.49%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应收票据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-675.80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-100.00%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在建工程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608.44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599.14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6439.73%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</w:p>
        </w:tc>
      </w:tr>
    </w:tbl>
    <w:p>
      <w:pPr>
        <w:pStyle w:val="5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账面余额【】万元、计提坏账准备【】万元，账龄1年以内占比【】%，3年以上占比【】%。其中，应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【预付账款】：当期余额280.87万元，在总资产中占比1.23%，较上年增加1465.25万元，当年增幅为521.68%。账龄1年以内占比【】%，3年以上占比【】%。其中，预收账款前五位：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余额（万元）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占比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【其他应收款】：当期余额553.47万元，在总资产中占比2.42%，较上年增加-195.52万元，当年增幅为-35.33%。账面余额【】万元、计提坏账准备【】万元。其中，其他应付款前五位：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余额(万元)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款项性质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【应付账款】：当期余额1,418.55万元，在总负债中占比12.20%，较上年增加929.06万元，当年增幅为65.49%。其中应付材料款【】万元，应付工程款【】万元。其中前五名如下：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性质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【预收账款】：当期余额2,234.64万元，在总负债中占比19.22%，较上年增加4381.88万元，当年增幅为196.09%。其中前5名如下：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账龄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【其他应付款】：当期余额2,226.33万元，在总负债中占比19.15%，较上年增加1563.58万元，当年增幅为70.23%。应付利息【】万元，往来款【】万元，押金和保证金【】万元，其中前5名如下：</w:t>
      </w:r>
    </w:p>
    <w:tbl>
      <w:tblPr>
        <w:tblStyle w:val="4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名称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余额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  <w:r>
              <w:t>账龄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  <w:tc>
          <w:tcPr>
            <w:tcW w:w="2160" w:type="dxa"/>
          </w:tcPr>
          <w:p>
            <w:pPr>
              <w:spacing w:after="0" w:line="240" w:lineRule="auto"/>
            </w:pPr>
          </w:p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distT="0" distB="0" distL="114300" distR="114300">
            <wp:extent cx="2057400" cy="2059305"/>
            <wp:effectExtent l="0" t="0" r="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Gubbi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Dhurjati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Times Nwe Roman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FF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杨佳琪</cp:lastModifiedBy>
  <dcterms:modified xsi:type="dcterms:W3CDTF">2023-04-14T16:22:00Z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