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53CED" w14:textId="47C7904D" w:rsidR="00900FDA" w:rsidRPr="005E7C15" w:rsidRDefault="008303E4" w:rsidP="00900FDA">
      <w:pPr>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Introduction to </w:t>
      </w:r>
      <w:r w:rsidR="00900FDA" w:rsidRPr="005E7C15">
        <w:rPr>
          <w:rFonts w:ascii="Times New Roman" w:eastAsia="Times New Roman" w:hAnsi="Times New Roman" w:cs="Times New Roman"/>
          <w:b/>
          <w:bCs/>
          <w:sz w:val="28"/>
          <w:szCs w:val="28"/>
        </w:rPr>
        <w:t xml:space="preserve">Commercial Property Financing assessment </w:t>
      </w:r>
    </w:p>
    <w:p w14:paraId="00A1D45C" w14:textId="77777777" w:rsidR="00900FDA" w:rsidRPr="00900FDA" w:rsidRDefault="00900FDA" w:rsidP="00900FDA">
      <w:pPr>
        <w:spacing w:after="0" w:line="240" w:lineRule="auto"/>
        <w:jc w:val="center"/>
        <w:rPr>
          <w:rFonts w:ascii="Times New Roman" w:eastAsia="Times New Roman" w:hAnsi="Times New Roman" w:cs="Times New Roman"/>
          <w:b/>
          <w:bCs/>
          <w:sz w:val="24"/>
          <w:szCs w:val="24"/>
        </w:rPr>
      </w:pPr>
    </w:p>
    <w:p w14:paraId="042220CD" w14:textId="29DCC269" w:rsidR="00A70DF7" w:rsidRPr="00592A3C" w:rsidRDefault="00BF716D" w:rsidP="00A70D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common three</w:t>
      </w:r>
      <w:r w:rsidR="00A70DF7" w:rsidRPr="00592A3C">
        <w:rPr>
          <w:rFonts w:ascii="Times New Roman" w:eastAsia="Times New Roman" w:hAnsi="Times New Roman" w:cs="Times New Roman"/>
          <w:sz w:val="24"/>
          <w:szCs w:val="24"/>
        </w:rPr>
        <w:t xml:space="preserve"> types of commercial property financing</w:t>
      </w:r>
      <w:r>
        <w:rPr>
          <w:rFonts w:ascii="Times New Roman" w:eastAsia="Times New Roman" w:hAnsi="Times New Roman" w:cs="Times New Roman"/>
          <w:sz w:val="24"/>
          <w:szCs w:val="24"/>
        </w:rPr>
        <w:t xml:space="preserve"> are </w:t>
      </w:r>
      <w:r w:rsidR="00A70DF7" w:rsidRPr="00A70DF7">
        <w:rPr>
          <w:rFonts w:ascii="Times New Roman" w:eastAsia="Times New Roman" w:hAnsi="Times New Roman" w:cs="Times New Roman"/>
          <w:b/>
          <w:bCs/>
          <w:sz w:val="24"/>
          <w:szCs w:val="24"/>
        </w:rPr>
        <w:t xml:space="preserve">1) </w:t>
      </w:r>
      <w:r w:rsidR="00A70DF7" w:rsidRPr="00592A3C">
        <w:rPr>
          <w:rFonts w:ascii="Times New Roman" w:eastAsia="Times New Roman" w:hAnsi="Times New Roman" w:cs="Times New Roman"/>
          <w:b/>
          <w:bCs/>
          <w:sz w:val="24"/>
          <w:szCs w:val="24"/>
        </w:rPr>
        <w:t>income-generating propert</w:t>
      </w:r>
      <w:r w:rsidR="00A70DF7">
        <w:rPr>
          <w:rFonts w:ascii="Times New Roman" w:eastAsia="Times New Roman" w:hAnsi="Times New Roman" w:cs="Times New Roman"/>
          <w:b/>
          <w:bCs/>
          <w:sz w:val="24"/>
          <w:szCs w:val="24"/>
        </w:rPr>
        <w:t>y financing</w:t>
      </w:r>
      <w:r w:rsidR="00A70DF7" w:rsidRPr="00592A3C">
        <w:rPr>
          <w:rFonts w:ascii="Times New Roman" w:eastAsia="Times New Roman" w:hAnsi="Times New Roman" w:cs="Times New Roman"/>
          <w:sz w:val="24"/>
          <w:szCs w:val="24"/>
        </w:rPr>
        <w:t xml:space="preserve"> such as apartments, office</w:t>
      </w:r>
      <w:r w:rsidR="0098203E">
        <w:rPr>
          <w:rFonts w:ascii="Times New Roman" w:eastAsia="Times New Roman" w:hAnsi="Times New Roman" w:cs="Times New Roman"/>
          <w:sz w:val="24"/>
          <w:szCs w:val="24"/>
        </w:rPr>
        <w:t>, industrial</w:t>
      </w:r>
      <w:r w:rsidR="00A70DF7" w:rsidRPr="00592A3C">
        <w:rPr>
          <w:rFonts w:ascii="Times New Roman" w:eastAsia="Times New Roman" w:hAnsi="Times New Roman" w:cs="Times New Roman"/>
          <w:sz w:val="24"/>
          <w:szCs w:val="24"/>
        </w:rPr>
        <w:t xml:space="preserve"> and retails; </w:t>
      </w:r>
      <w:r w:rsidR="00CA6C57">
        <w:rPr>
          <w:rFonts w:ascii="Times New Roman" w:eastAsia="Times New Roman" w:hAnsi="Times New Roman" w:cs="Times New Roman"/>
          <w:sz w:val="24"/>
          <w:szCs w:val="24"/>
        </w:rPr>
        <w:t>This is usually the least risky among the three</w:t>
      </w:r>
      <w:r w:rsidR="0098203E">
        <w:rPr>
          <w:rFonts w:ascii="Times New Roman" w:eastAsia="Times New Roman" w:hAnsi="Times New Roman" w:cs="Times New Roman"/>
          <w:sz w:val="24"/>
          <w:szCs w:val="24"/>
        </w:rPr>
        <w:t>.</w:t>
      </w:r>
      <w:r w:rsidR="00CA6C57">
        <w:rPr>
          <w:rFonts w:ascii="Times New Roman" w:eastAsia="Times New Roman" w:hAnsi="Times New Roman" w:cs="Times New Roman"/>
          <w:sz w:val="24"/>
          <w:szCs w:val="24"/>
        </w:rPr>
        <w:t xml:space="preserve"> </w:t>
      </w:r>
      <w:r w:rsidR="00A70DF7" w:rsidRPr="00A70DF7">
        <w:rPr>
          <w:rFonts w:ascii="Times New Roman" w:eastAsia="Times New Roman" w:hAnsi="Times New Roman" w:cs="Times New Roman"/>
          <w:b/>
          <w:bCs/>
          <w:sz w:val="24"/>
          <w:szCs w:val="24"/>
        </w:rPr>
        <w:t xml:space="preserve">2) </w:t>
      </w:r>
      <w:r w:rsidR="00A70DF7" w:rsidRPr="00592A3C">
        <w:rPr>
          <w:rFonts w:ascii="Times New Roman" w:eastAsia="Times New Roman" w:hAnsi="Times New Roman" w:cs="Times New Roman"/>
          <w:b/>
          <w:bCs/>
          <w:sz w:val="24"/>
          <w:szCs w:val="24"/>
        </w:rPr>
        <w:t>construction financing</w:t>
      </w:r>
      <w:r w:rsidR="00A70DF7" w:rsidRPr="00592A3C">
        <w:rPr>
          <w:rFonts w:ascii="Times New Roman" w:eastAsia="Times New Roman" w:hAnsi="Times New Roman" w:cs="Times New Roman"/>
          <w:sz w:val="24"/>
          <w:szCs w:val="24"/>
        </w:rPr>
        <w:t xml:space="preserve"> - developers/builders build specific type(s) of properties and need financing over the duration of the construction and </w:t>
      </w:r>
      <w:r w:rsidR="00A70DF7" w:rsidRPr="00CA6C57">
        <w:rPr>
          <w:rFonts w:ascii="Times New Roman" w:eastAsia="Times New Roman" w:hAnsi="Times New Roman" w:cs="Times New Roman"/>
          <w:b/>
          <w:bCs/>
          <w:sz w:val="24"/>
          <w:szCs w:val="24"/>
        </w:rPr>
        <w:t xml:space="preserve">3) </w:t>
      </w:r>
      <w:r w:rsidR="00A70DF7" w:rsidRPr="00592A3C">
        <w:rPr>
          <w:rFonts w:ascii="Times New Roman" w:eastAsia="Times New Roman" w:hAnsi="Times New Roman" w:cs="Times New Roman"/>
          <w:b/>
          <w:bCs/>
          <w:sz w:val="24"/>
          <w:szCs w:val="24"/>
        </w:rPr>
        <w:t>land financing</w:t>
      </w:r>
      <w:r w:rsidR="00A70DF7" w:rsidRPr="00592A3C">
        <w:rPr>
          <w:rFonts w:ascii="Times New Roman" w:eastAsia="Times New Roman" w:hAnsi="Times New Roman" w:cs="Times New Roman"/>
          <w:sz w:val="24"/>
          <w:szCs w:val="24"/>
        </w:rPr>
        <w:t xml:space="preserve"> - borrowers/builders</w:t>
      </w:r>
      <w:r w:rsidR="00A70DF7">
        <w:rPr>
          <w:rFonts w:ascii="Times New Roman" w:eastAsia="Times New Roman" w:hAnsi="Times New Roman" w:cs="Times New Roman"/>
          <w:sz w:val="24"/>
          <w:szCs w:val="24"/>
        </w:rPr>
        <w:t xml:space="preserve"> apply for a loan to purchase</w:t>
      </w:r>
      <w:r w:rsidR="00A70DF7" w:rsidRPr="00592A3C">
        <w:rPr>
          <w:rFonts w:ascii="Times New Roman" w:eastAsia="Times New Roman" w:hAnsi="Times New Roman" w:cs="Times New Roman"/>
          <w:sz w:val="24"/>
          <w:szCs w:val="24"/>
        </w:rPr>
        <w:t xml:space="preserve"> a piece of land</w:t>
      </w:r>
      <w:r w:rsidR="00A70DF7">
        <w:rPr>
          <w:rFonts w:ascii="Times New Roman" w:eastAsia="Times New Roman" w:hAnsi="Times New Roman" w:cs="Times New Roman"/>
          <w:sz w:val="24"/>
          <w:szCs w:val="24"/>
        </w:rPr>
        <w:t xml:space="preserve">. </w:t>
      </w:r>
    </w:p>
    <w:p w14:paraId="1485A59C" w14:textId="77777777" w:rsidR="001A4545" w:rsidRDefault="001A4545" w:rsidP="00592A3C">
      <w:pPr>
        <w:spacing w:after="0" w:line="240" w:lineRule="auto"/>
        <w:rPr>
          <w:rFonts w:ascii="Times New Roman" w:eastAsia="Times New Roman" w:hAnsi="Times New Roman" w:cs="Times New Roman"/>
          <w:sz w:val="24"/>
          <w:szCs w:val="24"/>
        </w:rPr>
      </w:pPr>
    </w:p>
    <w:p w14:paraId="63D4DB22" w14:textId="5A70CAF0" w:rsidR="00592A3C" w:rsidRPr="00DA291E" w:rsidRDefault="001A4545" w:rsidP="00DA291E">
      <w:pPr>
        <w:pStyle w:val="ListParagraph"/>
        <w:numPr>
          <w:ilvl w:val="0"/>
          <w:numId w:val="4"/>
        </w:numPr>
        <w:spacing w:after="0" w:line="240" w:lineRule="auto"/>
        <w:rPr>
          <w:rFonts w:ascii="Times New Roman" w:eastAsia="Times New Roman" w:hAnsi="Times New Roman" w:cs="Times New Roman"/>
          <w:b/>
          <w:bCs/>
          <w:color w:val="00B0F0"/>
          <w:sz w:val="24"/>
          <w:szCs w:val="24"/>
          <w:u w:val="single"/>
        </w:rPr>
      </w:pPr>
      <w:r w:rsidRPr="00DA291E">
        <w:rPr>
          <w:rFonts w:ascii="Times New Roman" w:eastAsia="Times New Roman" w:hAnsi="Times New Roman" w:cs="Times New Roman"/>
          <w:b/>
          <w:bCs/>
          <w:color w:val="00B0F0"/>
          <w:sz w:val="24"/>
          <w:szCs w:val="24"/>
          <w:u w:val="single"/>
        </w:rPr>
        <w:t xml:space="preserve">Key </w:t>
      </w:r>
      <w:r w:rsidR="005E7C15">
        <w:rPr>
          <w:rFonts w:ascii="Times New Roman" w:eastAsia="Times New Roman" w:hAnsi="Times New Roman" w:cs="Times New Roman"/>
          <w:b/>
          <w:bCs/>
          <w:color w:val="00B0F0"/>
          <w:sz w:val="24"/>
          <w:szCs w:val="24"/>
          <w:u w:val="single"/>
        </w:rPr>
        <w:t>Metrics</w:t>
      </w:r>
      <w:r w:rsidRPr="00DA291E">
        <w:rPr>
          <w:rFonts w:ascii="Times New Roman" w:eastAsia="Times New Roman" w:hAnsi="Times New Roman" w:cs="Times New Roman"/>
          <w:b/>
          <w:bCs/>
          <w:color w:val="00B0F0"/>
          <w:sz w:val="24"/>
          <w:szCs w:val="24"/>
          <w:u w:val="single"/>
        </w:rPr>
        <w:t>:</w:t>
      </w:r>
    </w:p>
    <w:p w14:paraId="3992FE7E" w14:textId="308088D9" w:rsidR="00592A3C" w:rsidRDefault="00592A3C" w:rsidP="00592A3C">
      <w:pPr>
        <w:spacing w:after="0" w:line="240" w:lineRule="auto"/>
        <w:rPr>
          <w:rFonts w:ascii="Times New Roman" w:eastAsia="Times New Roman" w:hAnsi="Times New Roman" w:cs="Times New Roman"/>
          <w:sz w:val="24"/>
          <w:szCs w:val="24"/>
        </w:rPr>
      </w:pPr>
      <w:r w:rsidRPr="00592A3C">
        <w:rPr>
          <w:rFonts w:ascii="Times New Roman" w:eastAsia="Times New Roman" w:hAnsi="Times New Roman" w:cs="Times New Roman"/>
          <w:b/>
          <w:bCs/>
          <w:sz w:val="24"/>
          <w:szCs w:val="24"/>
        </w:rPr>
        <w:t>Loan-to-Value (LTV):</w:t>
      </w:r>
      <w:r w:rsidRPr="00592A3C">
        <w:rPr>
          <w:rFonts w:ascii="Times New Roman" w:eastAsia="Times New Roman" w:hAnsi="Times New Roman" w:cs="Times New Roman"/>
          <w:sz w:val="24"/>
          <w:szCs w:val="24"/>
        </w:rPr>
        <w:t xml:space="preserve"> loan amount/property value. The property value is usually evaluated by a professional certified commercial property appraiser</w:t>
      </w:r>
      <w:r w:rsidR="00467258">
        <w:rPr>
          <w:rFonts w:ascii="Times New Roman" w:eastAsia="Times New Roman" w:hAnsi="Times New Roman" w:cs="Times New Roman"/>
          <w:sz w:val="24"/>
          <w:szCs w:val="24"/>
        </w:rPr>
        <w:t xml:space="preserve"> who has extensive knowledge of the local market</w:t>
      </w:r>
      <w:r w:rsidRPr="00592A3C">
        <w:rPr>
          <w:rFonts w:ascii="Times New Roman" w:eastAsia="Times New Roman" w:hAnsi="Times New Roman" w:cs="Times New Roman"/>
          <w:sz w:val="24"/>
          <w:szCs w:val="24"/>
        </w:rPr>
        <w:t>. Most of the banks/lenders have the maximum ratio for LTV for different property types</w:t>
      </w:r>
      <w:r w:rsidR="00CA6C57">
        <w:rPr>
          <w:rFonts w:ascii="Times New Roman" w:eastAsia="Times New Roman" w:hAnsi="Times New Roman" w:cs="Times New Roman"/>
          <w:sz w:val="24"/>
          <w:szCs w:val="24"/>
        </w:rPr>
        <w:t xml:space="preserve">. </w:t>
      </w:r>
      <w:r w:rsidRPr="00592A3C">
        <w:rPr>
          <w:rFonts w:ascii="Times New Roman" w:eastAsia="Times New Roman" w:hAnsi="Times New Roman" w:cs="Times New Roman"/>
          <w:sz w:val="24"/>
          <w:szCs w:val="24"/>
        </w:rPr>
        <w:t>The higher the LTV, the risker of the loan for the lender. </w:t>
      </w:r>
    </w:p>
    <w:p w14:paraId="2A06AEC8" w14:textId="5D6BFCF4" w:rsidR="00F60415" w:rsidRDefault="00F60415" w:rsidP="00592A3C">
      <w:pPr>
        <w:spacing w:after="0" w:line="240" w:lineRule="auto"/>
        <w:rPr>
          <w:rFonts w:ascii="Times New Roman" w:eastAsia="Times New Roman" w:hAnsi="Times New Roman" w:cs="Times New Roman"/>
          <w:sz w:val="24"/>
          <w:szCs w:val="24"/>
        </w:rPr>
      </w:pPr>
    </w:p>
    <w:p w14:paraId="12D415BA" w14:textId="440EF9EC" w:rsidR="00F60415" w:rsidRDefault="00F60415" w:rsidP="00592A3C">
      <w:pPr>
        <w:spacing w:after="0" w:line="240" w:lineRule="auto"/>
        <w:rPr>
          <w:rFonts w:ascii="Times New Roman" w:eastAsia="Times New Roman" w:hAnsi="Times New Roman" w:cs="Times New Roman"/>
          <w:sz w:val="24"/>
          <w:szCs w:val="24"/>
        </w:rPr>
      </w:pPr>
      <w:r w:rsidRPr="00F60415">
        <w:rPr>
          <w:rFonts w:ascii="Times New Roman" w:eastAsia="Times New Roman" w:hAnsi="Times New Roman" w:cs="Times New Roman"/>
          <w:b/>
          <w:bCs/>
          <w:sz w:val="24"/>
          <w:szCs w:val="24"/>
        </w:rPr>
        <w:t xml:space="preserve">Net Operating income (NOI): </w:t>
      </w:r>
      <w:r w:rsidR="006A1A9F" w:rsidRPr="006A1A9F">
        <w:rPr>
          <w:rFonts w:ascii="Times New Roman" w:eastAsia="Times New Roman" w:hAnsi="Times New Roman" w:cs="Times New Roman"/>
          <w:sz w:val="24"/>
          <w:szCs w:val="24"/>
        </w:rPr>
        <w:t xml:space="preserve">net income generated by a property after deducting </w:t>
      </w:r>
      <w:hyperlink r:id="rId5" w:history="1">
        <w:r w:rsidR="006A1A9F" w:rsidRPr="006A1A9F">
          <w:rPr>
            <w:rFonts w:ascii="Times New Roman" w:eastAsia="Times New Roman" w:hAnsi="Times New Roman" w:cs="Times New Roman"/>
            <w:sz w:val="24"/>
            <w:szCs w:val="24"/>
          </w:rPr>
          <w:t>operating expenses</w:t>
        </w:r>
      </w:hyperlink>
      <w:r w:rsidR="006A1A9F" w:rsidRPr="006A1A9F">
        <w:rPr>
          <w:rFonts w:ascii="Times New Roman" w:eastAsia="Times New Roman" w:hAnsi="Times New Roman" w:cs="Times New Roman"/>
          <w:sz w:val="24"/>
          <w:szCs w:val="24"/>
        </w:rPr>
        <w:t>. The NOI measures the ability of a property to generate income from operations</w:t>
      </w:r>
      <w:r w:rsidR="007B5667">
        <w:rPr>
          <w:rFonts w:ascii="Times New Roman" w:eastAsia="Times New Roman" w:hAnsi="Times New Roman" w:cs="Times New Roman"/>
          <w:sz w:val="24"/>
          <w:szCs w:val="24"/>
        </w:rPr>
        <w:t>.</w:t>
      </w:r>
      <w:r w:rsidR="006A1A9F" w:rsidRPr="006A1A9F">
        <w:rPr>
          <w:rFonts w:ascii="Times New Roman" w:eastAsia="Times New Roman" w:hAnsi="Times New Roman" w:cs="Times New Roman"/>
          <w:sz w:val="24"/>
          <w:szCs w:val="24"/>
        </w:rPr>
        <w:t xml:space="preserve"> </w:t>
      </w:r>
      <w:r w:rsidR="006A1A9F">
        <w:rPr>
          <w:rFonts w:ascii="Times New Roman" w:eastAsia="Times New Roman" w:hAnsi="Times New Roman" w:cs="Times New Roman"/>
          <w:sz w:val="24"/>
          <w:szCs w:val="24"/>
        </w:rPr>
        <w:t>NOI = Gross income – operating expenses. Gross income includes rents, parking, laundry etc. Operating expenses include property tax, insurance, utility</w:t>
      </w:r>
      <w:r w:rsidR="007B5667">
        <w:rPr>
          <w:rFonts w:ascii="Times New Roman" w:eastAsia="Times New Roman" w:hAnsi="Times New Roman" w:cs="Times New Roman"/>
          <w:sz w:val="24"/>
          <w:szCs w:val="24"/>
        </w:rPr>
        <w:t xml:space="preserve"> and </w:t>
      </w:r>
      <w:r w:rsidR="006A1A9F">
        <w:rPr>
          <w:rFonts w:ascii="Times New Roman" w:eastAsia="Times New Roman" w:hAnsi="Times New Roman" w:cs="Times New Roman"/>
          <w:sz w:val="24"/>
          <w:szCs w:val="24"/>
        </w:rPr>
        <w:t>maintenance</w:t>
      </w:r>
      <w:r w:rsidR="007B5667">
        <w:rPr>
          <w:rFonts w:ascii="Times New Roman" w:eastAsia="Times New Roman" w:hAnsi="Times New Roman" w:cs="Times New Roman"/>
          <w:sz w:val="24"/>
          <w:szCs w:val="24"/>
        </w:rPr>
        <w:t xml:space="preserve"> etc</w:t>
      </w:r>
      <w:r w:rsidR="006A1A9F">
        <w:rPr>
          <w:rFonts w:ascii="Times New Roman" w:eastAsia="Times New Roman" w:hAnsi="Times New Roman" w:cs="Times New Roman"/>
          <w:sz w:val="24"/>
          <w:szCs w:val="24"/>
        </w:rPr>
        <w:t xml:space="preserve">. </w:t>
      </w:r>
      <w:r w:rsidR="0094431B">
        <w:rPr>
          <w:rFonts w:ascii="Times New Roman" w:eastAsia="Times New Roman" w:hAnsi="Times New Roman" w:cs="Times New Roman"/>
          <w:sz w:val="24"/>
          <w:szCs w:val="24"/>
        </w:rPr>
        <w:t>Please note</w:t>
      </w:r>
      <w:r w:rsidR="006A1A9F">
        <w:rPr>
          <w:rFonts w:ascii="Times New Roman" w:eastAsia="Times New Roman" w:hAnsi="Times New Roman" w:cs="Times New Roman"/>
          <w:sz w:val="24"/>
          <w:szCs w:val="24"/>
        </w:rPr>
        <w:t xml:space="preserve"> </w:t>
      </w:r>
      <w:r w:rsidR="0094431B">
        <w:rPr>
          <w:rFonts w:ascii="Times New Roman" w:eastAsia="Times New Roman" w:hAnsi="Times New Roman" w:cs="Times New Roman"/>
          <w:sz w:val="24"/>
          <w:szCs w:val="24"/>
        </w:rPr>
        <w:t>NOI</w:t>
      </w:r>
      <w:r w:rsidR="006A1A9F">
        <w:rPr>
          <w:rFonts w:ascii="Times New Roman" w:eastAsia="Times New Roman" w:hAnsi="Times New Roman" w:cs="Times New Roman"/>
          <w:sz w:val="24"/>
          <w:szCs w:val="24"/>
        </w:rPr>
        <w:t xml:space="preserve"> </w:t>
      </w:r>
      <w:r w:rsidR="006A1A9F" w:rsidRPr="006A1A9F">
        <w:rPr>
          <w:rFonts w:ascii="Times New Roman" w:eastAsia="Times New Roman" w:hAnsi="Times New Roman" w:cs="Times New Roman"/>
          <w:sz w:val="24"/>
          <w:szCs w:val="24"/>
          <w:u w:val="single"/>
        </w:rPr>
        <w:t xml:space="preserve">excludes </w:t>
      </w:r>
      <w:r w:rsidR="006A1A9F">
        <w:rPr>
          <w:rFonts w:ascii="Times New Roman" w:eastAsia="Times New Roman" w:hAnsi="Times New Roman" w:cs="Times New Roman"/>
          <w:sz w:val="24"/>
          <w:szCs w:val="24"/>
        </w:rPr>
        <w:t xml:space="preserve">the financing costs (principal and interest payment). NOI/cap rate </w:t>
      </w:r>
      <w:r w:rsidR="0094431B">
        <w:rPr>
          <w:rFonts w:ascii="Times New Roman" w:eastAsia="Times New Roman" w:hAnsi="Times New Roman" w:cs="Times New Roman"/>
          <w:sz w:val="24"/>
          <w:szCs w:val="24"/>
        </w:rPr>
        <w:t xml:space="preserve">= </w:t>
      </w:r>
      <w:r w:rsidR="006A1A9F">
        <w:rPr>
          <w:rFonts w:ascii="Times New Roman" w:eastAsia="Times New Roman" w:hAnsi="Times New Roman" w:cs="Times New Roman"/>
          <w:sz w:val="24"/>
          <w:szCs w:val="24"/>
        </w:rPr>
        <w:t>valu</w:t>
      </w:r>
      <w:r w:rsidR="008A2A28">
        <w:rPr>
          <w:rFonts w:ascii="Times New Roman" w:eastAsia="Times New Roman" w:hAnsi="Times New Roman" w:cs="Times New Roman"/>
          <w:sz w:val="24"/>
          <w:szCs w:val="24"/>
        </w:rPr>
        <w:t>e</w:t>
      </w:r>
      <w:r w:rsidR="006A1A9F">
        <w:rPr>
          <w:rFonts w:ascii="Times New Roman" w:eastAsia="Times New Roman" w:hAnsi="Times New Roman" w:cs="Times New Roman"/>
          <w:sz w:val="24"/>
          <w:szCs w:val="24"/>
        </w:rPr>
        <w:t xml:space="preserve"> of the subject property. </w:t>
      </w:r>
    </w:p>
    <w:p w14:paraId="34E5C34D" w14:textId="6D823963" w:rsidR="006A1A9F" w:rsidRDefault="006A1A9F" w:rsidP="00592A3C">
      <w:pPr>
        <w:spacing w:after="0" w:line="240" w:lineRule="auto"/>
        <w:rPr>
          <w:rFonts w:ascii="Times New Roman" w:eastAsia="Times New Roman" w:hAnsi="Times New Roman" w:cs="Times New Roman"/>
          <w:sz w:val="24"/>
          <w:szCs w:val="24"/>
        </w:rPr>
      </w:pPr>
    </w:p>
    <w:p w14:paraId="38766E57" w14:textId="77777777" w:rsidR="006A1A9F" w:rsidRDefault="006A1A9F" w:rsidP="006A1A9F">
      <w:pPr>
        <w:spacing w:after="0" w:line="240" w:lineRule="auto"/>
        <w:rPr>
          <w:rFonts w:ascii="Times New Roman" w:eastAsia="Times New Roman" w:hAnsi="Times New Roman" w:cs="Times New Roman"/>
          <w:sz w:val="24"/>
          <w:szCs w:val="24"/>
        </w:rPr>
      </w:pPr>
      <w:r w:rsidRPr="00592A3C">
        <w:rPr>
          <w:rFonts w:ascii="Times New Roman" w:eastAsia="Times New Roman" w:hAnsi="Times New Roman" w:cs="Times New Roman"/>
          <w:b/>
          <w:bCs/>
          <w:sz w:val="24"/>
          <w:szCs w:val="24"/>
        </w:rPr>
        <w:t>Cap</w:t>
      </w:r>
      <w:r>
        <w:rPr>
          <w:rFonts w:ascii="Times New Roman" w:eastAsia="Times New Roman" w:hAnsi="Times New Roman" w:cs="Times New Roman"/>
          <w:b/>
          <w:bCs/>
          <w:sz w:val="24"/>
          <w:szCs w:val="24"/>
        </w:rPr>
        <w:t>italization</w:t>
      </w:r>
      <w:r w:rsidRPr="00592A3C">
        <w:rPr>
          <w:rFonts w:ascii="Times New Roman" w:eastAsia="Times New Roman" w:hAnsi="Times New Roman" w:cs="Times New Roman"/>
          <w:b/>
          <w:bCs/>
          <w:sz w:val="24"/>
          <w:szCs w:val="24"/>
        </w:rPr>
        <w:t xml:space="preserve"> Rate</w:t>
      </w:r>
      <w:r>
        <w:rPr>
          <w:rFonts w:ascii="Times New Roman" w:eastAsia="Times New Roman" w:hAnsi="Times New Roman" w:cs="Times New Roman"/>
          <w:b/>
          <w:bCs/>
          <w:sz w:val="24"/>
          <w:szCs w:val="24"/>
        </w:rPr>
        <w:t xml:space="preserve"> (cap rate)</w:t>
      </w:r>
      <w:r w:rsidRPr="00592A3C">
        <w:rPr>
          <w:rFonts w:ascii="Times New Roman" w:eastAsia="Times New Roman" w:hAnsi="Times New Roman" w:cs="Times New Roman"/>
          <w:b/>
          <w:bCs/>
          <w:sz w:val="24"/>
          <w:szCs w:val="24"/>
        </w:rPr>
        <w:t xml:space="preserve">: </w:t>
      </w:r>
      <w:r w:rsidRPr="00592A3C">
        <w:rPr>
          <w:rFonts w:ascii="Times New Roman" w:eastAsia="Times New Roman" w:hAnsi="Times New Roman" w:cs="Times New Roman"/>
          <w:sz w:val="24"/>
          <w:szCs w:val="24"/>
        </w:rPr>
        <w:t>The rate lenders use to calculate the property value</w:t>
      </w:r>
      <w:r>
        <w:rPr>
          <w:rFonts w:ascii="Times New Roman" w:eastAsia="Times New Roman" w:hAnsi="Times New Roman" w:cs="Times New Roman"/>
          <w:sz w:val="24"/>
          <w:szCs w:val="24"/>
        </w:rPr>
        <w:t xml:space="preserve"> and usually regarded as the rate of return on an annual basis from the investment property. Everything else equals then the lower cap rate means higher property value. CBRE publishes the cap rates for major markets: </w:t>
      </w:r>
      <w:hyperlink r:id="rId6" w:history="1">
        <w:r>
          <w:rPr>
            <w:rStyle w:val="Hyperlink"/>
          </w:rPr>
          <w:t>https://www.cbre.us/research-and-reports/North-America-Cap-Rate-Survey-H1-2019</w:t>
        </w:r>
      </w:hyperlink>
    </w:p>
    <w:p w14:paraId="573A0B47" w14:textId="77777777" w:rsidR="00592A3C" w:rsidRPr="00592A3C" w:rsidRDefault="00592A3C" w:rsidP="00592A3C">
      <w:pPr>
        <w:spacing w:after="0" w:line="240" w:lineRule="auto"/>
        <w:rPr>
          <w:rFonts w:ascii="Times New Roman" w:eastAsia="Times New Roman" w:hAnsi="Times New Roman" w:cs="Times New Roman"/>
          <w:sz w:val="24"/>
          <w:szCs w:val="24"/>
        </w:rPr>
      </w:pPr>
    </w:p>
    <w:p w14:paraId="68CF8506" w14:textId="0D69B2A9" w:rsidR="00592A3C" w:rsidRPr="002D2E4E" w:rsidRDefault="00592A3C" w:rsidP="00592A3C">
      <w:pPr>
        <w:spacing w:after="0" w:line="240" w:lineRule="auto"/>
        <w:rPr>
          <w:rFonts w:ascii="Times New Roman" w:eastAsia="Times New Roman" w:hAnsi="Times New Roman" w:cs="Times New Roman"/>
          <w:sz w:val="24"/>
          <w:szCs w:val="24"/>
        </w:rPr>
      </w:pPr>
      <w:r w:rsidRPr="00592A3C">
        <w:rPr>
          <w:rFonts w:ascii="Times New Roman" w:eastAsia="Times New Roman" w:hAnsi="Times New Roman" w:cs="Times New Roman"/>
          <w:b/>
          <w:bCs/>
          <w:sz w:val="24"/>
          <w:szCs w:val="24"/>
        </w:rPr>
        <w:t>Debt Service Coverage ratio (DSCR): </w:t>
      </w:r>
      <w:r w:rsidR="0059052E" w:rsidRPr="0059052E">
        <w:rPr>
          <w:rFonts w:ascii="Times New Roman" w:eastAsia="Times New Roman" w:hAnsi="Times New Roman" w:cs="Times New Roman"/>
          <w:sz w:val="24"/>
          <w:szCs w:val="24"/>
        </w:rPr>
        <w:t xml:space="preserve">This ratio helps to </w:t>
      </w:r>
      <w:r w:rsidR="0059052E" w:rsidRPr="0059052E">
        <w:rPr>
          <w:rFonts w:ascii="Times New Roman" w:eastAsia="Times New Roman" w:hAnsi="Times New Roman" w:cs="Times New Roman"/>
          <w:sz w:val="24"/>
          <w:szCs w:val="24"/>
        </w:rPr>
        <w:t>determine the borrower’s ability to make debt service payments</w:t>
      </w:r>
      <w:r w:rsidR="0059052E" w:rsidRPr="0059052E">
        <w:rPr>
          <w:rFonts w:ascii="Times New Roman" w:eastAsia="Times New Roman" w:hAnsi="Times New Roman" w:cs="Times New Roman"/>
          <w:sz w:val="24"/>
          <w:szCs w:val="24"/>
        </w:rPr>
        <w:t xml:space="preserve">. </w:t>
      </w:r>
      <w:r w:rsidR="002D2E4E" w:rsidRPr="0059052E">
        <w:rPr>
          <w:rFonts w:ascii="Times New Roman" w:eastAsia="Times New Roman" w:hAnsi="Times New Roman" w:cs="Times New Roman"/>
          <w:sz w:val="24"/>
          <w:szCs w:val="24"/>
        </w:rPr>
        <w:t> </w:t>
      </w:r>
      <w:r w:rsidR="002D2E4E">
        <w:rPr>
          <w:rFonts w:ascii="Times New Roman" w:eastAsia="Times New Roman" w:hAnsi="Times New Roman" w:cs="Times New Roman"/>
          <w:sz w:val="24"/>
          <w:szCs w:val="24"/>
        </w:rPr>
        <w:t>It is</w:t>
      </w:r>
      <w:r w:rsidR="002D2E4E" w:rsidRPr="002D2E4E">
        <w:rPr>
          <w:rFonts w:ascii="Times New Roman" w:eastAsia="Times New Roman" w:hAnsi="Times New Roman" w:cs="Times New Roman"/>
          <w:sz w:val="24"/>
          <w:szCs w:val="24"/>
        </w:rPr>
        <w:t xml:space="preserve"> defined as the Net Operating Income (NOI) divided by Annual Debt Service on the proposed loan. </w:t>
      </w:r>
      <w:r w:rsidR="002D2E4E">
        <w:rPr>
          <w:rFonts w:ascii="Times New Roman" w:eastAsia="Times New Roman" w:hAnsi="Times New Roman" w:cs="Times New Roman"/>
          <w:sz w:val="24"/>
          <w:szCs w:val="24"/>
        </w:rPr>
        <w:t>The debt service is the total principal and interest payment of the loan</w:t>
      </w:r>
      <w:r w:rsidR="0059052E">
        <w:rPr>
          <w:rFonts w:ascii="Times New Roman" w:eastAsia="Times New Roman" w:hAnsi="Times New Roman" w:cs="Times New Roman"/>
          <w:sz w:val="24"/>
          <w:szCs w:val="24"/>
        </w:rPr>
        <w:t xml:space="preserve"> on annual basis. A DSCR of 1</w:t>
      </w:r>
      <w:r w:rsidR="00DA291E">
        <w:rPr>
          <w:rFonts w:ascii="Times New Roman" w:eastAsia="Times New Roman" w:hAnsi="Times New Roman" w:cs="Times New Roman"/>
          <w:sz w:val="24"/>
          <w:szCs w:val="24"/>
        </w:rPr>
        <w:t>X</w:t>
      </w:r>
      <w:r w:rsidR="0059052E">
        <w:rPr>
          <w:rFonts w:ascii="Times New Roman" w:eastAsia="Times New Roman" w:hAnsi="Times New Roman" w:cs="Times New Roman"/>
          <w:sz w:val="24"/>
          <w:szCs w:val="24"/>
        </w:rPr>
        <w:t xml:space="preserve"> means the </w:t>
      </w:r>
      <w:r w:rsidR="0094431B">
        <w:rPr>
          <w:rFonts w:ascii="Times New Roman" w:eastAsia="Times New Roman" w:hAnsi="Times New Roman" w:cs="Times New Roman"/>
          <w:sz w:val="24"/>
          <w:szCs w:val="24"/>
        </w:rPr>
        <w:t>subject property produces</w:t>
      </w:r>
      <w:r w:rsidR="0059052E">
        <w:rPr>
          <w:rFonts w:ascii="Times New Roman" w:eastAsia="Times New Roman" w:hAnsi="Times New Roman" w:cs="Times New Roman"/>
          <w:sz w:val="24"/>
          <w:szCs w:val="24"/>
        </w:rPr>
        <w:t xml:space="preserve"> just enough income to cover the </w:t>
      </w:r>
      <w:r w:rsidR="0094431B">
        <w:rPr>
          <w:rFonts w:ascii="Times New Roman" w:eastAsia="Times New Roman" w:hAnsi="Times New Roman" w:cs="Times New Roman"/>
          <w:sz w:val="24"/>
          <w:szCs w:val="24"/>
        </w:rPr>
        <w:t>loan</w:t>
      </w:r>
      <w:r w:rsidR="0059052E">
        <w:rPr>
          <w:rFonts w:ascii="Times New Roman" w:eastAsia="Times New Roman" w:hAnsi="Times New Roman" w:cs="Times New Roman"/>
          <w:sz w:val="24"/>
          <w:szCs w:val="24"/>
        </w:rPr>
        <w:t xml:space="preserve"> payment. Hence the greater DSCR</w:t>
      </w:r>
      <w:r w:rsidR="00DA291E">
        <w:rPr>
          <w:rFonts w:ascii="Times New Roman" w:eastAsia="Times New Roman" w:hAnsi="Times New Roman" w:cs="Times New Roman"/>
          <w:sz w:val="24"/>
          <w:szCs w:val="24"/>
        </w:rPr>
        <w:t xml:space="preserve">, the more flexibility it provides </w:t>
      </w:r>
      <w:r w:rsidR="0059052E">
        <w:rPr>
          <w:rFonts w:ascii="Times New Roman" w:eastAsia="Times New Roman" w:hAnsi="Times New Roman" w:cs="Times New Roman"/>
          <w:sz w:val="24"/>
          <w:szCs w:val="24"/>
        </w:rPr>
        <w:t xml:space="preserve">(more income than expense). </w:t>
      </w:r>
      <w:r w:rsidR="00DA291E">
        <w:rPr>
          <w:rFonts w:ascii="Times New Roman" w:eastAsia="Times New Roman" w:hAnsi="Times New Roman" w:cs="Times New Roman"/>
          <w:sz w:val="24"/>
          <w:szCs w:val="24"/>
        </w:rPr>
        <w:t xml:space="preserve">Most of the lenders have </w:t>
      </w:r>
      <w:r w:rsidR="002A1D57">
        <w:rPr>
          <w:rFonts w:ascii="Times New Roman" w:eastAsia="Times New Roman" w:hAnsi="Times New Roman" w:cs="Times New Roman"/>
          <w:sz w:val="24"/>
          <w:szCs w:val="24"/>
        </w:rPr>
        <w:t xml:space="preserve">lending </w:t>
      </w:r>
      <w:r w:rsidR="00DA291E">
        <w:rPr>
          <w:rFonts w:ascii="Times New Roman" w:eastAsia="Times New Roman" w:hAnsi="Times New Roman" w:cs="Times New Roman"/>
          <w:sz w:val="24"/>
          <w:szCs w:val="24"/>
        </w:rPr>
        <w:t xml:space="preserve">threshold for different property types. For example: Apartment: 1.2X, Hotel: 1.5X, industrial: 1.35X etc. </w:t>
      </w:r>
    </w:p>
    <w:p w14:paraId="7C2F1609" w14:textId="77777777" w:rsidR="00592A3C" w:rsidRPr="00592A3C" w:rsidRDefault="00592A3C" w:rsidP="00592A3C">
      <w:pPr>
        <w:spacing w:after="0" w:line="240" w:lineRule="auto"/>
        <w:rPr>
          <w:rFonts w:ascii="Times New Roman" w:eastAsia="Times New Roman" w:hAnsi="Times New Roman" w:cs="Times New Roman"/>
          <w:sz w:val="24"/>
          <w:szCs w:val="24"/>
        </w:rPr>
      </w:pPr>
    </w:p>
    <w:p w14:paraId="356D55D3" w14:textId="174CE6E8" w:rsidR="00592A3C" w:rsidRPr="00592A3C" w:rsidRDefault="00592A3C" w:rsidP="00592A3C">
      <w:pPr>
        <w:spacing w:after="0" w:line="240" w:lineRule="auto"/>
        <w:rPr>
          <w:rFonts w:ascii="Times New Roman" w:eastAsia="Times New Roman" w:hAnsi="Times New Roman" w:cs="Times New Roman"/>
          <w:sz w:val="24"/>
          <w:szCs w:val="24"/>
        </w:rPr>
      </w:pPr>
      <w:r w:rsidRPr="00592A3C">
        <w:rPr>
          <w:rFonts w:ascii="Times New Roman" w:eastAsia="Times New Roman" w:hAnsi="Times New Roman" w:cs="Times New Roman"/>
          <w:b/>
          <w:bCs/>
          <w:sz w:val="24"/>
          <w:szCs w:val="24"/>
        </w:rPr>
        <w:t>Property type:</w:t>
      </w:r>
      <w:r w:rsidRPr="00592A3C">
        <w:rPr>
          <w:rFonts w:ascii="Times New Roman" w:eastAsia="Times New Roman" w:hAnsi="Times New Roman" w:cs="Times New Roman"/>
          <w:sz w:val="24"/>
          <w:szCs w:val="24"/>
        </w:rPr>
        <w:t xml:space="preserve"> </w:t>
      </w:r>
      <w:r w:rsidR="00A70DF7">
        <w:rPr>
          <w:rFonts w:ascii="Times New Roman" w:eastAsia="Times New Roman" w:hAnsi="Times New Roman" w:cs="Times New Roman"/>
          <w:sz w:val="24"/>
          <w:szCs w:val="24"/>
        </w:rPr>
        <w:t>Typical property types</w:t>
      </w:r>
      <w:r w:rsidR="00CA6C57">
        <w:rPr>
          <w:rFonts w:ascii="Times New Roman" w:eastAsia="Times New Roman" w:hAnsi="Times New Roman" w:cs="Times New Roman"/>
          <w:sz w:val="24"/>
          <w:szCs w:val="24"/>
        </w:rPr>
        <w:t xml:space="preserve"> in</w:t>
      </w:r>
      <w:r w:rsidR="00A70DF7">
        <w:rPr>
          <w:rFonts w:ascii="Times New Roman" w:eastAsia="Times New Roman" w:hAnsi="Times New Roman" w:cs="Times New Roman"/>
          <w:sz w:val="24"/>
          <w:szCs w:val="24"/>
        </w:rPr>
        <w:t xml:space="preserve"> commercial mortgages include: </w:t>
      </w:r>
      <w:r w:rsidRPr="00592A3C">
        <w:rPr>
          <w:rFonts w:ascii="Times New Roman" w:eastAsia="Times New Roman" w:hAnsi="Times New Roman" w:cs="Times New Roman"/>
          <w:sz w:val="24"/>
          <w:szCs w:val="24"/>
        </w:rPr>
        <w:t xml:space="preserve">Multi-Residential (Apartment), Retail (shopping mall, strip mall, neighbourhood retail plaza), </w:t>
      </w:r>
      <w:r w:rsidR="00007F3C">
        <w:rPr>
          <w:rFonts w:ascii="Times New Roman" w:eastAsia="Times New Roman" w:hAnsi="Times New Roman" w:cs="Times New Roman"/>
          <w:sz w:val="24"/>
          <w:szCs w:val="24"/>
        </w:rPr>
        <w:t xml:space="preserve">office, </w:t>
      </w:r>
      <w:r w:rsidRPr="00592A3C">
        <w:rPr>
          <w:rFonts w:ascii="Times New Roman" w:eastAsia="Times New Roman" w:hAnsi="Times New Roman" w:cs="Times New Roman"/>
          <w:sz w:val="24"/>
          <w:szCs w:val="24"/>
        </w:rPr>
        <w:t>industrial (warehouse</w:t>
      </w:r>
      <w:r w:rsidR="00007F3C">
        <w:rPr>
          <w:rFonts w:ascii="Times New Roman" w:eastAsia="Times New Roman" w:hAnsi="Times New Roman" w:cs="Times New Roman"/>
          <w:sz w:val="24"/>
          <w:szCs w:val="24"/>
        </w:rPr>
        <w:t>, for manufacturing/storage purpose</w:t>
      </w:r>
      <w:r w:rsidRPr="00592A3C">
        <w:rPr>
          <w:rFonts w:ascii="Times New Roman" w:eastAsia="Times New Roman" w:hAnsi="Times New Roman" w:cs="Times New Roman"/>
          <w:sz w:val="24"/>
          <w:szCs w:val="24"/>
        </w:rPr>
        <w:t>)</w:t>
      </w:r>
      <w:r w:rsidR="00CA6C57">
        <w:rPr>
          <w:rFonts w:ascii="Times New Roman" w:eastAsia="Times New Roman" w:hAnsi="Times New Roman" w:cs="Times New Roman"/>
          <w:sz w:val="24"/>
          <w:szCs w:val="24"/>
        </w:rPr>
        <w:t xml:space="preserve"> </w:t>
      </w:r>
      <w:r w:rsidR="00A70DF7">
        <w:rPr>
          <w:rFonts w:ascii="Times New Roman" w:eastAsia="Times New Roman" w:hAnsi="Times New Roman" w:cs="Times New Roman"/>
          <w:sz w:val="24"/>
          <w:szCs w:val="24"/>
        </w:rPr>
        <w:t>etc</w:t>
      </w:r>
      <w:r w:rsidRPr="00592A3C">
        <w:rPr>
          <w:rFonts w:ascii="Times New Roman" w:eastAsia="Times New Roman" w:hAnsi="Times New Roman" w:cs="Times New Roman"/>
          <w:sz w:val="24"/>
          <w:szCs w:val="24"/>
        </w:rPr>
        <w:t xml:space="preserve">. </w:t>
      </w:r>
    </w:p>
    <w:p w14:paraId="7B908356" w14:textId="2BB8C7D5" w:rsidR="00592A3C" w:rsidRDefault="00592A3C" w:rsidP="00592A3C">
      <w:pPr>
        <w:spacing w:after="0" w:line="240" w:lineRule="auto"/>
        <w:rPr>
          <w:rFonts w:ascii="Times New Roman" w:eastAsia="Times New Roman" w:hAnsi="Times New Roman" w:cs="Times New Roman"/>
          <w:sz w:val="24"/>
          <w:szCs w:val="24"/>
        </w:rPr>
      </w:pPr>
    </w:p>
    <w:p w14:paraId="6AD6F2C5" w14:textId="4615F25F" w:rsidR="00592A3C" w:rsidRPr="00F14229" w:rsidRDefault="00592A3C" w:rsidP="00F14229">
      <w:pPr>
        <w:pStyle w:val="ListParagraph"/>
        <w:numPr>
          <w:ilvl w:val="0"/>
          <w:numId w:val="4"/>
        </w:numPr>
        <w:spacing w:after="0" w:line="240" w:lineRule="auto"/>
        <w:rPr>
          <w:rFonts w:ascii="Times New Roman" w:eastAsia="Times New Roman" w:hAnsi="Times New Roman" w:cs="Times New Roman"/>
          <w:b/>
          <w:bCs/>
          <w:color w:val="00B0F0"/>
          <w:sz w:val="24"/>
          <w:szCs w:val="24"/>
          <w:u w:val="single"/>
        </w:rPr>
      </w:pPr>
      <w:r w:rsidRPr="00F14229">
        <w:rPr>
          <w:rFonts w:ascii="Times New Roman" w:eastAsia="Times New Roman" w:hAnsi="Times New Roman" w:cs="Times New Roman"/>
          <w:b/>
          <w:bCs/>
          <w:color w:val="00B0F0"/>
          <w:sz w:val="24"/>
          <w:szCs w:val="24"/>
          <w:u w:val="single"/>
        </w:rPr>
        <w:t>Property assessment:</w:t>
      </w:r>
    </w:p>
    <w:p w14:paraId="685082E1" w14:textId="5DE97D6E" w:rsidR="00592A3C" w:rsidRDefault="00592A3C" w:rsidP="00592A3C">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 population, crime rate, accessibility to local malls, highway, main streets, schools and hospitals et</w:t>
      </w:r>
      <w:r w:rsidR="00A70DF7">
        <w:rPr>
          <w:rFonts w:ascii="Times New Roman" w:eastAsia="Times New Roman" w:hAnsi="Times New Roman" w:cs="Times New Roman"/>
          <w:sz w:val="24"/>
          <w:szCs w:val="24"/>
        </w:rPr>
        <w:t xml:space="preserve">c. </w:t>
      </w:r>
    </w:p>
    <w:p w14:paraId="13B381ED" w14:textId="0EA571C6" w:rsidR="00592A3C" w:rsidRDefault="00592A3C" w:rsidP="00592A3C">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Vacancy rate: The vacant unit(s)/total rental units. The lower the rate, the better.</w:t>
      </w:r>
    </w:p>
    <w:p w14:paraId="7C0A6EA6" w14:textId="240B830A" w:rsidR="0077051D" w:rsidRDefault="0077051D" w:rsidP="00592A3C">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Appraisal report</w:t>
      </w:r>
    </w:p>
    <w:p w14:paraId="68AEEBF9" w14:textId="1074859F" w:rsidR="001D6DA2" w:rsidRDefault="001D6DA2" w:rsidP="00592A3C">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Rent rolls</w:t>
      </w:r>
    </w:p>
    <w:p w14:paraId="58573EAD" w14:textId="77777777" w:rsidR="001D6DA2" w:rsidRDefault="001D6DA2" w:rsidP="001D6DA2">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assessment</w:t>
      </w:r>
    </w:p>
    <w:p w14:paraId="260C5F7F" w14:textId="77777777" w:rsidR="001D6DA2" w:rsidRDefault="001D6DA2" w:rsidP="001D6DA2">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inspection + neighborhood inspection</w:t>
      </w:r>
    </w:p>
    <w:p w14:paraId="56500EDE" w14:textId="751BBB8D" w:rsidR="001D6DA2" w:rsidRPr="001D6DA2" w:rsidRDefault="001D6DA2" w:rsidP="001D6DA2">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Property condition &amp; age: Maintenance, repair and improvements.</w:t>
      </w:r>
    </w:p>
    <w:p w14:paraId="3305202F" w14:textId="014D0211" w:rsidR="00BF716D" w:rsidRDefault="00BF716D" w:rsidP="00A70DF7">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Tenant quality assessment: diversification the tenants, % of the top tenants’ rent to total rent amount; lease expiry date vs. loan term. </w:t>
      </w:r>
    </w:p>
    <w:p w14:paraId="7E4EE599" w14:textId="2AE5C876" w:rsidR="00A70DF7" w:rsidRDefault="00A70DF7" w:rsidP="00A70DF7">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experience</w:t>
      </w:r>
    </w:p>
    <w:p w14:paraId="2625AE89" w14:textId="77777777" w:rsidR="0077051D" w:rsidRPr="00DA51AD" w:rsidRDefault="0077051D" w:rsidP="0077051D">
      <w:pPr>
        <w:pStyle w:val="ListParagraph"/>
        <w:spacing w:after="0" w:line="240" w:lineRule="auto"/>
        <w:rPr>
          <w:rFonts w:ascii="Times New Roman" w:eastAsia="Times New Roman" w:hAnsi="Times New Roman" w:cs="Times New Roman"/>
          <w:sz w:val="24"/>
          <w:szCs w:val="24"/>
        </w:rPr>
      </w:pPr>
    </w:p>
    <w:p w14:paraId="3C0F287A" w14:textId="130A68BF" w:rsidR="00592A3C" w:rsidRPr="00F14229" w:rsidRDefault="00592A3C" w:rsidP="00F14229">
      <w:pPr>
        <w:pStyle w:val="ListParagraph"/>
        <w:numPr>
          <w:ilvl w:val="0"/>
          <w:numId w:val="4"/>
        </w:numPr>
        <w:spacing w:after="0" w:line="240" w:lineRule="auto"/>
        <w:rPr>
          <w:rFonts w:ascii="Times New Roman" w:eastAsia="Times New Roman" w:hAnsi="Times New Roman" w:cs="Times New Roman"/>
          <w:b/>
          <w:bCs/>
          <w:color w:val="00B0F0"/>
          <w:sz w:val="24"/>
          <w:szCs w:val="24"/>
          <w:u w:val="single"/>
        </w:rPr>
      </w:pPr>
      <w:r w:rsidRPr="00F14229">
        <w:rPr>
          <w:rFonts w:ascii="Times New Roman" w:eastAsia="Times New Roman" w:hAnsi="Times New Roman" w:cs="Times New Roman"/>
          <w:b/>
          <w:bCs/>
          <w:color w:val="00B0F0"/>
          <w:sz w:val="24"/>
          <w:szCs w:val="24"/>
          <w:u w:val="single"/>
        </w:rPr>
        <w:t xml:space="preserve">Borrower risk assessment: </w:t>
      </w:r>
    </w:p>
    <w:p w14:paraId="466A7396" w14:textId="46DC9723" w:rsidR="00592A3C" w:rsidRDefault="00592A3C" w:rsidP="00592A3C">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experience: borrower</w:t>
      </w:r>
      <w:r w:rsidR="00BB6106">
        <w:rPr>
          <w:rFonts w:ascii="Times New Roman" w:eastAsia="Times New Roman" w:hAnsi="Times New Roman" w:cs="Times New Roman"/>
          <w:sz w:val="24"/>
          <w:szCs w:val="24"/>
        </w:rPr>
        <w:t xml:space="preserve">’s relevant experience </w:t>
      </w:r>
      <w:r>
        <w:rPr>
          <w:rFonts w:ascii="Times New Roman" w:eastAsia="Times New Roman" w:hAnsi="Times New Roman" w:cs="Times New Roman"/>
          <w:sz w:val="24"/>
          <w:szCs w:val="24"/>
        </w:rPr>
        <w:t>in property construction, management or financing</w:t>
      </w:r>
      <w:r w:rsidR="00132794">
        <w:rPr>
          <w:rFonts w:ascii="Times New Roman" w:eastAsia="Times New Roman" w:hAnsi="Times New Roman" w:cs="Times New Roman"/>
          <w:sz w:val="24"/>
          <w:szCs w:val="24"/>
        </w:rPr>
        <w:t xml:space="preserve"> in the subject market. </w:t>
      </w:r>
      <w:bookmarkStart w:id="0" w:name="_GoBack"/>
      <w:bookmarkEnd w:id="0"/>
    </w:p>
    <w:p w14:paraId="07BCB5A6" w14:textId="16730478" w:rsidR="00BB6106" w:rsidRDefault="00BB6106" w:rsidP="00BB6106">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Financials: </w:t>
      </w:r>
      <w:r w:rsidR="0077051D">
        <w:rPr>
          <w:rFonts w:ascii="Times New Roman" w:eastAsia="Times New Roman" w:hAnsi="Times New Roman" w:cs="Times New Roman"/>
          <w:sz w:val="24"/>
          <w:szCs w:val="24"/>
        </w:rPr>
        <w:t>financial</w:t>
      </w:r>
      <w:r>
        <w:rPr>
          <w:rFonts w:ascii="Times New Roman" w:eastAsia="Times New Roman" w:hAnsi="Times New Roman" w:cs="Times New Roman"/>
          <w:sz w:val="24"/>
          <w:szCs w:val="24"/>
        </w:rPr>
        <w:t xml:space="preserve"> statements </w:t>
      </w:r>
      <w:r w:rsidR="00DB6ADC">
        <w:rPr>
          <w:rFonts w:ascii="Times New Roman" w:eastAsia="Times New Roman" w:hAnsi="Times New Roman" w:cs="Times New Roman"/>
          <w:sz w:val="24"/>
          <w:szCs w:val="24"/>
        </w:rPr>
        <w:t xml:space="preserve">(cash flow, income and balance sheet) </w:t>
      </w:r>
      <w:r>
        <w:rPr>
          <w:rFonts w:ascii="Times New Roman" w:eastAsia="Times New Roman" w:hAnsi="Times New Roman" w:cs="Times New Roman"/>
          <w:sz w:val="24"/>
          <w:szCs w:val="24"/>
        </w:rPr>
        <w:t>for</w:t>
      </w:r>
      <w:r w:rsidR="000D02AA">
        <w:rPr>
          <w:rFonts w:ascii="Times New Roman" w:eastAsia="Times New Roman" w:hAnsi="Times New Roman" w:cs="Times New Roman"/>
          <w:sz w:val="24"/>
          <w:szCs w:val="24"/>
        </w:rPr>
        <w:t xml:space="preserve"> borrowers and guarantors (when applicable)</w:t>
      </w:r>
      <w:r>
        <w:rPr>
          <w:rFonts w:ascii="Times New Roman" w:eastAsia="Times New Roman" w:hAnsi="Times New Roman" w:cs="Times New Roman"/>
          <w:sz w:val="24"/>
          <w:szCs w:val="24"/>
        </w:rPr>
        <w:t xml:space="preserve"> at least three years</w:t>
      </w:r>
      <w:r w:rsidR="00DB6ADC">
        <w:rPr>
          <w:rFonts w:ascii="Times New Roman" w:eastAsia="Times New Roman" w:hAnsi="Times New Roman" w:cs="Times New Roman"/>
          <w:sz w:val="24"/>
          <w:szCs w:val="24"/>
        </w:rPr>
        <w:t xml:space="preserve"> period</w:t>
      </w:r>
      <w:r>
        <w:rPr>
          <w:rFonts w:ascii="Times New Roman" w:eastAsia="Times New Roman" w:hAnsi="Times New Roman" w:cs="Times New Roman"/>
          <w:sz w:val="24"/>
          <w:szCs w:val="24"/>
        </w:rPr>
        <w:t>.</w:t>
      </w:r>
      <w:r w:rsidR="0077051D">
        <w:rPr>
          <w:rFonts w:ascii="Times New Roman" w:eastAsia="Times New Roman" w:hAnsi="Times New Roman" w:cs="Times New Roman"/>
          <w:sz w:val="24"/>
          <w:szCs w:val="24"/>
        </w:rPr>
        <w:t xml:space="preserve"> </w:t>
      </w:r>
      <w:r w:rsidR="00DB6ADC">
        <w:rPr>
          <w:rFonts w:ascii="Times New Roman" w:eastAsia="Times New Roman" w:hAnsi="Times New Roman" w:cs="Times New Roman"/>
          <w:sz w:val="24"/>
          <w:szCs w:val="24"/>
        </w:rPr>
        <w:t>the financials examine the borrower’s financial position (income, free cash flow and net worth etc.) and credit worthiness (FICO score, late payment history and delinquency</w:t>
      </w:r>
      <w:r w:rsidR="0077051D">
        <w:rPr>
          <w:rFonts w:ascii="Times New Roman" w:eastAsia="Times New Roman" w:hAnsi="Times New Roman" w:cs="Times New Roman"/>
          <w:sz w:val="24"/>
          <w:szCs w:val="24"/>
        </w:rPr>
        <w:t xml:space="preserve"> </w:t>
      </w:r>
      <w:r w:rsidR="00DB6ADC">
        <w:rPr>
          <w:rFonts w:ascii="Times New Roman" w:eastAsia="Times New Roman" w:hAnsi="Times New Roman" w:cs="Times New Roman"/>
          <w:sz w:val="24"/>
          <w:szCs w:val="24"/>
        </w:rPr>
        <w:t xml:space="preserve">etc.). </w:t>
      </w:r>
      <w:r w:rsidR="0077051D">
        <w:rPr>
          <w:rFonts w:ascii="Times New Roman" w:eastAsia="Times New Roman" w:hAnsi="Times New Roman" w:cs="Times New Roman"/>
          <w:sz w:val="24"/>
          <w:szCs w:val="24"/>
        </w:rPr>
        <w:t xml:space="preserve">  </w:t>
      </w:r>
    </w:p>
    <w:p w14:paraId="656EC249" w14:textId="25358934" w:rsidR="00BB6106" w:rsidRPr="00BB6106" w:rsidRDefault="00BB6106" w:rsidP="00BB6106">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Compliance check</w:t>
      </w:r>
    </w:p>
    <w:p w14:paraId="660B5FB9" w14:textId="785ADBF7" w:rsidR="00592A3C" w:rsidRDefault="00592A3C" w:rsidP="00592A3C">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 Most of the lenders have a cap for the total exposure for one borrower and its subsidiary/affiliated companies.   The cap can be a $ amount or % of the lending portfolio.</w:t>
      </w:r>
    </w:p>
    <w:p w14:paraId="64B5C0F8" w14:textId="4301998B" w:rsidR="00592A3C" w:rsidRPr="00C35E00" w:rsidRDefault="00592A3C" w:rsidP="00C35E00">
      <w:pPr>
        <w:spacing w:after="0" w:line="240" w:lineRule="auto"/>
        <w:ind w:left="360"/>
        <w:rPr>
          <w:rFonts w:ascii="Times New Roman" w:eastAsia="Times New Roman" w:hAnsi="Times New Roman" w:cs="Times New Roman"/>
          <w:sz w:val="24"/>
          <w:szCs w:val="24"/>
        </w:rPr>
      </w:pPr>
    </w:p>
    <w:p w14:paraId="3818FE65" w14:textId="00DFD3F6" w:rsidR="00592A3C" w:rsidRPr="00592A3C" w:rsidRDefault="00DA51AD" w:rsidP="00592A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note some of the characteristics weight more than others in lenders’ assessment process. Other</w:t>
      </w:r>
      <w:r w:rsidR="00AB73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factors</w:t>
      </w:r>
      <w:r w:rsidR="00AB73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w:t>
      </w:r>
      <w:r w:rsidR="00AB7338">
        <w:rPr>
          <w:rFonts w:ascii="Times New Roman" w:eastAsia="Times New Roman" w:hAnsi="Times New Roman" w:cs="Times New Roman"/>
          <w:sz w:val="24"/>
          <w:szCs w:val="24"/>
        </w:rPr>
        <w:t>assessment includ</w:t>
      </w:r>
      <w:r>
        <w:rPr>
          <w:rFonts w:ascii="Times New Roman" w:eastAsia="Times New Roman" w:hAnsi="Times New Roman" w:cs="Times New Roman"/>
          <w:sz w:val="24"/>
          <w:szCs w:val="24"/>
        </w:rPr>
        <w:t>e</w:t>
      </w:r>
      <w:r w:rsidR="00AB7338">
        <w:rPr>
          <w:rFonts w:ascii="Times New Roman" w:eastAsia="Times New Roman" w:hAnsi="Times New Roman" w:cs="Times New Roman"/>
          <w:sz w:val="24"/>
          <w:szCs w:val="24"/>
        </w:rPr>
        <w:t xml:space="preserve"> the overall economy of the local market, government policy, </w:t>
      </w:r>
      <w:r>
        <w:rPr>
          <w:rFonts w:ascii="Times New Roman" w:eastAsia="Times New Roman" w:hAnsi="Times New Roman" w:cs="Times New Roman"/>
          <w:sz w:val="24"/>
          <w:szCs w:val="24"/>
        </w:rPr>
        <w:t xml:space="preserve">local law etc. </w:t>
      </w:r>
    </w:p>
    <w:p w14:paraId="31E43592" w14:textId="77777777" w:rsidR="00592A3C" w:rsidRPr="00592A3C" w:rsidRDefault="00592A3C" w:rsidP="00592A3C">
      <w:pPr>
        <w:spacing w:after="0" w:line="240" w:lineRule="auto"/>
        <w:rPr>
          <w:rFonts w:ascii="Times New Roman" w:eastAsia="Times New Roman" w:hAnsi="Times New Roman" w:cs="Times New Roman"/>
          <w:sz w:val="24"/>
          <w:szCs w:val="24"/>
        </w:rPr>
      </w:pPr>
    </w:p>
    <w:p w14:paraId="440586F5" w14:textId="77777777" w:rsidR="00CA6C57" w:rsidRPr="00592A3C" w:rsidRDefault="00CA6C57" w:rsidP="00592A3C">
      <w:pPr>
        <w:spacing w:after="0" w:line="240" w:lineRule="auto"/>
        <w:rPr>
          <w:rFonts w:ascii="Times New Roman" w:eastAsia="Times New Roman" w:hAnsi="Times New Roman" w:cs="Times New Roman"/>
          <w:sz w:val="24"/>
          <w:szCs w:val="24"/>
        </w:rPr>
      </w:pPr>
    </w:p>
    <w:p w14:paraId="4D0DA292" w14:textId="77777777" w:rsidR="00592A3C" w:rsidRPr="00592A3C" w:rsidRDefault="00592A3C" w:rsidP="00592A3C">
      <w:pPr>
        <w:spacing w:after="0" w:line="240" w:lineRule="auto"/>
        <w:rPr>
          <w:rFonts w:ascii="Times New Roman" w:eastAsia="Times New Roman" w:hAnsi="Times New Roman" w:cs="Times New Roman"/>
          <w:sz w:val="24"/>
          <w:szCs w:val="24"/>
        </w:rPr>
      </w:pPr>
    </w:p>
    <w:p w14:paraId="1F22952E" w14:textId="77777777" w:rsidR="00592A3C" w:rsidRPr="00592A3C" w:rsidRDefault="00592A3C" w:rsidP="00592A3C">
      <w:pPr>
        <w:spacing w:after="0" w:line="240" w:lineRule="auto"/>
        <w:rPr>
          <w:rFonts w:ascii="Times New Roman" w:eastAsia="Times New Roman" w:hAnsi="Times New Roman" w:cs="Times New Roman"/>
          <w:sz w:val="24"/>
          <w:szCs w:val="24"/>
        </w:rPr>
      </w:pPr>
    </w:p>
    <w:p w14:paraId="0CC1CCE5" w14:textId="77777777" w:rsidR="00592A3C" w:rsidRPr="00592A3C" w:rsidRDefault="00592A3C" w:rsidP="00592A3C">
      <w:pPr>
        <w:spacing w:after="0" w:line="240" w:lineRule="auto"/>
        <w:rPr>
          <w:rFonts w:ascii="Times New Roman" w:eastAsia="Times New Roman" w:hAnsi="Times New Roman" w:cs="Times New Roman"/>
          <w:sz w:val="24"/>
          <w:szCs w:val="24"/>
        </w:rPr>
      </w:pPr>
    </w:p>
    <w:p w14:paraId="01DE361A" w14:textId="77777777" w:rsidR="00592A3C" w:rsidRPr="00592A3C" w:rsidRDefault="00592A3C" w:rsidP="00592A3C">
      <w:pPr>
        <w:spacing w:after="0" w:line="240" w:lineRule="auto"/>
        <w:rPr>
          <w:rFonts w:ascii="Times New Roman" w:eastAsia="Times New Roman" w:hAnsi="Times New Roman" w:cs="Times New Roman"/>
          <w:sz w:val="24"/>
          <w:szCs w:val="24"/>
        </w:rPr>
      </w:pPr>
    </w:p>
    <w:p w14:paraId="44CE2CCE" w14:textId="77777777" w:rsidR="00592A3C" w:rsidRPr="00592A3C" w:rsidRDefault="00592A3C" w:rsidP="00592A3C">
      <w:pPr>
        <w:spacing w:after="0" w:line="240" w:lineRule="auto"/>
        <w:rPr>
          <w:rFonts w:ascii="Times New Roman" w:eastAsia="Times New Roman" w:hAnsi="Times New Roman" w:cs="Times New Roman"/>
          <w:sz w:val="24"/>
          <w:szCs w:val="24"/>
        </w:rPr>
      </w:pPr>
    </w:p>
    <w:p w14:paraId="3499BEDE" w14:textId="77777777" w:rsidR="00592A3C" w:rsidRPr="00592A3C" w:rsidRDefault="00592A3C" w:rsidP="00592A3C">
      <w:pPr>
        <w:spacing w:after="0" w:line="240" w:lineRule="auto"/>
        <w:rPr>
          <w:rFonts w:ascii="Times New Roman" w:eastAsia="Times New Roman" w:hAnsi="Times New Roman" w:cs="Times New Roman"/>
          <w:sz w:val="24"/>
          <w:szCs w:val="24"/>
        </w:rPr>
      </w:pPr>
    </w:p>
    <w:p w14:paraId="076583D8" w14:textId="77777777" w:rsidR="009A2EEE" w:rsidRDefault="009A2EEE"/>
    <w:sectPr w:rsidR="009A2E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0159"/>
    <w:multiLevelType w:val="hybridMultilevel"/>
    <w:tmpl w:val="28FEE07E"/>
    <w:lvl w:ilvl="0" w:tplc="893667BC">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1AC2077"/>
    <w:multiLevelType w:val="hybridMultilevel"/>
    <w:tmpl w:val="C8D87F70"/>
    <w:lvl w:ilvl="0" w:tplc="8002623A">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CFD6C4D"/>
    <w:multiLevelType w:val="hybridMultilevel"/>
    <w:tmpl w:val="DB1409C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1C56E08"/>
    <w:multiLevelType w:val="hybridMultilevel"/>
    <w:tmpl w:val="5F1072C2"/>
    <w:lvl w:ilvl="0" w:tplc="4C908EA8">
      <w:start w:val="1"/>
      <w:numFmt w:val="upperLetter"/>
      <w:lvlText w:val="%1&gt;"/>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EEE"/>
    <w:rsid w:val="00007F3C"/>
    <w:rsid w:val="000D02AA"/>
    <w:rsid w:val="00132794"/>
    <w:rsid w:val="001A4545"/>
    <w:rsid w:val="001D6DA2"/>
    <w:rsid w:val="002A1D57"/>
    <w:rsid w:val="002D2E4E"/>
    <w:rsid w:val="00362EBC"/>
    <w:rsid w:val="00437FD4"/>
    <w:rsid w:val="00467258"/>
    <w:rsid w:val="004C15A3"/>
    <w:rsid w:val="0059052E"/>
    <w:rsid w:val="00592A3C"/>
    <w:rsid w:val="005D70B0"/>
    <w:rsid w:val="005E7C15"/>
    <w:rsid w:val="0063416D"/>
    <w:rsid w:val="006A1A9F"/>
    <w:rsid w:val="00710D89"/>
    <w:rsid w:val="0077051D"/>
    <w:rsid w:val="007B5667"/>
    <w:rsid w:val="008303E4"/>
    <w:rsid w:val="008A2A28"/>
    <w:rsid w:val="00900FDA"/>
    <w:rsid w:val="00905F28"/>
    <w:rsid w:val="00920CC1"/>
    <w:rsid w:val="0094431B"/>
    <w:rsid w:val="0098203E"/>
    <w:rsid w:val="009A2EEE"/>
    <w:rsid w:val="00A70DF7"/>
    <w:rsid w:val="00AB7338"/>
    <w:rsid w:val="00BB6106"/>
    <w:rsid w:val="00BF716D"/>
    <w:rsid w:val="00C35E00"/>
    <w:rsid w:val="00CA6C57"/>
    <w:rsid w:val="00DA291E"/>
    <w:rsid w:val="00DA51AD"/>
    <w:rsid w:val="00DB6ADC"/>
    <w:rsid w:val="00F14229"/>
    <w:rsid w:val="00F6041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7F03"/>
  <w15:chartTrackingRefBased/>
  <w15:docId w15:val="{B81CD2F2-5891-4BFA-9D5A-27D5C2533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A3C"/>
    <w:pPr>
      <w:ind w:left="720"/>
      <w:contextualSpacing/>
    </w:pPr>
  </w:style>
  <w:style w:type="character" w:styleId="Hyperlink">
    <w:name w:val="Hyperlink"/>
    <w:basedOn w:val="DefaultParagraphFont"/>
    <w:uiPriority w:val="99"/>
    <w:semiHidden/>
    <w:unhideWhenUsed/>
    <w:rsid w:val="0063416D"/>
    <w:rPr>
      <w:color w:val="0000FF"/>
      <w:u w:val="single"/>
    </w:rPr>
  </w:style>
  <w:style w:type="character" w:styleId="Emphasis">
    <w:name w:val="Emphasis"/>
    <w:basedOn w:val="DefaultParagraphFont"/>
    <w:uiPriority w:val="20"/>
    <w:qFormat/>
    <w:rsid w:val="002D2E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439576">
      <w:bodyDiv w:val="1"/>
      <w:marLeft w:val="0"/>
      <w:marRight w:val="0"/>
      <w:marTop w:val="0"/>
      <w:marBottom w:val="0"/>
      <w:divBdr>
        <w:top w:val="none" w:sz="0" w:space="0" w:color="auto"/>
        <w:left w:val="none" w:sz="0" w:space="0" w:color="auto"/>
        <w:bottom w:val="none" w:sz="0" w:space="0" w:color="auto"/>
        <w:right w:val="none" w:sz="0" w:space="0" w:color="auto"/>
      </w:divBdr>
      <w:divsChild>
        <w:div w:id="2005081978">
          <w:marLeft w:val="0"/>
          <w:marRight w:val="0"/>
          <w:marTop w:val="0"/>
          <w:marBottom w:val="0"/>
          <w:divBdr>
            <w:top w:val="none" w:sz="0" w:space="0" w:color="auto"/>
            <w:left w:val="none" w:sz="0" w:space="0" w:color="auto"/>
            <w:bottom w:val="none" w:sz="0" w:space="0" w:color="auto"/>
            <w:right w:val="none" w:sz="0" w:space="0" w:color="auto"/>
          </w:divBdr>
        </w:div>
        <w:div w:id="202249179">
          <w:marLeft w:val="0"/>
          <w:marRight w:val="0"/>
          <w:marTop w:val="0"/>
          <w:marBottom w:val="0"/>
          <w:divBdr>
            <w:top w:val="none" w:sz="0" w:space="0" w:color="auto"/>
            <w:left w:val="none" w:sz="0" w:space="0" w:color="auto"/>
            <w:bottom w:val="none" w:sz="0" w:space="0" w:color="auto"/>
            <w:right w:val="none" w:sz="0" w:space="0" w:color="auto"/>
          </w:divBdr>
        </w:div>
        <w:div w:id="1387224377">
          <w:marLeft w:val="0"/>
          <w:marRight w:val="0"/>
          <w:marTop w:val="0"/>
          <w:marBottom w:val="0"/>
          <w:divBdr>
            <w:top w:val="none" w:sz="0" w:space="0" w:color="auto"/>
            <w:left w:val="none" w:sz="0" w:space="0" w:color="auto"/>
            <w:bottom w:val="none" w:sz="0" w:space="0" w:color="auto"/>
            <w:right w:val="none" w:sz="0" w:space="0" w:color="auto"/>
          </w:divBdr>
        </w:div>
        <w:div w:id="1927300484">
          <w:marLeft w:val="0"/>
          <w:marRight w:val="0"/>
          <w:marTop w:val="0"/>
          <w:marBottom w:val="0"/>
          <w:divBdr>
            <w:top w:val="none" w:sz="0" w:space="0" w:color="auto"/>
            <w:left w:val="none" w:sz="0" w:space="0" w:color="auto"/>
            <w:bottom w:val="none" w:sz="0" w:space="0" w:color="auto"/>
            <w:right w:val="none" w:sz="0" w:space="0" w:color="auto"/>
          </w:divBdr>
        </w:div>
        <w:div w:id="2136100614">
          <w:marLeft w:val="0"/>
          <w:marRight w:val="0"/>
          <w:marTop w:val="0"/>
          <w:marBottom w:val="0"/>
          <w:divBdr>
            <w:top w:val="none" w:sz="0" w:space="0" w:color="auto"/>
            <w:left w:val="none" w:sz="0" w:space="0" w:color="auto"/>
            <w:bottom w:val="none" w:sz="0" w:space="0" w:color="auto"/>
            <w:right w:val="none" w:sz="0" w:space="0" w:color="auto"/>
          </w:divBdr>
        </w:div>
        <w:div w:id="684400561">
          <w:marLeft w:val="0"/>
          <w:marRight w:val="0"/>
          <w:marTop w:val="0"/>
          <w:marBottom w:val="0"/>
          <w:divBdr>
            <w:top w:val="none" w:sz="0" w:space="0" w:color="auto"/>
            <w:left w:val="none" w:sz="0" w:space="0" w:color="auto"/>
            <w:bottom w:val="none" w:sz="0" w:space="0" w:color="auto"/>
            <w:right w:val="none" w:sz="0" w:space="0" w:color="auto"/>
          </w:divBdr>
        </w:div>
        <w:div w:id="1404986254">
          <w:marLeft w:val="0"/>
          <w:marRight w:val="0"/>
          <w:marTop w:val="0"/>
          <w:marBottom w:val="0"/>
          <w:divBdr>
            <w:top w:val="none" w:sz="0" w:space="0" w:color="auto"/>
            <w:left w:val="none" w:sz="0" w:space="0" w:color="auto"/>
            <w:bottom w:val="none" w:sz="0" w:space="0" w:color="auto"/>
            <w:right w:val="none" w:sz="0" w:space="0" w:color="auto"/>
          </w:divBdr>
        </w:div>
        <w:div w:id="1808626434">
          <w:marLeft w:val="0"/>
          <w:marRight w:val="0"/>
          <w:marTop w:val="0"/>
          <w:marBottom w:val="0"/>
          <w:divBdr>
            <w:top w:val="none" w:sz="0" w:space="0" w:color="auto"/>
            <w:left w:val="none" w:sz="0" w:space="0" w:color="auto"/>
            <w:bottom w:val="none" w:sz="0" w:space="0" w:color="auto"/>
            <w:right w:val="none" w:sz="0" w:space="0" w:color="auto"/>
          </w:divBdr>
        </w:div>
        <w:div w:id="999314768">
          <w:marLeft w:val="0"/>
          <w:marRight w:val="0"/>
          <w:marTop w:val="0"/>
          <w:marBottom w:val="0"/>
          <w:divBdr>
            <w:top w:val="none" w:sz="0" w:space="0" w:color="auto"/>
            <w:left w:val="none" w:sz="0" w:space="0" w:color="auto"/>
            <w:bottom w:val="none" w:sz="0" w:space="0" w:color="auto"/>
            <w:right w:val="none" w:sz="0" w:space="0" w:color="auto"/>
          </w:divBdr>
        </w:div>
        <w:div w:id="2005012223">
          <w:marLeft w:val="0"/>
          <w:marRight w:val="0"/>
          <w:marTop w:val="0"/>
          <w:marBottom w:val="0"/>
          <w:divBdr>
            <w:top w:val="none" w:sz="0" w:space="0" w:color="auto"/>
            <w:left w:val="none" w:sz="0" w:space="0" w:color="auto"/>
            <w:bottom w:val="none" w:sz="0" w:space="0" w:color="auto"/>
            <w:right w:val="none" w:sz="0" w:space="0" w:color="auto"/>
          </w:divBdr>
        </w:div>
        <w:div w:id="1318149207">
          <w:marLeft w:val="0"/>
          <w:marRight w:val="0"/>
          <w:marTop w:val="0"/>
          <w:marBottom w:val="0"/>
          <w:divBdr>
            <w:top w:val="none" w:sz="0" w:space="0" w:color="auto"/>
            <w:left w:val="none" w:sz="0" w:space="0" w:color="auto"/>
            <w:bottom w:val="none" w:sz="0" w:space="0" w:color="auto"/>
            <w:right w:val="none" w:sz="0" w:space="0" w:color="auto"/>
          </w:divBdr>
        </w:div>
        <w:div w:id="312610288">
          <w:marLeft w:val="0"/>
          <w:marRight w:val="0"/>
          <w:marTop w:val="0"/>
          <w:marBottom w:val="0"/>
          <w:divBdr>
            <w:top w:val="none" w:sz="0" w:space="0" w:color="auto"/>
            <w:left w:val="none" w:sz="0" w:space="0" w:color="auto"/>
            <w:bottom w:val="none" w:sz="0" w:space="0" w:color="auto"/>
            <w:right w:val="none" w:sz="0" w:space="0" w:color="auto"/>
          </w:divBdr>
        </w:div>
        <w:div w:id="765460562">
          <w:marLeft w:val="0"/>
          <w:marRight w:val="0"/>
          <w:marTop w:val="0"/>
          <w:marBottom w:val="0"/>
          <w:divBdr>
            <w:top w:val="none" w:sz="0" w:space="0" w:color="auto"/>
            <w:left w:val="none" w:sz="0" w:space="0" w:color="auto"/>
            <w:bottom w:val="none" w:sz="0" w:space="0" w:color="auto"/>
            <w:right w:val="none" w:sz="0" w:space="0" w:color="auto"/>
          </w:divBdr>
        </w:div>
        <w:div w:id="1574007205">
          <w:marLeft w:val="0"/>
          <w:marRight w:val="0"/>
          <w:marTop w:val="0"/>
          <w:marBottom w:val="0"/>
          <w:divBdr>
            <w:top w:val="none" w:sz="0" w:space="0" w:color="auto"/>
            <w:left w:val="none" w:sz="0" w:space="0" w:color="auto"/>
            <w:bottom w:val="none" w:sz="0" w:space="0" w:color="auto"/>
            <w:right w:val="none" w:sz="0" w:space="0" w:color="auto"/>
          </w:divBdr>
        </w:div>
        <w:div w:id="1816410069">
          <w:marLeft w:val="0"/>
          <w:marRight w:val="0"/>
          <w:marTop w:val="0"/>
          <w:marBottom w:val="0"/>
          <w:divBdr>
            <w:top w:val="none" w:sz="0" w:space="0" w:color="auto"/>
            <w:left w:val="none" w:sz="0" w:space="0" w:color="auto"/>
            <w:bottom w:val="none" w:sz="0" w:space="0" w:color="auto"/>
            <w:right w:val="none" w:sz="0" w:space="0" w:color="auto"/>
          </w:divBdr>
        </w:div>
        <w:div w:id="2063556901">
          <w:marLeft w:val="0"/>
          <w:marRight w:val="0"/>
          <w:marTop w:val="0"/>
          <w:marBottom w:val="0"/>
          <w:divBdr>
            <w:top w:val="none" w:sz="0" w:space="0" w:color="auto"/>
            <w:left w:val="none" w:sz="0" w:space="0" w:color="auto"/>
            <w:bottom w:val="none" w:sz="0" w:space="0" w:color="auto"/>
            <w:right w:val="none" w:sz="0" w:space="0" w:color="auto"/>
          </w:divBdr>
        </w:div>
        <w:div w:id="1870025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bre.us/research-and-reports/North-America-Cap-Rate-Survey-H1-2019" TargetMode="External"/><Relationship Id="rId5" Type="http://schemas.openxmlformats.org/officeDocument/2006/relationships/hyperlink" Target="https://www.commercialrealestate.loans/commercial-real-estate-glossary/operational-expendit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Kristin</dc:creator>
  <cp:keywords/>
  <dc:description/>
  <cp:lastModifiedBy>Xie, Kristin</cp:lastModifiedBy>
  <cp:revision>32</cp:revision>
  <dcterms:created xsi:type="dcterms:W3CDTF">2020-02-29T21:12:00Z</dcterms:created>
  <dcterms:modified xsi:type="dcterms:W3CDTF">2020-03-01T18:34:00Z</dcterms:modified>
</cp:coreProperties>
</file>