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GDL"/>
        <w:jc w:val="left"/>
      </w:pPr>
      <w:r>
        <w:t>Global Distributor Live™</w:t>
      </w:r>
    </w:p>
    <w:p>
      <w:pPr>
        <w:jc w:val="left"/>
      </w:pPr>
      <w:r>
        <w:rPr>
          <w:color w:val="5A5A5A"/>
          <w:sz w:val="22"/>
        </w:rPr>
        <w:t>Full-Power Blueprint | Operating model, platform design, pilot execution, and commercial logic</w:t>
      </w:r>
    </w:p>
    <w:tbl>
      <w:tblPr>
        <w:tblW w:type="auto" w:w="0"/>
        <w:jc w:val="center"/>
        <w:tblLayout w:type="fixed"/>
        <w:tblLook w:firstColumn="1" w:firstRow="1" w:lastColumn="0" w:lastRow="0" w:noHBand="0" w:noVBand="1" w:val="04A0"/>
      </w:tblPr>
      <w:tblGrid>
        <w:gridCol w:w="3312"/>
        <w:gridCol w:w="3312"/>
        <w:gridCol w:w="3312"/>
      </w:tblGrid>
      <w:tr>
        <w:tc>
          <w:tcPr>
            <w:tcW w:type="dxa" w:w="3005"/>
            <w:shd w:fill="EAF1FB"/>
            <w:tcMar>
              <w:top w:w="130" w:type="dxa"/>
              <w:start w:w="120" w:type="dxa"/>
              <w:bottom w:w="130" w:type="dxa"/>
              <w:end w:w="120" w:type="dxa"/>
            </w:tcMar>
            <w:vAlign w:val="center"/>
          </w:tcPr>
          <w:p>
            <w:pPr>
              <w:jc w:val="center"/>
            </w:pPr>
            <w:r>
              <w:rPr>
                <w:b/>
                <w:color w:val="1B365D"/>
                <w:sz w:val="26"/>
              </w:rPr>
              <w:t>1 supplier</w:t>
              <w:br/>
            </w:r>
            <w:r>
              <w:rPr>
                <w:color w:val="505050"/>
                <w:sz w:val="18"/>
              </w:rPr>
              <w:t>Initial pilot</w:t>
            </w:r>
          </w:p>
        </w:tc>
        <w:tc>
          <w:tcPr>
            <w:tcW w:type="dxa" w:w="3005"/>
            <w:shd w:fill="EAF1FB"/>
            <w:tcMar>
              <w:top w:w="130" w:type="dxa"/>
              <w:start w:w="120" w:type="dxa"/>
              <w:bottom w:w="130" w:type="dxa"/>
              <w:end w:w="120" w:type="dxa"/>
            </w:tcMar>
            <w:vAlign w:val="center"/>
          </w:tcPr>
          <w:p>
            <w:pPr>
              <w:jc w:val="center"/>
            </w:pPr>
            <w:r>
              <w:rPr>
                <w:b/>
                <w:color w:val="1B365D"/>
                <w:sz w:val="26"/>
              </w:rPr>
              <w:t>8–12 stores</w:t>
              <w:br/>
            </w:r>
            <w:r>
              <w:rPr>
                <w:color w:val="505050"/>
                <w:sz w:val="18"/>
              </w:rPr>
              <w:t>Retail launch</w:t>
            </w:r>
          </w:p>
        </w:tc>
        <w:tc>
          <w:tcPr>
            <w:tcW w:type="dxa" w:w="3005"/>
            <w:shd w:fill="EAF1FB"/>
            <w:tcMar>
              <w:top w:w="130" w:type="dxa"/>
              <w:start w:w="120" w:type="dxa"/>
              <w:bottom w:w="130" w:type="dxa"/>
              <w:end w:w="120" w:type="dxa"/>
            </w:tcMar>
            <w:vAlign w:val="center"/>
          </w:tcPr>
          <w:p>
            <w:pPr>
              <w:jc w:val="center"/>
            </w:pPr>
            <w:r>
              <w:rPr>
                <w:b/>
                <w:color w:val="1B365D"/>
                <w:sz w:val="26"/>
              </w:rPr>
              <w:t>No deposit, no order</w:t>
              <w:br/>
            </w:r>
            <w:r>
              <w:rPr>
                <w:color w:val="505050"/>
                <w:sz w:val="18"/>
              </w:rPr>
              <w:t>Deposit rule</w:t>
            </w:r>
          </w:p>
        </w:tc>
      </w:tr>
    </w:tbl>
    <w:p/>
    <w:p>
      <w:pPr>
        <w:pStyle w:val="Heading1"/>
      </w:pPr>
      <w:r>
        <w:t>Vision</w:t>
      </w:r>
    </w:p>
    <w:p>
      <w:r>
        <w:t>Global Distributor Live™ is a live wholesale commerce platform that lets Israeli pet retailers join scheduled video sessions, watch products presented directly from supplier warehouses in Dubai, and place binding orders with deposits during the broadcast. The platform is designed to reduce dependence on local intermediaries, widen SKU choice, improve retailer margins, and create a new recurring channel for container-level buying.</w:t>
      </w:r>
    </w:p>
    <w:tbl>
      <w:tblPr>
        <w:tblW w:type="auto" w:w="0"/>
        <w:jc w:val="center"/>
        <w:tblLayout w:type="fixed"/>
        <w:tblLook w:firstColumn="1" w:firstRow="1" w:lastColumn="0" w:lastRow="0" w:noHBand="0" w:noVBand="1" w:val="04A0"/>
      </w:tblPr>
      <w:tblGrid>
        <w:gridCol w:w="9936"/>
      </w:tblGrid>
      <w:tr>
        <w:tc>
          <w:tcPr>
            <w:tcW w:type="dxa" w:w="9071"/>
            <w:shd w:fill="F6F8FC"/>
            <w:tcMar>
              <w:top w:w="120" w:type="dxa"/>
              <w:start w:w="160" w:type="dxa"/>
              <w:bottom w:w="120" w:type="dxa"/>
              <w:end w:w="160" w:type="dxa"/>
            </w:tcMar>
          </w:tcPr>
          <w:p>
            <w:r>
              <w:rPr>
                <w:b/>
                <w:color w:val="1B365D"/>
                <w:sz w:val="22"/>
              </w:rPr>
              <w:t>Positioning</w:t>
              <w:br/>
            </w:r>
            <w:r>
              <w:rPr>
                <w:sz w:val="21"/>
              </w:rPr>
              <w:t>Do not market this as a webinar. Present it as a live wholesale trading floor for pet food, cat litter, accessories, hygiene, and seasonal deals.</w:t>
            </w:r>
          </w:p>
        </w:tc>
      </w:tr>
    </w:tbl>
    <w:p/>
    <w:p>
      <w:pPr>
        <w:pStyle w:val="Heading1"/>
      </w:pPr>
      <w:r>
        <w:t>Core value proposition</w:t>
      </w:r>
    </w:p>
    <w:p>
      <w:pPr>
        <w:pStyle w:val="ListBullet"/>
      </w:pPr>
      <w:r>
        <w:t>Direct access to supplier inventory and presentations from Dubai warehouses.</w:t>
      </w:r>
    </w:p>
    <w:p>
      <w:pPr>
        <w:pStyle w:val="ListBullet"/>
      </w:pPr>
      <w:r>
        <w:t>Clear landed-cost view for the buyer in Israel: unit cost, estimated freight allocation, customs/VAT assumptions, and expected gross margin.</w:t>
      </w:r>
    </w:p>
    <w:p>
      <w:pPr>
        <w:pStyle w:val="ListBullet"/>
      </w:pPr>
      <w:r>
        <w:t>Commitment workflow during the session: quantity request, deposit, digital acceptance of terms, and post-session allocation.</w:t>
      </w:r>
    </w:p>
    <w:p>
      <w:pPr>
        <w:pStyle w:val="ListBullet"/>
      </w:pPr>
      <w:r>
        <w:t>Structured recurring buying windows: for example every Tuesday and Thursday at fixed hours.</w:t>
      </w:r>
    </w:p>
    <w:p>
      <w:pPr>
        <w:pStyle w:val="ListBullet"/>
      </w:pPr>
      <w:r>
        <w:t>A scalable data engine that reveals demand by SKU, brand, retailer type, and price band.</w:t>
      </w:r>
    </w:p>
    <w:p>
      <w:pPr>
        <w:pStyle w:val="Heading1"/>
      </w:pPr>
      <w:r>
        <w:t>Recommended operating model</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57"/>
            <w:shd w:fill="D9E6F7"/>
            <w:tcMar>
              <w:top w:w="120" w:type="dxa"/>
              <w:start w:w="120" w:type="dxa"/>
              <w:bottom w:w="120" w:type="dxa"/>
              <w:end w:w="120" w:type="dxa"/>
            </w:tcMar>
          </w:tcPr>
          <w:p>
            <w:pPr>
              <w:jc w:val="center"/>
            </w:pPr>
            <w:r>
              <w:rPr>
                <w:b/>
                <w:sz w:val="20"/>
              </w:rPr>
              <w:t>Layer</w:t>
            </w:r>
          </w:p>
        </w:tc>
        <w:tc>
          <w:tcPr>
            <w:tcW w:type="dxa" w:w="1531"/>
            <w:shd w:fill="D9E6F7"/>
            <w:tcMar>
              <w:top w:w="120" w:type="dxa"/>
              <w:start w:w="120" w:type="dxa"/>
              <w:bottom w:w="120" w:type="dxa"/>
              <w:end w:w="120" w:type="dxa"/>
            </w:tcMar>
          </w:tcPr>
          <w:p>
            <w:pPr>
              <w:jc w:val="center"/>
            </w:pPr>
            <w:r>
              <w:rPr>
                <w:b/>
                <w:sz w:val="20"/>
              </w:rPr>
              <w:t>Owner</w:t>
            </w:r>
          </w:p>
        </w:tc>
        <w:tc>
          <w:tcPr>
            <w:tcW w:type="dxa" w:w="4535"/>
            <w:shd w:fill="D9E6F7"/>
            <w:tcMar>
              <w:top w:w="120" w:type="dxa"/>
              <w:start w:w="120" w:type="dxa"/>
              <w:bottom w:w="120" w:type="dxa"/>
              <w:end w:w="120" w:type="dxa"/>
            </w:tcMar>
          </w:tcPr>
          <w:p>
            <w:pPr>
              <w:jc w:val="center"/>
            </w:pPr>
            <w:r>
              <w:rPr>
                <w:b/>
                <w:sz w:val="20"/>
              </w:rPr>
              <w:t>What happens</w:t>
            </w:r>
          </w:p>
        </w:tc>
        <w:tc>
          <w:tcPr>
            <w:tcW w:type="dxa" w:w="1644"/>
            <w:shd w:fill="D9E6F7"/>
            <w:tcMar>
              <w:top w:w="120" w:type="dxa"/>
              <w:start w:w="120" w:type="dxa"/>
              <w:bottom w:w="120" w:type="dxa"/>
              <w:end w:w="120" w:type="dxa"/>
            </w:tcMar>
          </w:tcPr>
          <w:p>
            <w:pPr>
              <w:jc w:val="center"/>
            </w:pPr>
            <w:r>
              <w:rPr>
                <w:b/>
                <w:sz w:val="20"/>
              </w:rPr>
              <w:t>Launch mode</w:t>
            </w:r>
          </w:p>
        </w:tc>
      </w:tr>
      <w:tr>
        <w:tc>
          <w:tcPr>
            <w:tcW w:type="dxa" w:w="1757"/>
            <w:tcMar>
              <w:top w:w="80" w:type="dxa"/>
              <w:start w:w="120" w:type="dxa"/>
              <w:bottom w:w="80" w:type="dxa"/>
              <w:end w:w="120" w:type="dxa"/>
            </w:tcMar>
            <w:vAlign w:val="center"/>
          </w:tcPr>
          <w:p>
            <w:pPr>
              <w:jc w:val="center"/>
            </w:pPr>
            <w:r>
              <w:t>Broadcast</w:t>
            </w:r>
          </w:p>
        </w:tc>
        <w:tc>
          <w:tcPr>
            <w:tcW w:type="dxa" w:w="1531"/>
            <w:tcMar>
              <w:top w:w="80" w:type="dxa"/>
              <w:start w:w="120" w:type="dxa"/>
              <w:bottom w:w="80" w:type="dxa"/>
              <w:end w:w="120" w:type="dxa"/>
            </w:tcMar>
            <w:vAlign w:val="center"/>
          </w:tcPr>
          <w:p>
            <w:pPr>
              <w:jc w:val="center"/>
            </w:pPr>
            <w:r>
              <w:t>You + supplier presenter</w:t>
            </w:r>
          </w:p>
        </w:tc>
        <w:tc>
          <w:tcPr>
            <w:tcW w:type="dxa" w:w="4535"/>
            <w:tcMar>
              <w:top w:w="80" w:type="dxa"/>
              <w:start w:w="120" w:type="dxa"/>
              <w:bottom w:w="80" w:type="dxa"/>
              <w:end w:w="120" w:type="dxa"/>
            </w:tcMar>
            <w:vAlign w:val="center"/>
          </w:tcPr>
          <w:p>
            <w:pPr>
              <w:jc w:val="left"/>
            </w:pPr>
            <w:r>
              <w:t>Scheduled live product demonstration from warehouse zones or showroom tables</w:t>
            </w:r>
          </w:p>
        </w:tc>
        <w:tc>
          <w:tcPr>
            <w:tcW w:type="dxa" w:w="1644"/>
            <w:tcMar>
              <w:top w:w="80" w:type="dxa"/>
              <w:start w:w="120" w:type="dxa"/>
              <w:bottom w:w="80" w:type="dxa"/>
              <w:end w:w="120" w:type="dxa"/>
            </w:tcMar>
            <w:vAlign w:val="center"/>
          </w:tcPr>
          <w:p>
            <w:pPr>
              <w:jc w:val="center"/>
            </w:pPr>
            <w:r>
              <w:t>Zoom/Teams + branded landing page</w:t>
            </w:r>
          </w:p>
        </w:tc>
      </w:tr>
      <w:tr>
        <w:tc>
          <w:tcPr>
            <w:tcW w:type="dxa" w:w="1757"/>
            <w:tcMar>
              <w:top w:w="80" w:type="dxa"/>
              <w:start w:w="120" w:type="dxa"/>
              <w:bottom w:w="80" w:type="dxa"/>
              <w:end w:w="120" w:type="dxa"/>
            </w:tcMar>
            <w:vAlign w:val="center"/>
          </w:tcPr>
          <w:p>
            <w:pPr>
              <w:jc w:val="center"/>
            </w:pPr>
            <w:r>
              <w:t>Commerce</w:t>
            </w:r>
          </w:p>
        </w:tc>
        <w:tc>
          <w:tcPr>
            <w:tcW w:type="dxa" w:w="1531"/>
            <w:tcMar>
              <w:top w:w="80" w:type="dxa"/>
              <w:start w:w="120" w:type="dxa"/>
              <w:bottom w:w="80" w:type="dxa"/>
              <w:end w:w="120" w:type="dxa"/>
            </w:tcMar>
            <w:vAlign w:val="center"/>
          </w:tcPr>
          <w:p>
            <w:pPr>
              <w:jc w:val="center"/>
            </w:pPr>
            <w:r>
              <w:t>Platform</w:t>
            </w:r>
          </w:p>
        </w:tc>
        <w:tc>
          <w:tcPr>
            <w:tcW w:type="dxa" w:w="4535"/>
            <w:tcMar>
              <w:top w:w="80" w:type="dxa"/>
              <w:start w:w="120" w:type="dxa"/>
              <w:bottom w:w="80" w:type="dxa"/>
              <w:end w:w="120" w:type="dxa"/>
            </w:tcMar>
            <w:vAlign w:val="center"/>
          </w:tcPr>
          <w:p>
            <w:pPr>
              <w:jc w:val="left"/>
            </w:pPr>
            <w:r>
              <w:t>Order form opens per SKU, quantities captured, deposit requested, timestamped acceptance stored</w:t>
            </w:r>
          </w:p>
        </w:tc>
        <w:tc>
          <w:tcPr>
            <w:tcW w:type="dxa" w:w="1644"/>
            <w:tcMar>
              <w:top w:w="80" w:type="dxa"/>
              <w:start w:w="120" w:type="dxa"/>
              <w:bottom w:w="80" w:type="dxa"/>
              <w:end w:w="120" w:type="dxa"/>
            </w:tcMar>
            <w:vAlign w:val="center"/>
          </w:tcPr>
          <w:p>
            <w:pPr>
              <w:jc w:val="center"/>
            </w:pPr>
            <w:r>
              <w:t>Static site + form + payments</w:t>
            </w:r>
          </w:p>
        </w:tc>
      </w:tr>
      <w:tr>
        <w:tc>
          <w:tcPr>
            <w:tcW w:type="dxa" w:w="1757"/>
            <w:tcMar>
              <w:top w:w="80" w:type="dxa"/>
              <w:start w:w="120" w:type="dxa"/>
              <w:bottom w:w="80" w:type="dxa"/>
              <w:end w:w="120" w:type="dxa"/>
            </w:tcMar>
            <w:vAlign w:val="center"/>
          </w:tcPr>
          <w:p>
            <w:pPr>
              <w:jc w:val="center"/>
            </w:pPr>
            <w:r>
              <w:t>Commercial controls</w:t>
            </w:r>
          </w:p>
        </w:tc>
        <w:tc>
          <w:tcPr>
            <w:tcW w:type="dxa" w:w="1531"/>
            <w:tcMar>
              <w:top w:w="80" w:type="dxa"/>
              <w:start w:w="120" w:type="dxa"/>
              <w:bottom w:w="80" w:type="dxa"/>
              <w:end w:w="120" w:type="dxa"/>
            </w:tcMar>
            <w:vAlign w:val="center"/>
          </w:tcPr>
          <w:p>
            <w:pPr>
              <w:jc w:val="center"/>
            </w:pPr>
            <w:r>
              <w:t>You</w:t>
            </w:r>
          </w:p>
        </w:tc>
        <w:tc>
          <w:tcPr>
            <w:tcW w:type="dxa" w:w="4535"/>
            <w:tcMar>
              <w:top w:w="80" w:type="dxa"/>
              <w:start w:w="120" w:type="dxa"/>
              <w:bottom w:w="80" w:type="dxa"/>
              <w:end w:w="120" w:type="dxa"/>
            </w:tcMar>
            <w:vAlign w:val="center"/>
          </w:tcPr>
          <w:p>
            <w:pPr>
              <w:jc w:val="left"/>
            </w:pPr>
            <w:r>
              <w:t>MOQ, session pricing, cancellation rules, stock allocation, buyer tier rules</w:t>
            </w:r>
          </w:p>
        </w:tc>
        <w:tc>
          <w:tcPr>
            <w:tcW w:type="dxa" w:w="1644"/>
            <w:tcMar>
              <w:top w:w="80" w:type="dxa"/>
              <w:start w:w="120" w:type="dxa"/>
              <w:bottom w:w="80" w:type="dxa"/>
              <w:end w:w="120" w:type="dxa"/>
            </w:tcMar>
            <w:vAlign w:val="center"/>
          </w:tcPr>
          <w:p>
            <w:pPr>
              <w:jc w:val="center"/>
            </w:pPr>
            <w:r>
              <w:t>Terms page + internal dashboard</w:t>
            </w:r>
          </w:p>
        </w:tc>
      </w:tr>
      <w:tr>
        <w:tc>
          <w:tcPr>
            <w:tcW w:type="dxa" w:w="1757"/>
            <w:tcMar>
              <w:top w:w="80" w:type="dxa"/>
              <w:start w:w="120" w:type="dxa"/>
              <w:bottom w:w="80" w:type="dxa"/>
              <w:end w:w="120" w:type="dxa"/>
            </w:tcMar>
            <w:vAlign w:val="center"/>
          </w:tcPr>
          <w:p>
            <w:pPr>
              <w:jc w:val="center"/>
            </w:pPr>
            <w:r>
              <w:t>Logistics</w:t>
            </w:r>
          </w:p>
        </w:tc>
        <w:tc>
          <w:tcPr>
            <w:tcW w:type="dxa" w:w="1531"/>
            <w:tcMar>
              <w:top w:w="80" w:type="dxa"/>
              <w:start w:w="120" w:type="dxa"/>
              <w:bottom w:w="80" w:type="dxa"/>
              <w:end w:w="120" w:type="dxa"/>
            </w:tcMar>
            <w:vAlign w:val="center"/>
          </w:tcPr>
          <w:p>
            <w:pPr>
              <w:jc w:val="center"/>
            </w:pPr>
            <w:r>
              <w:t>Forwarder + you</w:t>
            </w:r>
          </w:p>
        </w:tc>
        <w:tc>
          <w:tcPr>
            <w:tcW w:type="dxa" w:w="4535"/>
            <w:tcMar>
              <w:top w:w="80" w:type="dxa"/>
              <w:start w:w="120" w:type="dxa"/>
              <w:bottom w:w="80" w:type="dxa"/>
              <w:end w:w="120" w:type="dxa"/>
            </w:tcMar>
            <w:vAlign w:val="center"/>
          </w:tcPr>
          <w:p>
            <w:pPr>
              <w:jc w:val="left"/>
            </w:pPr>
            <w:r>
              <w:t>Container planning, consolidation, import documents, dispatch to Israeli buyers</w:t>
            </w:r>
          </w:p>
        </w:tc>
        <w:tc>
          <w:tcPr>
            <w:tcW w:type="dxa" w:w="1644"/>
            <w:tcMar>
              <w:top w:w="80" w:type="dxa"/>
              <w:start w:w="120" w:type="dxa"/>
              <w:bottom w:w="80" w:type="dxa"/>
              <w:end w:w="120" w:type="dxa"/>
            </w:tcMar>
            <w:vAlign w:val="center"/>
          </w:tcPr>
          <w:p>
            <w:pPr>
              <w:jc w:val="center"/>
            </w:pPr>
            <w:r>
              <w:t>Manual at pilot stage</w:t>
            </w:r>
          </w:p>
        </w:tc>
      </w:tr>
    </w:tbl>
    <w:p/>
    <w:p>
      <w:pPr>
        <w:pStyle w:val="Heading1"/>
      </w:pPr>
      <w:r>
        <w:t>Minimum viable launch stack</w:t>
      </w:r>
    </w:p>
    <w:p>
      <w:pPr>
        <w:pStyle w:val="ListNumber"/>
      </w:pPr>
      <w:r>
        <w:t>A branded landing page with session schedule, value proposition, and retailer registration.</w:t>
      </w:r>
    </w:p>
    <w:p>
      <w:pPr>
        <w:pStyle w:val="ListNumber"/>
      </w:pPr>
      <w:r>
        <w:t>A private retailer access page that shows the session link, featured SKUs, margin examples, and ordering controls.</w:t>
      </w:r>
    </w:p>
    <w:p>
      <w:pPr>
        <w:pStyle w:val="ListNumber"/>
      </w:pPr>
      <w:r>
        <w:t>A live order form that captures product, quantity, deposit due, and buyer acknowledgment.</w:t>
      </w:r>
    </w:p>
    <w:p>
      <w:pPr>
        <w:pStyle w:val="ListNumber"/>
      </w:pPr>
      <w:r>
        <w:t>A lightweight operations dashboard for post-session allocation, invoicing, and logistics status.</w:t>
      </w:r>
    </w:p>
    <w:p>
      <w:pPr>
        <w:pStyle w:val="ListNumber"/>
      </w:pPr>
      <w:r>
        <w:t>Three legal layers: retailer participation terms, supplier framework terms, and order confirmation terms.</w:t>
      </w:r>
    </w:p>
    <w:p>
      <w:pPr>
        <w:pStyle w:val="Heading1"/>
      </w:pPr>
      <w:r>
        <w:t>Pilot plan: first container</w:t>
      </w:r>
    </w:p>
    <w:p>
      <w:pPr>
        <w:pStyle w:val="ListBullet"/>
      </w:pPr>
      <w:r>
        <w:t>Start with one strong supplier and one focused assortment, not a consortium on day one.</w:t>
      </w:r>
    </w:p>
    <w:p>
      <w:pPr>
        <w:pStyle w:val="ListBullet"/>
      </w:pPr>
      <w:r>
        <w:t>Use 8–12 selected Israeli stores that can move volume and give reliable feedback.</w:t>
      </w:r>
    </w:p>
    <w:p>
      <w:pPr>
        <w:pStyle w:val="ListBullet"/>
      </w:pPr>
      <w:r>
        <w:t>Feature 6–12 SKUs only: fast movers, visible margin story, and straightforward landed-cost assumptions.</w:t>
      </w:r>
    </w:p>
    <w:p>
      <w:pPr>
        <w:pStyle w:val="ListBullet"/>
      </w:pPr>
      <w:r>
        <w:t>Set a fixed deposit percentage before the session. Communicate that orders without deposit are treated as non-binding interest only.</w:t>
      </w:r>
    </w:p>
    <w:p>
      <w:pPr>
        <w:pStyle w:val="ListBullet"/>
      </w:pPr>
      <w:r>
        <w:t>After the session, confirm allocations within the same day and issue summary notices to buyers.</w:t>
      </w:r>
    </w:p>
    <w:tbl>
      <w:tblPr>
        <w:tblW w:type="auto" w:w="0"/>
        <w:jc w:val="center"/>
        <w:tblLayout w:type="fixed"/>
        <w:tblLook w:firstColumn="1" w:firstRow="1" w:lastColumn="0" w:lastRow="0" w:noHBand="0" w:noVBand="1" w:val="04A0"/>
      </w:tblPr>
      <w:tblGrid>
        <w:gridCol w:w="9936"/>
      </w:tblGrid>
      <w:tr>
        <w:tc>
          <w:tcPr>
            <w:tcW w:type="dxa" w:w="9071"/>
            <w:shd w:fill="F6F8FC"/>
            <w:tcMar>
              <w:top w:w="120" w:type="dxa"/>
              <w:start w:w="160" w:type="dxa"/>
              <w:bottom w:w="120" w:type="dxa"/>
              <w:end w:w="160" w:type="dxa"/>
            </w:tcMar>
          </w:tcPr>
          <w:p>
            <w:r>
              <w:rPr>
                <w:b/>
                <w:color w:val="1B365D"/>
                <w:sz w:val="22"/>
              </w:rPr>
              <w:t>Suggested first assortment</w:t>
              <w:br/>
            </w:r>
            <w:r>
              <w:rPr>
                <w:sz w:val="21"/>
              </w:rPr>
              <w:t>Premium clumping litter, mainstream dry cat food, selected dog snacks, basic hygiene or odor-control accessories, and one surprise deal item.</w:t>
            </w:r>
          </w:p>
        </w:tc>
      </w:tr>
    </w:tbl>
    <w:p/>
    <w:p>
      <w:pPr>
        <w:pStyle w:val="Heading1"/>
      </w:pPr>
      <w:r>
        <w:t>Metrics that matter</w:t>
      </w:r>
    </w:p>
    <w:p>
      <w:pPr>
        <w:pStyle w:val="ListBullet"/>
      </w:pPr>
      <w:r>
        <w:t>Stores registered vs. stores attending live</w:t>
      </w:r>
    </w:p>
    <w:p>
      <w:pPr>
        <w:pStyle w:val="ListBullet"/>
      </w:pPr>
      <w:r>
        <w:t>Order requests per session</w:t>
      </w:r>
    </w:p>
    <w:p>
      <w:pPr>
        <w:pStyle w:val="ListBullet"/>
      </w:pPr>
      <w:r>
        <w:t>Deposit conversion rate</w:t>
      </w:r>
    </w:p>
    <w:p>
      <w:pPr>
        <w:pStyle w:val="ListBullet"/>
      </w:pPr>
      <w:r>
        <w:t>Average gross margin by SKU</w:t>
      </w:r>
    </w:p>
    <w:p>
      <w:pPr>
        <w:pStyle w:val="ListBullet"/>
      </w:pPr>
      <w:r>
        <w:t>Average units committed per store</w:t>
      </w:r>
    </w:p>
    <w:p>
      <w:pPr>
        <w:pStyle w:val="ListBullet"/>
      </w:pPr>
      <w:r>
        <w:t>Repeat participation rate by store</w:t>
      </w:r>
    </w:p>
    <w:p>
      <w:pPr>
        <w:pStyle w:val="ListBullet"/>
      </w:pPr>
      <w:r>
        <w:t>Time from session close to allocation confirmation</w:t>
      </w:r>
    </w:p>
    <w:p>
      <w:pPr>
        <w:pStyle w:val="Heading1"/>
      </w:pPr>
      <w:r>
        <w:t>Commercial protections</w:t>
      </w:r>
    </w:p>
    <w:p>
      <w:pPr>
        <w:pStyle w:val="ListBullet"/>
      </w:pPr>
      <w:r>
        <w:t>No deposit, no confirmed order.</w:t>
      </w:r>
    </w:p>
    <w:p>
      <w:pPr>
        <w:pStyle w:val="ListBullet"/>
      </w:pPr>
      <w:r>
        <w:t>Clear cancellation penalty if a buyer backs out after a confirmed allocation.</w:t>
      </w:r>
    </w:p>
    <w:p>
      <w:pPr>
        <w:pStyle w:val="ListBullet"/>
      </w:pPr>
      <w:r>
        <w:t>Supplier obligation to maintain presented pricing for the session window or defined quantity block.</w:t>
      </w:r>
    </w:p>
    <w:p>
      <w:pPr>
        <w:pStyle w:val="ListBullet"/>
      </w:pPr>
      <w:r>
        <w:t>Internal blacklist / trust score for repeat no-shows or failed payments.</w:t>
      </w:r>
    </w:p>
    <w:p>
      <w:pPr>
        <w:pStyle w:val="ListBullet"/>
      </w:pPr>
      <w:r>
        <w:t>Visibility rules so suppliers do not bypass the platform to approach buyers directly without agreement.</w:t>
      </w:r>
    </w:p>
    <w:p>
      <w:pPr>
        <w:pStyle w:val="Heading1"/>
      </w:pPr>
      <w:r>
        <w:t>Execution sequence</w:t>
      </w:r>
    </w:p>
    <w:p>
      <w:pPr>
        <w:pStyle w:val="ListNumber"/>
      </w:pPr>
      <w:r>
        <w:t>Recruit anchor supplier and define pilot assortment.</w:t>
      </w:r>
    </w:p>
    <w:p>
      <w:pPr>
        <w:pStyle w:val="ListNumber"/>
      </w:pPr>
      <w:r>
        <w:t>Finalize launch page, registration, and order mechanics.</w:t>
      </w:r>
    </w:p>
    <w:p>
      <w:pPr>
        <w:pStyle w:val="ListNumber"/>
      </w:pPr>
      <w:r>
        <w:t>Invite selected Israeli stores and pre-qualify serious buyers.</w:t>
      </w:r>
    </w:p>
    <w:p>
      <w:pPr>
        <w:pStyle w:val="ListNumber"/>
      </w:pPr>
      <w:r>
        <w:t>Run one rehearsal session with timing, pricing overlays, and order flow test.</w:t>
      </w:r>
    </w:p>
    <w:p>
      <w:pPr>
        <w:pStyle w:val="ListNumber"/>
      </w:pPr>
      <w:r>
        <w:t>Launch the first live session and close the first consolidated shipment.</w:t>
      </w:r>
    </w:p>
    <w:p>
      <w:pPr>
        <w:pStyle w:val="ListNumber"/>
      </w:pPr>
      <w:r>
        <w:t>Debrief within 24 hours and tighten the next session.</w:t>
      </w:r>
    </w:p>
    <w:sectPr w:rsidR="00FC693F" w:rsidRPr="0006063C" w:rsidSect="00034616">
      <w:headerReference w:type="default" r:id="rId9"/>
      <w:footerReference w:type="default" r:id="rId10"/>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Global Distributor Live™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GDL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GDL">
    <w:name w:val="Title GDL"/>
    <w:basedOn w:val="Title"/>
    <w:rPr>
      <w:rFonts w:ascii="Aptos Display" w:hAnsi="Aptos Display"/>
      <w:b/>
      <w:color w:val="1B365D"/>
      <w:sz w:val="44"/>
    </w:rPr>
  </w:style>
  <w:style w:type="paragraph" w:customStyle="1" w:styleId="SubtleHeading">
    <w:name w:val="Subtle Heading"/>
    <w:basedOn w:val="Heading2"/>
    <w:rPr>
      <w:rFonts w:ascii="Aptos" w:hAnsi="Aptos"/>
      <w:b/>
      <w:color w:val="1B365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