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365D"/>
          <w:sz w:val="44"/>
        </w:rPr>
        <w:t>Global Distributor Live™</w:t>
      </w:r>
    </w:p>
    <w:p>
      <w:pPr>
        <w:jc w:val="center"/>
      </w:pPr>
      <w:r>
        <w:rPr>
          <w:i/>
          <w:color w:val="5A5A5A"/>
          <w:sz w:val="20"/>
        </w:rPr>
        <w:t>Full Power Launch Pack - Strategy, Operating Blueprint, Webinar Flow, and Commercial Architecture</w:t>
      </w:r>
    </w:p>
    <w:p>
      <w:pPr>
        <w:spacing w:after="200"/>
      </w:pPr>
      <w:r>
        <w:t>Prepared as a practical launch package for a live B2B wholesale sales platform connecting leading Dubai pet suppliers with Israeli pet retailers through scheduled live online trade sessions.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tcMar>
              <w:top w:w="100" w:type="dxa"/>
              <w:start w:w="120" w:type="dxa"/>
              <w:bottom w:w="100" w:type="dxa"/>
              <w:end w:w="120" w:type="dxa"/>
            </w:tcMar>
            <w:shd w:fill="D9EAF7"/>
          </w:tcPr>
          <w:p>
            <w:pPr>
              <w:jc w:val="center"/>
            </w:pPr>
            <w:r>
              <w:rPr>
                <w:b/>
              </w:rPr>
              <w:t>Core Product</w:t>
            </w:r>
          </w:p>
        </w:tc>
        <w:tc>
          <w:tcPr>
            <w:tcW w:type="dxa" w:w="2550"/>
            <w:vAlign w:val="center"/>
            <w:tcMar>
              <w:top w:w="100" w:type="dxa"/>
              <w:start w:w="120" w:type="dxa"/>
              <w:bottom w:w="100" w:type="dxa"/>
              <w:end w:w="120" w:type="dxa"/>
            </w:tcMar>
            <w:shd w:fill="D9EAF7"/>
          </w:tcPr>
          <w:p>
            <w:pPr>
              <w:jc w:val="center"/>
            </w:pPr>
            <w:r>
              <w:rPr>
                <w:b/>
              </w:rPr>
              <w:t>Primary Users</w:t>
            </w:r>
          </w:p>
        </w:tc>
        <w:tc>
          <w:tcPr>
            <w:tcW w:type="dxa" w:w="2550"/>
            <w:vAlign w:val="center"/>
            <w:tcMar>
              <w:top w:w="100" w:type="dxa"/>
              <w:start w:w="120" w:type="dxa"/>
              <w:bottom w:w="100" w:type="dxa"/>
              <w:end w:w="120" w:type="dxa"/>
            </w:tcMar>
            <w:shd w:fill="D9EAF7"/>
          </w:tcPr>
          <w:p>
            <w:pPr>
              <w:jc w:val="center"/>
            </w:pPr>
            <w:r>
              <w:rPr>
                <w:b/>
              </w:rPr>
              <w:t>Commercial Trigger</w:t>
            </w:r>
          </w:p>
        </w:tc>
        <w:tc>
          <w:tcPr>
            <w:tcW w:type="dxa" w:w="2550"/>
            <w:vAlign w:val="center"/>
            <w:tcMar>
              <w:top w:w="100" w:type="dxa"/>
              <w:start w:w="120" w:type="dxa"/>
              <w:bottom w:w="100" w:type="dxa"/>
              <w:end w:w="120" w:type="dxa"/>
            </w:tcMar>
            <w:shd w:fill="D9EAF7"/>
          </w:tcPr>
          <w:p>
            <w:pPr>
              <w:jc w:val="center"/>
            </w:pPr>
            <w:r>
              <w:rPr>
                <w:b/>
              </w:rPr>
              <w:t>Money Collection</w:t>
            </w:r>
          </w:p>
        </w:tc>
      </w:tr>
      <w:tr>
        <w:tc>
          <w:tcPr>
            <w:tcW w:type="dxa" w:w="2550"/>
            <w:vAlign w:val="center"/>
            <w:tcMar>
              <w:top w:w="100" w:type="dxa"/>
              <w:start w:w="120" w:type="dxa"/>
              <w:bottom w:w="100" w:type="dxa"/>
              <w:end w:w="120" w:type="dxa"/>
            </w:tcMar>
          </w:tcPr>
          <w:p>
            <w:pPr>
              <w:jc w:val="center"/>
            </w:pPr>
            <w:r>
              <w:t>Live wholesale buying sessions</w:t>
            </w:r>
          </w:p>
        </w:tc>
        <w:tc>
          <w:tcPr>
            <w:tcW w:type="dxa" w:w="2550"/>
            <w:vAlign w:val="center"/>
            <w:tcMar>
              <w:top w:w="100" w:type="dxa"/>
              <w:start w:w="120" w:type="dxa"/>
              <w:bottom w:w="100" w:type="dxa"/>
              <w:end w:w="120" w:type="dxa"/>
            </w:tcMar>
          </w:tcPr>
          <w:p>
            <w:pPr>
              <w:jc w:val="center"/>
            </w:pPr>
            <w:r>
              <w:t>Israeli pet shops / chains</w:t>
            </w:r>
          </w:p>
        </w:tc>
        <w:tc>
          <w:tcPr>
            <w:tcW w:type="dxa" w:w="2550"/>
            <w:vAlign w:val="center"/>
            <w:tcMar>
              <w:top w:w="100" w:type="dxa"/>
              <w:start w:w="120" w:type="dxa"/>
              <w:bottom w:w="100" w:type="dxa"/>
              <w:end w:w="120" w:type="dxa"/>
            </w:tcMar>
          </w:tcPr>
          <w:p>
            <w:pPr>
              <w:jc w:val="center"/>
            </w:pPr>
            <w:r>
              <w:t>Commit order during live session</w:t>
            </w:r>
          </w:p>
        </w:tc>
        <w:tc>
          <w:tcPr>
            <w:tcW w:type="dxa" w:w="2550"/>
            <w:vAlign w:val="center"/>
            <w:tcMar>
              <w:top w:w="100" w:type="dxa"/>
              <w:start w:w="120" w:type="dxa"/>
              <w:bottom w:w="100" w:type="dxa"/>
              <w:end w:w="120" w:type="dxa"/>
            </w:tcMar>
          </w:tcPr>
          <w:p>
            <w:pPr>
              <w:jc w:val="center"/>
            </w:pPr>
            <w:r>
              <w:t>Deposit + signed order</w:t>
            </w:r>
          </w:p>
        </w:tc>
      </w:tr>
    </w:tbl>
    <w:p>
      <w:pPr>
        <w:pStyle w:val="Heading1"/>
      </w:pPr>
      <w:r>
        <w:t>1. Executive Positioning</w:t>
      </w:r>
    </w:p>
    <w:p>
      <w:r>
        <w:t>This is not a simple webinar. It is a live wholesale trade exchange for pet food, cat litter, accessories, hygiene products, and closeout opportunities.</w:t>
      </w:r>
    </w:p>
    <w:p>
      <w:r>
        <w:t>The platform removes dependence on traditional local distributors by giving stores controlled, transparent access to broader product supply, sharper pricing, and scheduled live purchasing windows.</w:t>
      </w:r>
    </w:p>
    <w:p>
      <w:r>
        <w:t>The initial market focus should be Israel. The supply-side anchor should be selected Dubai warehouse partners with inventory depth, camera access, and operational discipline.</w:t>
      </w:r>
    </w:p>
    <w:p>
      <w:pPr>
        <w:pStyle w:val="Heading1"/>
      </w:pPr>
      <w:r>
        <w:t>2. What Makes the Model Powerful</w:t>
      </w:r>
    </w:p>
    <w:p>
      <w:pPr>
        <w:pStyle w:val="ListBullet"/>
      </w:pPr>
      <w:r>
        <w:t>Live inventory presentation from real supplier warehouses.</w:t>
      </w:r>
    </w:p>
    <w:p>
      <w:pPr>
        <w:pStyle w:val="ListBullet"/>
      </w:pPr>
      <w:r>
        <w:t>Visible landed-cost logic so buyers understand the final economics in Israel.</w:t>
      </w:r>
    </w:p>
    <w:p>
      <w:pPr>
        <w:pStyle w:val="ListBullet"/>
      </w:pPr>
      <w:r>
        <w:t>Order commitment during the session, not after the session.</w:t>
      </w:r>
    </w:p>
    <w:p>
      <w:pPr>
        <w:pStyle w:val="ListBullet"/>
      </w:pPr>
      <w:r>
        <w:t>Deposit collection to convert interest into real demand.</w:t>
      </w:r>
    </w:p>
    <w:p>
      <w:pPr>
        <w:pStyle w:val="ListBullet"/>
      </w:pPr>
      <w:r>
        <w:t>Grouped demand to unlock better pricing and shipment consolidation.</w:t>
      </w:r>
    </w:p>
    <w:p>
      <w:pPr>
        <w:pStyle w:val="ListBullet"/>
      </w:pPr>
      <w:r>
        <w:t>Ongoing data advantage: what stores buy, what price points move, what categories are underserved.</w:t>
      </w:r>
    </w:p>
    <w:p>
      <w:pPr>
        <w:pStyle w:val="Heading1"/>
      </w:pPr>
      <w:r>
        <w:t>3. Full System Blueprint</w:t>
      </w:r>
    </w:p>
    <w:p>
      <w:pPr>
        <w:pStyle w:val="Heading2"/>
      </w:pPr>
      <w:r>
        <w:t>3.1 Supplier Node Layer</w:t>
      </w:r>
    </w:p>
    <w:p>
      <w:r>
        <w:t>Each approved warehouse acts as a supplier node with camera, presenter, inventory file, and price authorization.</w:t>
      </w:r>
    </w:p>
    <w:p>
      <w:r>
        <w:t>Nodes can be switched live during the session to present different categories or brands.</w:t>
      </w:r>
    </w:p>
    <w:p>
      <w:r>
        <w:t>Supplier onboarding should include stock verification, presenter training, margin rules, and document templates.</w:t>
      </w:r>
    </w:p>
    <w:p>
      <w:pPr>
        <w:pStyle w:val="Heading2"/>
      </w:pPr>
      <w:r>
        <w:t>3.2 Live Session Layer</w:t>
      </w:r>
    </w:p>
    <w:p>
      <w:r>
        <w:t>A scheduled live event every week, with optional category-specific sessions (cat litter, dry food, wet food, accessories, hygiene, closeouts).</w:t>
      </w:r>
    </w:p>
    <w:p>
      <w:r>
        <w:t>Presenter-led auction style flow with countdown logic and urgency windows.</w:t>
      </w:r>
    </w:p>
    <w:p>
      <w:r>
        <w:t>Product cards shown on screen with SKU, pack size, minimum order, warehouse location, lead time, and deposit requirement.</w:t>
      </w:r>
    </w:p>
    <w:p>
      <w:pPr>
        <w:pStyle w:val="Heading2"/>
      </w:pPr>
      <w:r>
        <w:t>3.3 Commercial Engine</w:t>
      </w:r>
    </w:p>
    <w:p>
      <w:r>
        <w:t>Each order line should calculate estimated landed unit cost, expected retail margin band, deposit due now, and cancellation exposure.</w:t>
      </w:r>
    </w:p>
    <w:p>
      <w:r>
        <w:t>Orders can be store-level or group-buy order pools.</w:t>
      </w:r>
    </w:p>
    <w:p>
      <w:r>
        <w:t>Admin can freeze an item when stock is exhausted or when a supplier withdraws the item.</w:t>
      </w:r>
    </w:p>
    <w:p>
      <w:pPr>
        <w:pStyle w:val="Heading2"/>
      </w:pPr>
      <w:r>
        <w:t>3.4 Trust and Legal Layer</w:t>
      </w:r>
    </w:p>
    <w:p>
      <w:r>
        <w:t>Every store signs before access: trade terms, deposit rules, cancellation penalty, claims process, inspection process, and payment milestones.</w:t>
      </w:r>
    </w:p>
    <w:p>
      <w:r>
        <w:t>Every supplier signs before joining: stock accuracy, quality obligation, price validity, document responsibility, and replacement / shortfall logic.</w:t>
      </w:r>
    </w:p>
    <w:p>
      <w:r>
        <w:t>Platform terms must clearly define your role as organizer, operator, and commercial coordinator.</w:t>
      </w:r>
    </w:p>
    <w:p>
      <w:pPr>
        <w:pStyle w:val="Heading2"/>
      </w:pPr>
      <w:r>
        <w:t>3.5 Operations Layer</w:t>
      </w:r>
    </w:p>
    <w:p>
      <w:r>
        <w:t>After each live session: finalize allocations, issue order confirmations, collect remaining commercial documents, and start shipment planning.</w:t>
      </w:r>
    </w:p>
    <w:p>
      <w:r>
        <w:t>Track supplier performance by fill-rate, shortage events, quality disputes, and timeliness.</w:t>
      </w:r>
    </w:p>
    <w:p>
      <w:r>
        <w:t>Track buyer performance by payment discipline, cancellation behavior, and repeat demand.</w:t>
      </w:r>
    </w:p>
    <w:p>
      <w:pPr>
        <w:pStyle w:val="Heading1"/>
      </w:pPr>
      <w:r>
        <w:t>4. Recommended MVP Launch Stack</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tcMar>
              <w:top w:w="100" w:type="dxa"/>
              <w:start w:w="120" w:type="dxa"/>
              <w:bottom w:w="100" w:type="dxa"/>
              <w:end w:w="120" w:type="dxa"/>
            </w:tcMar>
            <w:shd w:fill="D9EAF7"/>
          </w:tcPr>
          <w:p>
            <w:pPr>
              <w:spacing w:after="60" w:before="60"/>
              <w:jc w:val="center"/>
            </w:pPr>
            <w:r>
              <w:rPr>
                <w:b/>
                <w:sz w:val="18"/>
              </w:rPr>
              <w:t>Layer</w:t>
            </w:r>
          </w:p>
        </w:tc>
        <w:tc>
          <w:tcPr>
            <w:tcW w:type="dxa" w:w="2550"/>
            <w:vAlign w:val="center"/>
            <w:tcMar>
              <w:top w:w="100" w:type="dxa"/>
              <w:start w:w="120" w:type="dxa"/>
              <w:bottom w:w="100" w:type="dxa"/>
              <w:end w:w="120" w:type="dxa"/>
            </w:tcMar>
            <w:shd w:fill="D9EAF7"/>
          </w:tcPr>
          <w:p>
            <w:pPr>
              <w:spacing w:after="60" w:before="60"/>
              <w:jc w:val="center"/>
            </w:pPr>
            <w:r>
              <w:rPr>
                <w:b/>
                <w:sz w:val="18"/>
              </w:rPr>
              <w:t>MVP Tool</w:t>
            </w:r>
          </w:p>
        </w:tc>
        <w:tc>
          <w:tcPr>
            <w:tcW w:type="dxa" w:w="2550"/>
            <w:vAlign w:val="center"/>
            <w:tcMar>
              <w:top w:w="100" w:type="dxa"/>
              <w:start w:w="120" w:type="dxa"/>
              <w:bottom w:w="100" w:type="dxa"/>
              <w:end w:w="120" w:type="dxa"/>
            </w:tcMar>
            <w:shd w:fill="D9EAF7"/>
          </w:tcPr>
          <w:p>
            <w:pPr>
              <w:spacing w:after="60" w:before="60"/>
              <w:jc w:val="center"/>
            </w:pPr>
            <w:r>
              <w:rPr>
                <w:b/>
                <w:sz w:val="18"/>
              </w:rPr>
              <w:t>Why It Works</w:t>
            </w:r>
          </w:p>
        </w:tc>
        <w:tc>
          <w:tcPr>
            <w:tcW w:type="dxa" w:w="2550"/>
            <w:vAlign w:val="center"/>
            <w:tcMar>
              <w:top w:w="100" w:type="dxa"/>
              <w:start w:w="120" w:type="dxa"/>
              <w:bottom w:w="100" w:type="dxa"/>
              <w:end w:w="120" w:type="dxa"/>
            </w:tcMar>
            <w:shd w:fill="D9EAF7"/>
          </w:tcPr>
          <w:p>
            <w:pPr>
              <w:spacing w:after="60" w:before="60"/>
              <w:jc w:val="center"/>
            </w:pPr>
            <w:r>
              <w:rPr>
                <w:b/>
                <w:sz w:val="18"/>
              </w:rPr>
              <w:t>Upgrade Path</w:t>
            </w:r>
          </w:p>
        </w:tc>
      </w:tr>
      <w:tr>
        <w:tc>
          <w:tcPr>
            <w:tcW w:type="dxa" w:w="2550"/>
            <w:vAlign w:val="center"/>
            <w:tcMar>
              <w:top w:w="100" w:type="dxa"/>
              <w:start w:w="120" w:type="dxa"/>
              <w:bottom w:w="100" w:type="dxa"/>
              <w:end w:w="120" w:type="dxa"/>
            </w:tcMar>
          </w:tcPr>
          <w:p>
            <w:pPr>
              <w:spacing w:after="60" w:before="60"/>
            </w:pPr>
            <w:r>
              <w:rPr>
                <w:sz w:val="18"/>
              </w:rPr>
              <w:t>Live broadcast</w:t>
            </w:r>
          </w:p>
        </w:tc>
        <w:tc>
          <w:tcPr>
            <w:tcW w:type="dxa" w:w="2550"/>
            <w:vAlign w:val="center"/>
            <w:tcMar>
              <w:top w:w="100" w:type="dxa"/>
              <w:start w:w="120" w:type="dxa"/>
              <w:bottom w:w="100" w:type="dxa"/>
              <w:end w:w="120" w:type="dxa"/>
            </w:tcMar>
          </w:tcPr>
          <w:p>
            <w:pPr>
              <w:spacing w:after="60" w:before="60"/>
            </w:pPr>
            <w:r>
              <w:rPr>
                <w:sz w:val="18"/>
              </w:rPr>
              <w:t>Zoom / Teams / embedded stream</w:t>
            </w:r>
          </w:p>
        </w:tc>
        <w:tc>
          <w:tcPr>
            <w:tcW w:type="dxa" w:w="2550"/>
            <w:vAlign w:val="center"/>
            <w:tcMar>
              <w:top w:w="100" w:type="dxa"/>
              <w:start w:w="120" w:type="dxa"/>
              <w:bottom w:w="100" w:type="dxa"/>
              <w:end w:w="120" w:type="dxa"/>
            </w:tcMar>
          </w:tcPr>
          <w:p>
            <w:pPr>
              <w:spacing w:after="60" w:before="60"/>
            </w:pPr>
            <w:r>
              <w:rPr>
                <w:sz w:val="18"/>
              </w:rPr>
              <w:t>Fastest route to launch</w:t>
            </w:r>
          </w:p>
        </w:tc>
        <w:tc>
          <w:tcPr>
            <w:tcW w:type="dxa" w:w="2550"/>
            <w:vAlign w:val="center"/>
            <w:tcMar>
              <w:top w:w="100" w:type="dxa"/>
              <w:start w:w="120" w:type="dxa"/>
              <w:bottom w:w="100" w:type="dxa"/>
              <w:end w:w="120" w:type="dxa"/>
            </w:tcMar>
          </w:tcPr>
          <w:p>
            <w:pPr>
              <w:spacing w:after="60" w:before="60"/>
            </w:pPr>
            <w:r>
              <w:rPr>
                <w:sz w:val="18"/>
              </w:rPr>
              <w:t>Dedicated streaming infrastructure</w:t>
            </w:r>
          </w:p>
        </w:tc>
      </w:tr>
      <w:tr>
        <w:tc>
          <w:tcPr>
            <w:tcW w:type="dxa" w:w="2550"/>
            <w:vAlign w:val="center"/>
            <w:tcMar>
              <w:top w:w="100" w:type="dxa"/>
              <w:start w:w="120" w:type="dxa"/>
              <w:bottom w:w="100" w:type="dxa"/>
              <w:end w:w="120" w:type="dxa"/>
            </w:tcMar>
          </w:tcPr>
          <w:p>
            <w:pPr>
              <w:spacing w:after="60" w:before="60"/>
            </w:pPr>
            <w:r>
              <w:rPr>
                <w:sz w:val="18"/>
              </w:rPr>
              <w:t>Store access</w:t>
            </w:r>
          </w:p>
        </w:tc>
        <w:tc>
          <w:tcPr>
            <w:tcW w:type="dxa" w:w="2550"/>
            <w:vAlign w:val="center"/>
            <w:tcMar>
              <w:top w:w="100" w:type="dxa"/>
              <w:start w:w="120" w:type="dxa"/>
              <w:bottom w:w="100" w:type="dxa"/>
              <w:end w:w="120" w:type="dxa"/>
            </w:tcMar>
          </w:tcPr>
          <w:p>
            <w:pPr>
              <w:spacing w:after="60" w:before="60"/>
            </w:pPr>
            <w:r>
              <w:rPr>
                <w:sz w:val="18"/>
              </w:rPr>
              <w:t>Password page + registration form</w:t>
            </w:r>
          </w:p>
        </w:tc>
        <w:tc>
          <w:tcPr>
            <w:tcW w:type="dxa" w:w="2550"/>
            <w:vAlign w:val="center"/>
            <w:tcMar>
              <w:top w:w="100" w:type="dxa"/>
              <w:start w:w="120" w:type="dxa"/>
              <w:bottom w:w="100" w:type="dxa"/>
              <w:end w:w="120" w:type="dxa"/>
            </w:tcMar>
          </w:tcPr>
          <w:p>
            <w:pPr>
              <w:spacing w:after="60" w:before="60"/>
            </w:pPr>
            <w:r>
              <w:rPr>
                <w:sz w:val="18"/>
              </w:rPr>
              <w:t>Easy controlled entry</w:t>
            </w:r>
          </w:p>
        </w:tc>
        <w:tc>
          <w:tcPr>
            <w:tcW w:type="dxa" w:w="2550"/>
            <w:vAlign w:val="center"/>
            <w:tcMar>
              <w:top w:w="100" w:type="dxa"/>
              <w:start w:w="120" w:type="dxa"/>
              <w:bottom w:w="100" w:type="dxa"/>
              <w:end w:w="120" w:type="dxa"/>
            </w:tcMar>
          </w:tcPr>
          <w:p>
            <w:pPr>
              <w:spacing w:after="60" w:before="60"/>
            </w:pPr>
            <w:r>
              <w:rPr>
                <w:sz w:val="18"/>
              </w:rPr>
              <w:t>Full login and role-based permissions</w:t>
            </w:r>
          </w:p>
        </w:tc>
      </w:tr>
      <w:tr>
        <w:tc>
          <w:tcPr>
            <w:tcW w:type="dxa" w:w="2550"/>
            <w:vAlign w:val="center"/>
            <w:tcMar>
              <w:top w:w="100" w:type="dxa"/>
              <w:start w:w="120" w:type="dxa"/>
              <w:bottom w:w="100" w:type="dxa"/>
              <w:end w:w="120" w:type="dxa"/>
            </w:tcMar>
          </w:tcPr>
          <w:p>
            <w:pPr>
              <w:spacing w:after="60" w:before="60"/>
            </w:pPr>
            <w:r>
              <w:rPr>
                <w:sz w:val="18"/>
              </w:rPr>
              <w:t>Ordering</w:t>
            </w:r>
          </w:p>
        </w:tc>
        <w:tc>
          <w:tcPr>
            <w:tcW w:type="dxa" w:w="2550"/>
            <w:vAlign w:val="center"/>
            <w:tcMar>
              <w:top w:w="100" w:type="dxa"/>
              <w:start w:w="120" w:type="dxa"/>
              <w:bottom w:w="100" w:type="dxa"/>
              <w:end w:w="120" w:type="dxa"/>
            </w:tcMar>
          </w:tcPr>
          <w:p>
            <w:pPr>
              <w:spacing w:after="60" w:before="60"/>
            </w:pPr>
            <w:r>
              <w:rPr>
                <w:sz w:val="18"/>
              </w:rPr>
              <w:t>Interactive web order form</w:t>
            </w:r>
          </w:p>
        </w:tc>
        <w:tc>
          <w:tcPr>
            <w:tcW w:type="dxa" w:w="2550"/>
            <w:vAlign w:val="center"/>
            <w:tcMar>
              <w:top w:w="100" w:type="dxa"/>
              <w:start w:w="120" w:type="dxa"/>
              <w:bottom w:w="100" w:type="dxa"/>
              <w:end w:w="120" w:type="dxa"/>
            </w:tcMar>
          </w:tcPr>
          <w:p>
            <w:pPr>
              <w:spacing w:after="60" w:before="60"/>
            </w:pPr>
            <w:r>
              <w:rPr>
                <w:sz w:val="18"/>
              </w:rPr>
              <w:t>Immediate order capture</w:t>
            </w:r>
          </w:p>
        </w:tc>
        <w:tc>
          <w:tcPr>
            <w:tcW w:type="dxa" w:w="2550"/>
            <w:vAlign w:val="center"/>
            <w:tcMar>
              <w:top w:w="100" w:type="dxa"/>
              <w:start w:w="120" w:type="dxa"/>
              <w:bottom w:w="100" w:type="dxa"/>
              <w:end w:w="120" w:type="dxa"/>
            </w:tcMar>
          </w:tcPr>
          <w:p>
            <w:pPr>
              <w:spacing w:after="60" w:before="60"/>
            </w:pPr>
            <w:r>
              <w:rPr>
                <w:sz w:val="18"/>
              </w:rPr>
              <w:t>Integrated order management</w:t>
            </w:r>
          </w:p>
        </w:tc>
      </w:tr>
      <w:tr>
        <w:tc>
          <w:tcPr>
            <w:tcW w:type="dxa" w:w="2550"/>
            <w:vAlign w:val="center"/>
            <w:tcMar>
              <w:top w:w="100" w:type="dxa"/>
              <w:start w:w="120" w:type="dxa"/>
              <w:bottom w:w="100" w:type="dxa"/>
              <w:end w:w="120" w:type="dxa"/>
            </w:tcMar>
          </w:tcPr>
          <w:p>
            <w:pPr>
              <w:spacing w:after="60" w:before="60"/>
            </w:pPr>
            <w:r>
              <w:rPr>
                <w:sz w:val="18"/>
              </w:rPr>
              <w:t>Payments</w:t>
            </w:r>
          </w:p>
        </w:tc>
        <w:tc>
          <w:tcPr>
            <w:tcW w:type="dxa" w:w="2550"/>
            <w:vAlign w:val="center"/>
            <w:tcMar>
              <w:top w:w="100" w:type="dxa"/>
              <w:start w:w="120" w:type="dxa"/>
              <w:bottom w:w="100" w:type="dxa"/>
              <w:end w:w="120" w:type="dxa"/>
            </w:tcMar>
          </w:tcPr>
          <w:p>
            <w:pPr>
              <w:spacing w:after="60" w:before="60"/>
            </w:pPr>
            <w:r>
              <w:rPr>
                <w:sz w:val="18"/>
              </w:rPr>
              <w:t>Deposit link / transfer confirmation</w:t>
            </w:r>
          </w:p>
        </w:tc>
        <w:tc>
          <w:tcPr>
            <w:tcW w:type="dxa" w:w="2550"/>
            <w:vAlign w:val="center"/>
            <w:tcMar>
              <w:top w:w="100" w:type="dxa"/>
              <w:start w:w="120" w:type="dxa"/>
              <w:bottom w:w="100" w:type="dxa"/>
              <w:end w:w="120" w:type="dxa"/>
            </w:tcMar>
          </w:tcPr>
          <w:p>
            <w:pPr>
              <w:spacing w:after="60" w:before="60"/>
            </w:pPr>
            <w:r>
              <w:rPr>
                <w:sz w:val="18"/>
              </w:rPr>
              <w:t>Enforces commitment</w:t>
            </w:r>
          </w:p>
        </w:tc>
        <w:tc>
          <w:tcPr>
            <w:tcW w:type="dxa" w:w="2550"/>
            <w:vAlign w:val="center"/>
            <w:tcMar>
              <w:top w:w="100" w:type="dxa"/>
              <w:start w:w="120" w:type="dxa"/>
              <w:bottom w:w="100" w:type="dxa"/>
              <w:end w:w="120" w:type="dxa"/>
            </w:tcMar>
          </w:tcPr>
          <w:p>
            <w:pPr>
              <w:spacing w:after="60" w:before="60"/>
            </w:pPr>
            <w:r>
              <w:rPr>
                <w:sz w:val="18"/>
              </w:rPr>
              <w:t>Gateway API and auto reconciliation</w:t>
            </w:r>
          </w:p>
        </w:tc>
      </w:tr>
      <w:tr>
        <w:tc>
          <w:tcPr>
            <w:tcW w:type="dxa" w:w="2550"/>
            <w:vAlign w:val="center"/>
            <w:tcMar>
              <w:top w:w="100" w:type="dxa"/>
              <w:start w:w="120" w:type="dxa"/>
              <w:bottom w:w="100" w:type="dxa"/>
              <w:end w:w="120" w:type="dxa"/>
            </w:tcMar>
          </w:tcPr>
          <w:p>
            <w:pPr>
              <w:spacing w:after="60" w:before="60"/>
            </w:pPr>
            <w:r>
              <w:rPr>
                <w:sz w:val="18"/>
              </w:rPr>
              <w:t>Ops dashboard</w:t>
            </w:r>
          </w:p>
        </w:tc>
        <w:tc>
          <w:tcPr>
            <w:tcW w:type="dxa" w:w="2550"/>
            <w:vAlign w:val="center"/>
            <w:tcMar>
              <w:top w:w="100" w:type="dxa"/>
              <w:start w:w="120" w:type="dxa"/>
              <w:bottom w:w="100" w:type="dxa"/>
              <w:end w:w="120" w:type="dxa"/>
            </w:tcMar>
          </w:tcPr>
          <w:p>
            <w:pPr>
              <w:spacing w:after="60" w:before="60"/>
            </w:pPr>
            <w:r>
              <w:rPr>
                <w:sz w:val="18"/>
              </w:rPr>
              <w:t>Shared order workbook or CRM board</w:t>
            </w:r>
          </w:p>
        </w:tc>
        <w:tc>
          <w:tcPr>
            <w:tcW w:type="dxa" w:w="2550"/>
            <w:vAlign w:val="center"/>
            <w:tcMar>
              <w:top w:w="100" w:type="dxa"/>
              <w:start w:w="120" w:type="dxa"/>
              <w:bottom w:w="100" w:type="dxa"/>
              <w:end w:w="120" w:type="dxa"/>
            </w:tcMar>
          </w:tcPr>
          <w:p>
            <w:pPr>
              <w:spacing w:after="60" w:before="60"/>
            </w:pPr>
            <w:r>
              <w:rPr>
                <w:sz w:val="18"/>
              </w:rPr>
              <w:t>Simple daily control</w:t>
            </w:r>
          </w:p>
        </w:tc>
        <w:tc>
          <w:tcPr>
            <w:tcW w:type="dxa" w:w="2550"/>
            <w:vAlign w:val="center"/>
            <w:tcMar>
              <w:top w:w="100" w:type="dxa"/>
              <w:start w:w="120" w:type="dxa"/>
              <w:bottom w:w="100" w:type="dxa"/>
              <w:end w:w="120" w:type="dxa"/>
            </w:tcMar>
          </w:tcPr>
          <w:p>
            <w:pPr>
              <w:spacing w:after="60" w:before="60"/>
            </w:pPr>
            <w:r>
              <w:rPr>
                <w:sz w:val="18"/>
              </w:rPr>
              <w:t>ERP / commerce backend</w:t>
            </w:r>
          </w:p>
        </w:tc>
      </w:tr>
    </w:tbl>
    <w:p>
      <w:pPr>
        <w:pStyle w:val="Heading1"/>
      </w:pPr>
      <w:r>
        <w:t>5. First Live Session Design</w:t>
      </w:r>
    </w:p>
    <w:p>
      <w:r>
        <w:t>Target objective: sell a meaningful first group order, prove the buying motion, and convert early stores into repeat buyers.</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100" w:type="dxa"/>
              <w:start w:w="120" w:type="dxa"/>
              <w:bottom w:w="100" w:type="dxa"/>
              <w:end w:w="120" w:type="dxa"/>
            </w:tcMar>
            <w:shd w:fill="D9EAF7"/>
          </w:tcPr>
          <w:p>
            <w:r>
              <w:rPr>
                <w:b/>
              </w:rPr>
              <w:t>Stage</w:t>
            </w:r>
          </w:p>
        </w:tc>
        <w:tc>
          <w:tcPr>
            <w:tcW w:type="dxa" w:w="5100"/>
            <w:vAlign w:val="center"/>
            <w:tcMar>
              <w:top w:w="100" w:type="dxa"/>
              <w:start w:w="120" w:type="dxa"/>
              <w:bottom w:w="100" w:type="dxa"/>
              <w:end w:w="120" w:type="dxa"/>
            </w:tcMar>
            <w:shd w:fill="D9EAF7"/>
          </w:tcPr>
          <w:p>
            <w:r>
              <w:rPr>
                <w:b/>
              </w:rPr>
              <w:t>Action</w:t>
            </w:r>
          </w:p>
        </w:tc>
      </w:tr>
      <w:tr>
        <w:tc>
          <w:tcPr>
            <w:tcW w:type="dxa" w:w="5100"/>
          </w:tcPr>
          <w:p>
            <w:r>
              <w:t>Pre-session - 5 to 7 days before</w:t>
            </w:r>
          </w:p>
        </w:tc>
        <w:tc>
          <w:tcPr>
            <w:tcW w:type="dxa" w:w="5100"/>
          </w:tcPr>
          <w:p>
            <w:r>
              <w:t>Invite selected stores, send teaser catalog, clarify deposit rule, pre-qualify interest.</w:t>
            </w:r>
          </w:p>
        </w:tc>
      </w:tr>
      <w:tr>
        <w:tc>
          <w:tcPr>
            <w:tcW w:type="dxa" w:w="5100"/>
          </w:tcPr>
          <w:p>
            <w:r>
              <w:t>T-24 hours</w:t>
            </w:r>
          </w:p>
        </w:tc>
        <w:tc>
          <w:tcPr>
            <w:tcW w:type="dxa" w:w="5100"/>
          </w:tcPr>
          <w:p>
            <w:r>
              <w:t>Send final session agenda, login link, product list, and buying rules.</w:t>
            </w:r>
          </w:p>
        </w:tc>
      </w:tr>
      <w:tr>
        <w:tc>
          <w:tcPr>
            <w:tcW w:type="dxa" w:w="5100"/>
          </w:tcPr>
          <w:p>
            <w:r>
              <w:t>Minute 0-3</w:t>
            </w:r>
          </w:p>
        </w:tc>
        <w:tc>
          <w:tcPr>
            <w:tcW w:type="dxa" w:w="5100"/>
          </w:tcPr>
          <w:p>
            <w:r>
              <w:t>Welcome, explain the new buying model, and frame the economic upside.</w:t>
            </w:r>
          </w:p>
        </w:tc>
      </w:tr>
      <w:tr>
        <w:tc>
          <w:tcPr>
            <w:tcW w:type="dxa" w:w="5100"/>
          </w:tcPr>
          <w:p>
            <w:r>
              <w:t>Minute 3-6</w:t>
            </w:r>
          </w:p>
        </w:tc>
        <w:tc>
          <w:tcPr>
            <w:tcW w:type="dxa" w:w="5100"/>
          </w:tcPr>
          <w:p>
            <w:r>
              <w:t>Introduce the first supplier node and show the actual warehouse environment.</w:t>
            </w:r>
          </w:p>
        </w:tc>
      </w:tr>
      <w:tr>
        <w:tc>
          <w:tcPr>
            <w:tcW w:type="dxa" w:w="5100"/>
          </w:tcPr>
          <w:p>
            <w:r>
              <w:t>Minute 6-16</w:t>
            </w:r>
          </w:p>
        </w:tc>
        <w:tc>
          <w:tcPr>
            <w:tcW w:type="dxa" w:w="5100"/>
          </w:tcPr>
          <w:p>
            <w:r>
              <w:t>Present priority SKUs with exact order windows and visible deposit percentages.</w:t>
            </w:r>
          </w:p>
        </w:tc>
      </w:tr>
      <w:tr>
        <w:tc>
          <w:tcPr>
            <w:tcW w:type="dxa" w:w="5100"/>
          </w:tcPr>
          <w:p>
            <w:r>
              <w:t>Minute 16-20</w:t>
            </w:r>
          </w:p>
        </w:tc>
        <w:tc>
          <w:tcPr>
            <w:tcW w:type="dxa" w:w="5100"/>
          </w:tcPr>
          <w:p>
            <w:r>
              <w:t>Push final call, summarize quantities reserved, and keep order links open briefly.</w:t>
            </w:r>
          </w:p>
        </w:tc>
      </w:tr>
      <w:tr>
        <w:tc>
          <w:tcPr>
            <w:tcW w:type="dxa" w:w="5100"/>
          </w:tcPr>
          <w:p>
            <w:r>
              <w:t>After session</w:t>
            </w:r>
          </w:p>
        </w:tc>
        <w:tc>
          <w:tcPr>
            <w:tcW w:type="dxa" w:w="5100"/>
          </w:tcPr>
          <w:p>
            <w:r>
              <w:t>Issue order confirmation, collect deposits, and launch shipping coordination.</w:t>
            </w:r>
          </w:p>
        </w:tc>
      </w:tr>
    </w:tbl>
    <w:p>
      <w:pPr>
        <w:pStyle w:val="Heading1"/>
      </w:pPr>
      <w:r>
        <w:t>6. Webinar / Live-Sales Script</w:t>
      </w:r>
    </w:p>
    <w:p>
      <w:pPr>
        <w:pStyle w:val="Heading2"/>
      </w:pPr>
      <w:r>
        <w:t>Opening</w:t>
      </w:r>
    </w:p>
    <w:p>
      <w:r>
        <w:rPr>
          <w:b/>
        </w:rPr>
        <w:t>Welcome to Global Distributor Live. Today you are not entering a presentation; you are entering a direct buying window into real supplier inventory in Dubai. The purpose is simple: broader supply, stronger margins, cleaner pricing, and faster access.</w:t>
      </w:r>
    </w:p>
    <w:p>
      <w:pPr>
        <w:pStyle w:val="Heading2"/>
      </w:pPr>
      <w:r>
        <w:t>Trust build</w:t>
      </w:r>
    </w:p>
    <w:p>
      <w:r>
        <w:t>Everything shown today is tied to a real supplier warehouse, real commercial terms, and a controlled order process. Every order taken is handled with deposit discipline and documented confirmation.</w:t>
      </w:r>
    </w:p>
    <w:p>
      <w:pPr>
        <w:pStyle w:val="Heading2"/>
      </w:pPr>
      <w:r>
        <w:t>Product push</w:t>
      </w:r>
    </w:p>
    <w:p>
      <w:r>
        <w:t>On your screen you see the item, the buying minimum, the estimated landed cost logic, and the current order window. If this item fits your store, secure your quantity during the live window.</w:t>
      </w:r>
    </w:p>
    <w:p>
      <w:pPr>
        <w:pStyle w:val="Heading2"/>
      </w:pPr>
      <w:r>
        <w:t>Urgency close</w:t>
      </w:r>
    </w:p>
    <w:p>
      <w:r>
        <w:rPr>
          <w:b/>
        </w:rPr>
        <w:t>This session pricing is limited. Once the live window closes, quantities and economics may change. If you want this position in your store, commit now.</w:t>
      </w:r>
    </w:p>
    <w:p>
      <w:pPr>
        <w:pStyle w:val="Heading2"/>
      </w:pPr>
      <w:r>
        <w:t>Final close</w:t>
      </w:r>
    </w:p>
    <w:p>
      <w:r>
        <w:rPr>
          <w:b/>
        </w:rPr>
        <w:t>Thank you. Your order confirmations and deposit instructions will be issued immediately after the session. Early buyers will be prioritized in allocation if demand exceeds the available stock.</w:t>
      </w:r>
    </w:p>
    <w:p>
      <w:pPr>
        <w:pStyle w:val="Heading1"/>
      </w:pPr>
      <w:r>
        <w:t>7. Supplier Pitch - English Draft</w:t>
      </w:r>
    </w:p>
    <w:p>
      <w:r>
        <w:t>We are launching a live B2B trade channel that gives leading Dubai pet suppliers structured access to Israeli retailers.</w:t>
      </w:r>
    </w:p>
    <w:p>
      <w:r>
        <w:t>Instead of depending on a long chain of intermediaries, the platform allows real-time product presentation from your warehouse, immediate order capture, and grouped demand from multiple stores.</w:t>
      </w:r>
    </w:p>
    <w:p>
      <w:r>
        <w:t>Your warehouse becomes a live sales node. We handle the buying session structure, retailer aggregation, commercial control, and order follow-up.</w:t>
      </w:r>
    </w:p>
    <w:p>
      <w:r>
        <w:t>The objective is not one order. The objective is to build a recurring trade channel.</w:t>
      </w:r>
    </w:p>
    <w:p>
      <w:pPr>
        <w:pStyle w:val="Heading1"/>
      </w:pPr>
      <w:r>
        <w:t>8. Implementation Roadmap - 30 Days</w:t>
      </w:r>
    </w:p>
    <w:p>
      <w:pPr>
        <w:pStyle w:val="ListBullet"/>
      </w:pPr>
      <w:r>
        <w:t>Week 1: choose 1 supplier, 1 category anchor, and 8-12 target stores.</w:t>
      </w:r>
    </w:p>
    <w:p>
      <w:pPr>
        <w:pStyle w:val="ListBullet"/>
      </w:pPr>
      <w:r>
        <w:t>Week 2: finalize commercial rules, onboarding pack, and order form; run a rehearsal.</w:t>
      </w:r>
    </w:p>
    <w:p>
      <w:pPr>
        <w:pStyle w:val="ListBullet"/>
      </w:pPr>
      <w:r>
        <w:t>Week 3: execute first live session; collect deposits; convert into first shipment plan.</w:t>
      </w:r>
    </w:p>
    <w:p>
      <w:pPr>
        <w:pStyle w:val="ListBullet"/>
      </w:pPr>
      <w:r>
        <w:t>Week 4: review results, fix friction points, expand supplier node count, and schedule the next session.</w:t>
      </w:r>
    </w:p>
    <w:p>
      <w:pPr>
        <w:pStyle w:val="Heading1"/>
      </w:pPr>
      <w:r>
        <w:t>9. Non-Negotiables</w:t>
      </w:r>
    </w:p>
    <w:p>
      <w:pPr>
        <w:pStyle w:val="ListBullet"/>
      </w:pPr>
      <w:r>
        <w:t>No live order without explicit acceptance of trade terms.</w:t>
      </w:r>
    </w:p>
    <w:p>
      <w:pPr>
        <w:pStyle w:val="ListBullet"/>
      </w:pPr>
      <w:r>
        <w:t>No allocation without deposit.</w:t>
      </w:r>
    </w:p>
    <w:p>
      <w:pPr>
        <w:pStyle w:val="ListBullet"/>
      </w:pPr>
      <w:r>
        <w:t>No supplier access without stock verification and signed supplier terms.</w:t>
      </w:r>
    </w:p>
    <w:p>
      <w:pPr>
        <w:pStyle w:val="ListBullet"/>
      </w:pPr>
      <w:r>
        <w:t>No uncontrolled direct bypassing of the platform.</w:t>
      </w:r>
    </w:p>
    <w:p>
      <w:pPr>
        <w:pStyle w:val="Heading1"/>
      </w:pPr>
      <w:r>
        <w:t>10. Immediate Next Actions</w:t>
      </w:r>
    </w:p>
    <w:p>
      <w:pPr>
        <w:pStyle w:val="ListBullet"/>
      </w:pPr>
      <w:r>
        <w:t>Select the first product category for the pilot.</w:t>
      </w:r>
    </w:p>
    <w:p>
      <w:pPr>
        <w:pStyle w:val="ListBullet"/>
      </w:pPr>
      <w:r>
        <w:t>Name the first 10 retailers to invite.</w:t>
      </w:r>
    </w:p>
    <w:p>
      <w:pPr>
        <w:pStyle w:val="ListBullet"/>
      </w:pPr>
      <w:r>
        <w:t>Choose the first supplier warehouse in Dubai.</w:t>
      </w:r>
    </w:p>
    <w:p>
      <w:pPr>
        <w:pStyle w:val="ListBullet"/>
      </w:pPr>
      <w:r>
        <w:t>Set the deposit rate and cancellation penalty policy.</w:t>
      </w:r>
    </w:p>
    <w:p>
      <w:pPr>
        <w:pStyle w:val="ListBullet"/>
      </w:pPr>
      <w:r>
        <w:t>Schedule a rehearsal session before going live.</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3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