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365D"/>
          <w:sz w:val="44"/>
        </w:rPr>
        <w:t>Global Distributor Live™ - Legal Pack</w:t>
      </w:r>
    </w:p>
    <w:p>
      <w:pPr>
        <w:jc w:val="center"/>
      </w:pPr>
      <w:r>
        <w:rPr>
          <w:i/>
          <w:color w:val="5A5A5A"/>
          <w:sz w:val="20"/>
        </w:rPr>
        <w:t>Commercial templates for buyer access, supplier onboarding, and platform use</w:t>
      </w:r>
    </w:p>
    <w:p>
      <w:pPr>
        <w:spacing w:after="200"/>
      </w:pPr>
      <w:r>
        <w:t>Important: This pack is a commercial drafting baseline and should be reviewed and localized by Israeli and UAE counsel before live use.</w:t>
      </w:r>
    </w:p>
    <w:p>
      <w:pPr>
        <w:pStyle w:val="Heading1"/>
      </w:pPr>
      <w:r>
        <w:t>A. Buyer Access and Live Order Commitment - Draft Structure</w:t>
      </w:r>
    </w:p>
    <w:p>
      <w:pPr>
        <w:pStyle w:val="Heading2"/>
      </w:pPr>
      <w:r>
        <w:t>1. Parties and Purpose</w:t>
      </w:r>
    </w:p>
    <w:p>
      <w:r>
        <w:t>This agreement governs access by the retailer to the live buying platform and participation in live trade sessions for pet products sourced through approved supplier nodes.</w:t>
      </w:r>
    </w:p>
    <w:p>
      <w:pPr>
        <w:pStyle w:val="Heading2"/>
      </w:pPr>
      <w:r>
        <w:t>2. Access Condition</w:t>
      </w:r>
    </w:p>
    <w:p>
      <w:r>
        <w:t>The retailer may access live sessions only after digital acceptance of these terms and successful registration of the store account and authorized buyer.</w:t>
      </w:r>
    </w:p>
    <w:p>
      <w:pPr>
        <w:pStyle w:val="Heading2"/>
      </w:pPr>
      <w:r>
        <w:t>3. Orders</w:t>
      </w:r>
    </w:p>
    <w:p>
      <w:r>
        <w:t>Any order submitted during or immediately after a live session constitutes a binding commercial commitment, subject to stock confirmation and the terms below.</w:t>
      </w:r>
    </w:p>
    <w:p>
      <w:pPr>
        <w:pStyle w:val="Heading2"/>
      </w:pPr>
      <w:r>
        <w:t>4. Deposit</w:t>
      </w:r>
    </w:p>
    <w:p>
      <w:r>
        <w:t>A deposit is due upon order confirmation. Unless otherwise specified per item, the deposit rate shall be the percentage shown during the session or in the order confirmation.</w:t>
      </w:r>
    </w:p>
    <w:p>
      <w:pPr>
        <w:pStyle w:val="Heading2"/>
      </w:pPr>
      <w:r>
        <w:t>5. Cancellation</w:t>
      </w:r>
    </w:p>
    <w:p>
      <w:r>
        <w:t>If the retailer cancels after acceptance, the platform may retain all or part of the deposit and apply an additional cancellation charge if commercial loss has already been incurred.</w:t>
      </w:r>
    </w:p>
    <w:p>
      <w:pPr>
        <w:pStyle w:val="Heading2"/>
      </w:pPr>
      <w:r>
        <w:t>6. Quality and Claims</w:t>
      </w:r>
    </w:p>
    <w:p>
      <w:r>
        <w:t>Claims must be submitted within the defined inspection period after delivery, with photos, batch data, and order reference.</w:t>
      </w:r>
    </w:p>
    <w:p>
      <w:pPr>
        <w:pStyle w:val="Heading2"/>
      </w:pPr>
      <w:r>
        <w:t>7. Payment Balance</w:t>
      </w:r>
    </w:p>
    <w:p>
      <w:r>
        <w:t>The remaining payment timetable must be stated in the order confirmation, shipping notice, or invoice.</w:t>
      </w:r>
    </w:p>
    <w:p>
      <w:pPr>
        <w:pStyle w:val="Heading2"/>
      </w:pPr>
      <w:r>
        <w:t>8. Limitation</w:t>
      </w:r>
    </w:p>
    <w:p>
      <w:r>
        <w:t>The platform organizer coordinates the trade channel and order flow; responsibility for product conformity and shipping documents must be allocated explicitly in the supplier and shipment documents.</w:t>
      </w:r>
    </w:p>
    <w:p>
      <w:pPr>
        <w:pStyle w:val="Heading2"/>
      </w:pPr>
      <w:r>
        <w:t>9. Governing Law</w:t>
      </w:r>
    </w:p>
    <w:p>
      <w:r>
        <w:t>Insert governing law, dispute resolution mechanism, language control clause, and venue after legal review.</w:t>
      </w:r>
    </w:p>
    <w:p>
      <w:pPr>
        <w:pStyle w:val="Heading2"/>
      </w:pPr>
      <w:r>
        <w:t>Recommended Buyer Commitment Clauses</w:t>
      </w:r>
    </w:p>
    <w:p>
      <w:pPr>
        <w:pStyle w:val="ListBullet"/>
      </w:pPr>
      <w:r>
        <w:t>Authorized buyer representation and warranty.</w:t>
      </w:r>
    </w:p>
    <w:p>
      <w:pPr>
        <w:pStyle w:val="ListBullet"/>
      </w:pPr>
      <w:r>
        <w:t>Deposit non-refundable where supplier allocation or shipping cost has been triggered.</w:t>
      </w:r>
    </w:p>
    <w:p>
      <w:pPr>
        <w:pStyle w:val="ListBullet"/>
      </w:pPr>
      <w:r>
        <w:t>Partial allocation logic when demand exceeds stock.</w:t>
      </w:r>
    </w:p>
    <w:p>
      <w:pPr>
        <w:pStyle w:val="ListBullet"/>
      </w:pPr>
      <w:r>
        <w:t>Inspection period definition and claims evidence standard.</w:t>
      </w:r>
    </w:p>
    <w:p>
      <w:pPr>
        <w:pStyle w:val="ListBullet"/>
      </w:pPr>
      <w:r>
        <w:t>No direct circumvention of supplier nodes introduced by the platform.</w:t>
      </w:r>
    </w:p>
    <w:p>
      <w:pPr>
        <w:pStyle w:val="Heading1"/>
      </w:pPr>
      <w:r>
        <w:t>B. Supplier Node Participation Agreement - Draft Structure</w:t>
      </w:r>
    </w:p>
    <w:p>
      <w:pPr>
        <w:pStyle w:val="Heading2"/>
      </w:pPr>
      <w:r>
        <w:t>1. Appointment</w:t>
      </w:r>
    </w:p>
    <w:p>
      <w:r>
        <w:t>The supplier appoints the platform operator to organize and promote live sales sessions for approved products and approved territories.</w:t>
      </w:r>
    </w:p>
    <w:p>
      <w:pPr>
        <w:pStyle w:val="Heading2"/>
      </w:pPr>
      <w:r>
        <w:t>2. Warehouse Node Obligation</w:t>
      </w:r>
    </w:p>
    <w:p>
      <w:r>
        <w:t>The supplier shall provide camera access, presenter support, inventory file, and commercial approval for all items shown during the session.</w:t>
      </w:r>
    </w:p>
    <w:p>
      <w:pPr>
        <w:pStyle w:val="Heading2"/>
      </w:pPr>
      <w:r>
        <w:t>3. Stock Accuracy</w:t>
      </w:r>
    </w:p>
    <w:p>
      <w:r>
        <w:t>The supplier represents that displayed stock and minimum order quantities are materially accurate at the time of the session.</w:t>
      </w:r>
    </w:p>
    <w:p>
      <w:pPr>
        <w:pStyle w:val="Heading2"/>
      </w:pPr>
      <w:r>
        <w:t>4. Pricing</w:t>
      </w:r>
    </w:p>
    <w:p>
      <w:r>
        <w:t>Session prices must remain valid for the stated order window. Any exceptions must be disclosed clearly before presentation.</w:t>
      </w:r>
    </w:p>
    <w:p>
      <w:pPr>
        <w:pStyle w:val="Heading2"/>
      </w:pPr>
      <w:r>
        <w:t>5. Product Quality</w:t>
      </w:r>
    </w:p>
    <w:p>
      <w:r>
        <w:t>Supplier remains responsible for product authenticity, compliance, packaging integrity, batch traceability, and agreed shelf life requirements.</w:t>
      </w:r>
    </w:p>
    <w:p>
      <w:pPr>
        <w:pStyle w:val="Heading2"/>
      </w:pPr>
      <w:r>
        <w:t>6. Documents</w:t>
      </w:r>
    </w:p>
    <w:p>
      <w:r>
        <w:t>Supplier shall provide commercial invoice, packing list, certificates where required, and any additional export documents relevant to the shipment.</w:t>
      </w:r>
    </w:p>
    <w:p>
      <w:pPr>
        <w:pStyle w:val="Heading2"/>
      </w:pPr>
      <w:r>
        <w:t>7. Shortage / Substitution</w:t>
      </w:r>
    </w:p>
    <w:p>
      <w:r>
        <w:t>No substitution without prior written approval. Short shipments must be reported immediately.</w:t>
      </w:r>
    </w:p>
    <w:p>
      <w:pPr>
        <w:pStyle w:val="Heading2"/>
      </w:pPr>
      <w:r>
        <w:t>8. Commercial Protection</w:t>
      </w:r>
    </w:p>
    <w:p>
      <w:r>
        <w:t>Supplier shall not bypass platform-introduced buyers for a negotiated protection period, subject to final legal drafting.</w:t>
      </w:r>
    </w:p>
    <w:p>
      <w:pPr>
        <w:pStyle w:val="Heading2"/>
      </w:pPr>
      <w:r>
        <w:t>9. Performance Review</w:t>
      </w:r>
    </w:p>
    <w:p>
      <w:r>
        <w:t>Repeated stock inaccuracies, defects, or operational failures may justify suspension of the supplier node.</w:t>
      </w:r>
    </w:p>
    <w:p>
      <w:pPr>
        <w:pStyle w:val="Heading2"/>
      </w:pPr>
      <w:r>
        <w:t>Recommended Supplier SLA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3400"/>
          </w:tcPr>
          <w:p>
            <w:r>
              <w:t>Stock accuracy</w:t>
            </w:r>
          </w:p>
        </w:tc>
        <w:tc>
          <w:tcPr>
            <w:tcW w:type="dxa" w:w="3400"/>
          </w:tcPr>
          <w:p>
            <w:r>
              <w:t>&gt;= 98%</w:t>
            </w:r>
          </w:p>
        </w:tc>
        <w:tc>
          <w:tcPr>
            <w:tcW w:type="dxa" w:w="3400"/>
          </w:tcPr>
          <w:p>
            <w:r>
              <w:t>Shown stock should match allocatable stock</w:t>
            </w:r>
          </w:p>
        </w:tc>
      </w:tr>
      <w:tr>
        <w:tc>
          <w:tcPr>
            <w:tcW w:type="dxa" w:w="3400"/>
          </w:tcPr>
          <w:p>
            <w:r>
              <w:t>Document readiness</w:t>
            </w:r>
          </w:p>
        </w:tc>
        <w:tc>
          <w:tcPr>
            <w:tcW w:type="dxa" w:w="3400"/>
          </w:tcPr>
          <w:p>
            <w:r>
              <w:t>24-48 hours</w:t>
            </w:r>
          </w:p>
        </w:tc>
        <w:tc>
          <w:tcPr>
            <w:tcW w:type="dxa" w:w="3400"/>
          </w:tcPr>
          <w:p>
            <w:r>
              <w:t>Commercial docs after order freeze</w:t>
            </w:r>
          </w:p>
        </w:tc>
      </w:tr>
      <w:tr>
        <w:tc>
          <w:tcPr>
            <w:tcW w:type="dxa" w:w="3400"/>
          </w:tcPr>
          <w:p>
            <w:r>
              <w:t>Defect reporting</w:t>
            </w:r>
          </w:p>
        </w:tc>
        <w:tc>
          <w:tcPr>
            <w:tcW w:type="dxa" w:w="3400"/>
          </w:tcPr>
          <w:p>
            <w:r>
              <w:t>Immediate</w:t>
            </w:r>
          </w:p>
        </w:tc>
        <w:tc>
          <w:tcPr>
            <w:tcW w:type="dxa" w:w="3400"/>
          </w:tcPr>
          <w:p>
            <w:r>
              <w:t>Any issue disclosed without delay</w:t>
            </w:r>
          </w:p>
        </w:tc>
      </w:tr>
      <w:tr>
        <w:tc>
          <w:tcPr>
            <w:tcW w:type="dxa" w:w="3400"/>
          </w:tcPr>
          <w:p>
            <w:r>
              <w:t>Presenter readiness</w:t>
            </w:r>
          </w:p>
        </w:tc>
        <w:tc>
          <w:tcPr>
            <w:tcW w:type="dxa" w:w="3400"/>
          </w:tcPr>
          <w:p>
            <w:r>
              <w:t>Before session start</w:t>
            </w:r>
          </w:p>
        </w:tc>
        <w:tc>
          <w:tcPr>
            <w:tcW w:type="dxa" w:w="3400"/>
          </w:tcPr>
          <w:p>
            <w:r>
              <w:t>Warehouse team prepared and briefed</w:t>
            </w:r>
          </w:p>
        </w:tc>
      </w:tr>
    </w:tbl>
    <w:p>
      <w:pPr>
        <w:pStyle w:val="Heading1"/>
      </w:pPr>
      <w:r>
        <w:t>C. Platform Terms of Use - Draft Structure</w:t>
      </w:r>
    </w:p>
    <w:p>
      <w:pPr>
        <w:pStyle w:val="Heading2"/>
      </w:pPr>
      <w:r>
        <w:t>1. Service Description</w:t>
      </w:r>
    </w:p>
    <w:p>
      <w:r>
        <w:t>The platform provides organized live trade sessions, order intake, communication tools, and related commercial coordination services.</w:t>
      </w:r>
    </w:p>
    <w:p>
      <w:pPr>
        <w:pStyle w:val="Heading2"/>
      </w:pPr>
      <w:r>
        <w:t>2. Eligibility</w:t>
      </w:r>
    </w:p>
    <w:p>
      <w:r>
        <w:t>Only approved commercial buyers and approved suppliers may use the platform.</w:t>
      </w:r>
    </w:p>
    <w:p>
      <w:pPr>
        <w:pStyle w:val="Heading2"/>
      </w:pPr>
      <w:r>
        <w:t>3. Role of Operator</w:t>
      </w:r>
    </w:p>
    <w:p>
      <w:r>
        <w:t>Operator organizes access, session structure, and commercial workflow. The operator's exact legal role in each transaction should be stated in the final commercial documents.</w:t>
      </w:r>
    </w:p>
    <w:p>
      <w:pPr>
        <w:pStyle w:val="Heading2"/>
      </w:pPr>
      <w:r>
        <w:t>4. Data and Records</w:t>
      </w:r>
    </w:p>
    <w:p>
      <w:r>
        <w:t>The platform may record session data, order logs, click acknowledgements, and acceptance timestamps for compliance and dispute handling.</w:t>
      </w:r>
    </w:p>
    <w:p>
      <w:pPr>
        <w:pStyle w:val="Heading2"/>
      </w:pPr>
      <w:r>
        <w:t>5. Deposits and Fees</w:t>
      </w:r>
    </w:p>
    <w:p>
      <w:r>
        <w:t>Deposits, service fees, and penalties must be stated clearly before commitment.</w:t>
      </w:r>
    </w:p>
    <w:p>
      <w:pPr>
        <w:pStyle w:val="Heading2"/>
      </w:pPr>
      <w:r>
        <w:t>6. Suspension Rights</w:t>
      </w:r>
    </w:p>
    <w:p>
      <w:r>
        <w:t>The platform may suspend buyers or suppliers for non-payment, misrepresentation, abuse, or operational non-compliance.</w:t>
      </w:r>
    </w:p>
    <w:p>
      <w:pPr>
        <w:pStyle w:val="Heading2"/>
      </w:pPr>
      <w:r>
        <w:t>7. Intellectual Property</w:t>
      </w:r>
    </w:p>
    <w:p>
      <w:r>
        <w:t>Branding, session design, catalog structure, and data models remain the property of the platform operator unless otherwise agreed.</w:t>
      </w:r>
    </w:p>
    <w:p>
      <w:pPr>
        <w:pStyle w:val="Heading2"/>
      </w:pPr>
      <w:r>
        <w:t>8. Dispute Handling</w:t>
      </w:r>
    </w:p>
    <w:p>
      <w:r>
        <w:t>Claims escalation steps, evidence standard, cure periods, and governing law should be finalized with counsel.</w:t>
      </w:r>
    </w:p>
    <w:p>
      <w:pPr>
        <w:pStyle w:val="Heading1"/>
      </w:pPr>
      <w:r>
        <w:t>D. Signature and Approval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Signer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0"/>
          </w:tcPr>
          <w:p>
            <w:r>
              <w:t>Buyer terms</w:t>
            </w:r>
          </w:p>
        </w:tc>
        <w:tc>
          <w:tcPr>
            <w:tcW w:type="dxa" w:w="3400"/>
          </w:tcPr>
          <w:p>
            <w:r>
              <w:t>Authorized retailer signatory</w:t>
            </w:r>
          </w:p>
        </w:tc>
        <w:tc>
          <w:tcPr>
            <w:tcW w:type="dxa" w:w="3400"/>
          </w:tcPr>
          <w:p>
            <w:r>
              <w:t>Pending</w:t>
            </w:r>
          </w:p>
        </w:tc>
      </w:tr>
      <w:tr>
        <w:tc>
          <w:tcPr>
            <w:tcW w:type="dxa" w:w="3400"/>
          </w:tcPr>
          <w:p>
            <w:r>
              <w:t>Supplier terms</w:t>
            </w:r>
          </w:p>
        </w:tc>
        <w:tc>
          <w:tcPr>
            <w:tcW w:type="dxa" w:w="3400"/>
          </w:tcPr>
          <w:p>
            <w:r>
              <w:t>Authorized supplier signatory</w:t>
            </w:r>
          </w:p>
        </w:tc>
        <w:tc>
          <w:tcPr>
            <w:tcW w:type="dxa" w:w="3400"/>
          </w:tcPr>
          <w:p>
            <w:r>
              <w:t>Pending</w:t>
            </w:r>
          </w:p>
        </w:tc>
      </w:tr>
      <w:tr>
        <w:tc>
          <w:tcPr>
            <w:tcW w:type="dxa" w:w="3400"/>
          </w:tcPr>
          <w:p>
            <w:r>
              <w:t>Platform terms</w:t>
            </w:r>
          </w:p>
        </w:tc>
        <w:tc>
          <w:tcPr>
            <w:tcW w:type="dxa" w:w="3400"/>
          </w:tcPr>
          <w:p>
            <w:r>
              <w:t>Platform operator</w:t>
            </w:r>
          </w:p>
        </w:tc>
        <w:tc>
          <w:tcPr>
            <w:tcW w:type="dxa" w:w="340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3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