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ook w:firstColumn="1" w:firstRow="1" w:lastColumn="0" w:lastRow="0" w:noHBand="0" w:noVBand="1" w:val="04A0"/>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Pr>
      <w:tblGrid>
        <w:gridCol w:w="10092"/>
      </w:tblGrid>
      <w:tr>
        <w:tc>
          <w:tcPr>
            <w:tcW w:type="dxa" w:w="10092"/>
            <w:shd w:val="clear" w:color="auto" w:fill="0F2C59"/>
            <w:tcMar>
              <w:top w:w="90" w:type="dxa"/>
              <w:start w:w="140" w:type="dxa"/>
              <w:bottom w:w="90" w:type="dxa"/>
              <w:end w:w="140" w:type="dxa"/>
            </w:tcMar>
          </w:tcPr>
          <w:p>
            <w:pPr>
              <w:spacing w:before="0" w:after="40"/>
              <w:jc w:val="center"/>
            </w:pPr>
            <w:r>
              <w:rPr>
                <w:rFonts w:ascii="Calibri" w:hAnsi="Calibri" w:eastAsia="Calibri"/>
                <w:b/>
                <w:i w:val="0"/>
                <w:color w:val="93C5FD"/>
                <w:sz w:val="16"/>
              </w:rPr>
              <w:t>DIAGNOSTIC ECONOMICO-FINANCIAR PATRIMONIAL ȘI DE PERFORMANȚĂ</w:t>
              <w:br/>
            </w:r>
            <w:r>
              <w:rPr>
                <w:rFonts w:ascii="Calibri" w:hAnsi="Calibri" w:eastAsia="Calibri"/>
                <w:b/>
                <w:i w:val="0"/>
                <w:color w:val="FFFFFF"/>
                <w:sz w:val="25"/>
              </w:rPr>
              <w:t>RAPORT DE ANALIZĂ A POZIȚIEI FINANCIARE ȘI A PERFORMANȚELOR FINANCIARE</w:t>
              <w:br/>
            </w:r>
            <w:r>
              <w:rPr>
                <w:rFonts w:ascii="Calibri" w:hAnsi="Calibri" w:eastAsia="Calibri"/>
                <w:b/>
                <w:i w:val="0"/>
                <w:color w:val="E2E8F0"/>
                <w:sz w:val="17"/>
              </w:rPr>
              <w:t>CASA BACIU COLACU S.R.L.   |   C.I.F.: RO47660836   |   Reg. Com.: J2023000363339   |   Sediul: Loc.Fundu Moldovei, jud.SUCEAVA, Str.FN, Nr.5, Cod postal 727265   |   Balanța la Septembrie 2026</w:t>
            </w:r>
          </w:p>
        </w:tc>
      </w:tr>
    </w:tbl>
    <w:p>
      <w:pPr>
        <w:spacing w:before="60" w:after="50" w:line="269" w:lineRule="auto"/>
        <w:jc w:val="both"/>
      </w:pPr>
      <w:r>
        <w:rPr>
          <w:rFonts w:ascii="Calibri" w:hAnsi="Calibri" w:eastAsia="Calibri"/>
          <w:b w:val="0"/>
          <w:i w:val="0"/>
          <w:color w:val="1E293B"/>
          <w:sz w:val="18"/>
        </w:rPr>
        <w:t>Acest studiu de diagnostic economico-financiar investighează arhitectura patrimonială, dinamica rezultatelor, starea de echilibru și bonitatea bancară a societății CASA BACIU COLACU S.R.L. (C.I.F. RO47660836), valorificând informațiile din balanța de verificare la Septembrie 2026. Evaluarea comparativă este structurată pe trei repere temporale: Perioada de raportare 0 (egalitatea soldurilor inițiale SID = SIC = 2.010.184,54 lei), Perioada de raportare 1 (poziția intermediară cumulată) și Perioada de raportare 2 (totalul sumelor TSD = TSC = 22.252.098,26 lei și soldurile finale SFD = SFC = 1.822.218,98 lei).</w:t>
      </w:r>
    </w:p>
    <w:p>
      <w:pPr>
        <w:keepNext/>
        <w:spacing w:before="90" w:after="30"/>
      </w:pPr>
      <w:r>
        <w:rPr>
          <w:rFonts w:ascii="Calibri" w:hAnsi="Calibri" w:eastAsia="Calibri"/>
          <w:b/>
          <w:i w:val="0"/>
          <w:color w:val="1E4E8C"/>
          <w:sz w:val="19"/>
        </w:rPr>
        <w:t>0.1. Tablou de Bord Executiv — Sinteza Indicatorilor Cheie (Top 12 KPI)</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8"/>
        <w:gridCol w:w="2018"/>
        <w:gridCol w:w="2018"/>
        <w:gridCol w:w="2018"/>
        <w:gridCol w:w="2018"/>
      </w:tblGrid>
      <w:tr>
        <w:trPr>
          <w:tblHeader/>
          <w:cantSplit/>
        </w:trPr>
        <w:tc>
          <w:tcPr>
            <w:tcW w:type="dxa" w:w="3402"/>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Indicator Cheie de Performanță și Echilibru (KPI)</w:t>
            </w:r>
          </w:p>
        </w:tc>
        <w:tc>
          <w:tcPr>
            <w:tcW w:type="dxa" w:w="158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 (01.01.2026)</w:t>
            </w:r>
          </w:p>
        </w:tc>
        <w:tc>
          <w:tcPr>
            <w:tcW w:type="dxa" w:w="158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 (31.08.2026)</w:t>
            </w:r>
          </w:p>
        </w:tc>
        <w:tc>
          <w:tcPr>
            <w:tcW w:type="dxa" w:w="158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 (30.09.2026)</w:t>
            </w:r>
          </w:p>
        </w:tc>
        <w:tc>
          <w:tcPr>
            <w:tcW w:type="dxa" w:w="1928"/>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Verdict și Încadrare</w:t>
            </w:r>
          </w:p>
        </w:tc>
      </w:tr>
      <w:tr>
        <w:trPr>
          <w:cantSplit/>
        </w:trPr>
        <w:tc>
          <w:tcPr>
            <w:tcW w:type="dxa" w:w="340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1. Activ Total Bilanțier = Pasiv Total (lei)</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1.833.746,97</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1.623.024,02</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1.568.716,11</w:t>
            </w:r>
          </w:p>
        </w:tc>
        <w:tc>
          <w:tcPr>
            <w:tcW w:type="dxa" w:w="1928"/>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Corelație optimă</w:t>
            </w:r>
          </w:p>
        </w:tc>
      </w:tr>
      <w:tr>
        <w:trPr>
          <w:cantSplit/>
        </w:trPr>
        <w:tc>
          <w:tcPr>
            <w:tcW w:type="dxa" w:w="340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2. Capitaluri Proprii — Activ Net Contabil (lei)</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344.152,05</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198.640,87</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175.693,97</w:t>
            </w:r>
          </w:p>
        </w:tc>
        <w:tc>
          <w:tcPr>
            <w:tcW w:type="dxa" w:w="1928"/>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EFTL (-48,95%)</w:t>
            </w:r>
          </w:p>
        </w:tc>
      </w:tr>
      <w:tr>
        <w:trPr>
          <w:cantSplit/>
        </w:trPr>
        <w:tc>
          <w:tcPr>
            <w:tcW w:type="dxa" w:w="340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3. Rata Stabilității Financiare — RSF (%)</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22,52%</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14,65%</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13,46%</w:t>
            </w:r>
          </w:p>
        </w:tc>
        <w:tc>
          <w:tcPr>
            <w:tcW w:type="dxa" w:w="1928"/>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Sub 50%</w:t>
            </w:r>
          </w:p>
        </w:tc>
      </w:tr>
      <w:tr>
        <w:trPr>
          <w:cantSplit/>
        </w:trPr>
        <w:tc>
          <w:tcPr>
            <w:tcW w:type="dxa" w:w="340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4. Fondul de Rulment Patrimonial — FR (lei)</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-795.784,07</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-934.447,94</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-951.628,52</w:t>
            </w:r>
          </w:p>
        </w:tc>
        <w:tc>
          <w:tcPr>
            <w:tcW w:type="dxa" w:w="1928"/>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DFTL (FR &lt; 0)</w:t>
            </w:r>
          </w:p>
        </w:tc>
      </w:tr>
      <w:tr>
        <w:trPr>
          <w:cantSplit/>
        </w:trPr>
        <w:tc>
          <w:tcPr>
            <w:tcW w:type="dxa" w:w="340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5. Necesarul de Fond de Rulment — NFR (lei)</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-955.109,79</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-1.241.361,10</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-1.211.345,29</w:t>
            </w:r>
          </w:p>
        </w:tc>
        <w:tc>
          <w:tcPr>
            <w:tcW w:type="dxa" w:w="1928"/>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EFTS (FR &gt; NFR)</w:t>
            </w:r>
          </w:p>
        </w:tc>
      </w:tr>
      <w:tr>
        <w:trPr>
          <w:cantSplit/>
        </w:trPr>
        <w:tc>
          <w:tcPr>
            <w:tcW w:type="dxa" w:w="340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6. Trezoreria Netă — TN = FR - NFR (lei)</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159.325,72</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306.913,16</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259.716,77</w:t>
            </w:r>
          </w:p>
        </w:tc>
        <w:tc>
          <w:tcPr>
            <w:tcW w:type="dxa" w:w="1928"/>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EFC (TN &gt; 0)</w:t>
            </w:r>
          </w:p>
        </w:tc>
      </w:tr>
      <w:tr>
        <w:trPr>
          <w:cantSplit/>
        </w:trPr>
        <w:tc>
          <w:tcPr>
            <w:tcW w:type="dxa" w:w="340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7. Lichiditatea Curentă / Lichiditatea Imediată (%)</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43,99% / 11,21%</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32,54% / 22,15%</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29,90% / 19,13%</w:t>
            </w:r>
          </w:p>
        </w:tc>
        <w:tc>
          <w:tcPr>
            <w:tcW w:type="dxa" w:w="1928"/>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În afara intervalului [120%-200%]</w:t>
            </w:r>
          </w:p>
        </w:tc>
      </w:tr>
      <w:tr>
        <w:trPr>
          <w:cantSplit/>
        </w:trPr>
        <w:tc>
          <w:tcPr>
            <w:tcW w:type="dxa" w:w="340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8. Solvabilitatea Generală / Solvabilitatea Efectivă (%)</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123,10% / 123,10%</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113,94% / 113,94%</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112,61% / 112,61%</w:t>
            </w:r>
          </w:p>
        </w:tc>
        <w:tc>
          <w:tcPr>
            <w:tcW w:type="dxa" w:w="1928"/>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Sub plafonul de 150%</w:t>
            </w:r>
          </w:p>
        </w:tc>
      </w:tr>
      <w:tr>
        <w:trPr>
          <w:cantSplit/>
        </w:trPr>
        <w:tc>
          <w:tcPr>
            <w:tcW w:type="dxa" w:w="340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9. Cifra de Afaceri Netă / Profitul Net (lei)</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5.326.420,69 / 341.812,67</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1.732.811,94 / 111.199,83</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1.925.736,89 / 88.252,93</w:t>
            </w:r>
          </w:p>
        </w:tc>
        <w:tc>
          <w:tcPr>
            <w:tcW w:type="dxa" w:w="1928"/>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Profitabil (-74,18%)</w:t>
            </w:r>
          </w:p>
        </w:tc>
      </w:tr>
      <w:tr>
        <w:trPr>
          <w:cantSplit/>
        </w:trPr>
        <w:tc>
          <w:tcPr>
            <w:tcW w:type="dxa" w:w="340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10. Capacitatea de Autofinanțare — CAF (lei)</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540.100,41</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175.707,57</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162.335,21</w:t>
            </w:r>
          </w:p>
        </w:tc>
        <w:tc>
          <w:tcPr>
            <w:tcW w:type="dxa" w:w="1928"/>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Da (-69,94%)</w:t>
            </w:r>
          </w:p>
        </w:tc>
      </w:tr>
      <w:tr>
        <w:trPr>
          <w:cantSplit/>
        </w:trPr>
        <w:tc>
          <w:tcPr>
            <w:tcW w:type="dxa" w:w="340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11. Rentabilități: ROA / ROE / Efect de Levier</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18,64% / 99,32% / -11,21%</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6,85% / 55,98% / -6,45%</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5,63% / 50,23% / -12,19%</w:t>
            </w:r>
          </w:p>
        </w:tc>
        <w:tc>
          <w:tcPr>
            <w:tcW w:type="dxa" w:w="1928"/>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În perioada de raportare 2, îndatorarea generează EFECT DE MĂCIUCĂ negativ asupra întreprinderii (Re &lt; Rd)</w:t>
            </w:r>
          </w:p>
        </w:tc>
      </w:tr>
      <w:tr>
        <w:trPr>
          <w:cantSplit/>
        </w:trPr>
        <w:tc>
          <w:tcPr>
            <w:tcW w:type="dxa" w:w="340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12. Scorul Z Altman (Standard / Ajustat fără ct. 472+475)</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3,40 / 3,40</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0,78 / 0,78</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0,89 / 0,89</w:t>
            </w:r>
          </w:p>
        </w:tc>
        <w:tc>
          <w:tcPr>
            <w:tcW w:type="dxa" w:w="1928"/>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Risc insolvență (&lt;1,8)</w:t>
            </w:r>
          </w:p>
        </w:tc>
      </w:tr>
    </w:tbl>
    <w:p>
      <w:pPr>
        <w:keepNext/>
        <w:spacing w:before="90" w:after="30"/>
      </w:pPr>
      <w:r>
        <w:rPr>
          <w:rFonts w:ascii="Calibri" w:hAnsi="Calibri" w:eastAsia="Calibri"/>
          <w:b/>
          <w:i w:val="0"/>
          <w:color w:val="1E4E8C"/>
          <w:sz w:val="19"/>
        </w:rPr>
        <w:t>0.2. Sinteza Balanței de Verificare pe Clase de Conturi (Clasa 1 — Clasa 7)</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9"/>
        <w:gridCol w:w="1009"/>
        <w:gridCol w:w="1009"/>
        <w:gridCol w:w="1009"/>
        <w:gridCol w:w="1009"/>
        <w:gridCol w:w="1009"/>
        <w:gridCol w:w="1009"/>
        <w:gridCol w:w="1009"/>
        <w:gridCol w:w="1009"/>
        <w:gridCol w:w="1009"/>
      </w:tblGrid>
      <w:tr>
        <w:trPr>
          <w:tblHeader/>
          <w:cantSplit/>
        </w:trPr>
        <w:tc>
          <w:tcPr>
            <w:tcW w:type="dxa" w:w="737"/>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Clasa</w:t>
            </w:r>
          </w:p>
        </w:tc>
        <w:tc>
          <w:tcPr>
            <w:tcW w:type="dxa" w:w="2098"/>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Denumire clasă contabilă</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SID (lei)</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SIC (lei)</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Rulaj D Sep.</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Rulaj C Sep.</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Total Sume D</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Total Sume C</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SFD (lei)</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SFC (lei)</w:t>
            </w:r>
          </w:p>
        </w:tc>
      </w:tr>
      <w:tr>
        <w:trPr>
          <w:cantSplit/>
        </w:trPr>
        <w:tc>
          <w:tcPr>
            <w:tcW w:type="dxa" w:w="737"/>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Clasa 1</w:t>
            </w:r>
          </w:p>
        </w:tc>
        <w:tc>
          <w:tcPr>
            <w:tcW w:type="dxa" w:w="209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Conturi de capitaluri, provizioane, imprumuturi si datorii asimilate</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412.942,14</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221.319,53</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194.658,10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2.838.186,17</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3.049.293,72</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211.107,55</w:t>
            </w:r>
          </w:p>
        </w:tc>
      </w:tr>
      <w:tr>
        <w:trPr>
          <w:cantSplit/>
        </w:trPr>
        <w:tc>
          <w:tcPr>
            <w:tcW w:type="dxa" w:w="737"/>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Clasa 2</w:t>
            </w:r>
          </w:p>
        </w:tc>
        <w:tc>
          <w:tcPr>
            <w:tcW w:type="dxa" w:w="209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Conturi de imobilizari</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1.208.726,21</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9.574,54</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2.205.312,23</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1.042.576,16</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1.162.736,07</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737"/>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Clasa 3</w:t>
            </w:r>
          </w:p>
        </w:tc>
        <w:tc>
          <w:tcPr>
            <w:tcW w:type="dxa" w:w="209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Conturi de stocuri si productie in curs de executie</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80.317,88</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113.383,68</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105.331,23</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921.342,18</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843.842,13</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77.500,05</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737"/>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Clasa 4</w:t>
            </w:r>
          </w:p>
        </w:tc>
        <w:tc>
          <w:tcPr>
            <w:tcW w:type="dxa" w:w="209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Conturi de terti</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1.035.427,67</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585.434,41</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563.471,05</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5.004.877,65</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6.293.722,99</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1.288.845,34</w:t>
            </w:r>
          </w:p>
        </w:tc>
      </w:tr>
      <w:tr>
        <w:trPr>
          <w:cantSplit/>
        </w:trPr>
        <w:tc>
          <w:tcPr>
            <w:tcW w:type="dxa" w:w="737"/>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Clasa 5</w:t>
            </w:r>
          </w:p>
        </w:tc>
        <w:tc>
          <w:tcPr>
            <w:tcW w:type="dxa" w:w="209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Conturi de trezorerie</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159.325,72</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696.725,92</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743.828,62</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6.709.316,28</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6.449.599,51</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259.716,77</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737"/>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Clasa 6</w:t>
            </w:r>
          </w:p>
        </w:tc>
        <w:tc>
          <w:tcPr>
            <w:tcW w:type="dxa" w:w="209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Conturi de cheltuieli</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218.972,13</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218.972,13</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1.861.617,49</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1.861.617,49</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737"/>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Clasa 7</w:t>
            </w:r>
          </w:p>
        </w:tc>
        <w:tc>
          <w:tcPr>
            <w:tcW w:type="dxa" w:w="209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Conturi de venituri</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227.930,91</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227.930,91</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2.149.631,53</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2.149.631,53</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73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TOTAL</w:t>
            </w:r>
          </w:p>
        </w:tc>
        <w:tc>
          <w:tcPr>
            <w:tcW w:type="dxa" w:w="209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TOTAL BALANȚĂ DE VERIFICARE</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2.010.184,54</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2.010.184,54</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2.063.766,58</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2.063.766,58</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22.252.098,26</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22.252.098,26</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1.822.218,98</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1.822.218,98</w:t>
            </w:r>
          </w:p>
        </w:tc>
      </w:tr>
    </w:tbl>
    <w:tbl>
      <w:tblPr>
        <w:tblW w:type="pct" w:w="5000"/>
        <w:jc w:val="center"/>
        <w:tblLook w:firstColumn="1" w:firstRow="1" w:lastColumn="0" w:lastRow="0" w:noHBand="0" w:noVBand="1" w:val="04A0"/>
        <w:tblBorders>
          <w:top w:val="single" w:sz="4" w:space="0" w:color="1B365D"/>
          <w:left w:val="single" w:sz="4" w:space="0" w:color="1B365D"/>
          <w:bottom w:val="single" w:sz="4" w:space="0" w:color="1B365D"/>
          <w:right w:val="single" w:sz="4" w:space="0" w:color="1B365D"/>
          <w:insideH w:val="single" w:sz="4" w:space="0" w:color="1B365D"/>
          <w:insideV w:val="single" w:sz="4" w:space="0" w:color="1B365D"/>
        </w:tblBorders>
      </w:tblPr>
      <w:tblGrid>
        <w:gridCol w:w="10092"/>
      </w:tblGrid>
      <w:tr>
        <w:tc>
          <w:tcPr>
            <w:tcW w:type="dxa" w:w="10092"/>
            <w:shd w:val="clear" w:color="auto" w:fill="1B365D"/>
            <w:tcMar>
              <w:top w:w="55" w:type="dxa"/>
              <w:start w:w="100" w:type="dxa"/>
              <w:bottom w:w="55" w:type="dxa"/>
              <w:end w:w="100" w:type="dxa"/>
            </w:tcMar>
          </w:tcPr>
          <w:p>
            <w:pPr>
              <w:spacing w:before="0" w:after="0" w:line="259" w:lineRule="auto"/>
              <w:jc w:val="left"/>
            </w:pPr>
            <w:r>
              <w:rPr>
                <w:rFonts w:ascii="Calibri" w:hAnsi="Calibri" w:eastAsia="Calibri"/>
                <w:b/>
                <w:i w:val="0"/>
                <w:color w:val="93C5FD"/>
                <w:sz w:val="17"/>
              </w:rPr>
              <w:t xml:space="preserve">PARTEA I  •  CAPITOLELE 1 – 3  —  </w:t>
            </w:r>
            <w:r>
              <w:rPr>
                <w:rFonts w:ascii="Calibri" w:hAnsi="Calibri" w:eastAsia="Calibri"/>
                <w:b/>
                <w:i w:val="0"/>
                <w:color w:val="FFFFFF"/>
                <w:sz w:val="20"/>
              </w:rPr>
              <w:t>SITUAȚIILE FINANCIARE DE SINTEZĂ ȘI RETRATAREA PATRIMONIALĂ</w:t>
              <w:br/>
            </w:r>
            <w:r>
              <w:rPr>
                <w:rFonts w:ascii="Calibri" w:hAnsi="Calibri" w:eastAsia="Calibri"/>
                <w:b w:val="0"/>
                <w:i/>
                <w:color w:val="E2E8F0"/>
                <w:sz w:val="16"/>
              </w:rPr>
              <w:t>Bilanțul Contabil, Contul de Profit și Pierdere și Bilanțul Financiar retratat pe criterii de lichiditate–exigibilitate.</w:t>
            </w:r>
          </w:p>
        </w:tc>
      </w:tr>
    </w:tbl>
    <w:p>
      <w:pPr>
        <w:keepNext/>
        <w:spacing w:before="130" w:after="50"/>
        <w:pBdr>
          <w:bottom w:val="single" w:sz="8" w:space="2" w:color="1B365D"/>
        </w:pBdr>
      </w:pPr>
      <w:r>
        <w:rPr>
          <w:rFonts w:ascii="Calibri" w:hAnsi="Calibri" w:eastAsia="Calibri"/>
          <w:b/>
          <w:i w:val="0"/>
          <w:color w:val="1B365D"/>
          <w:sz w:val="21"/>
        </w:rPr>
        <w:t>1. Bilanțul Contabil Sintetic (OMFP nr. 1802/2014)</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2"/>
        <w:gridCol w:w="1442"/>
        <w:gridCol w:w="1442"/>
        <w:gridCol w:w="1442"/>
        <w:gridCol w:w="1442"/>
        <w:gridCol w:w="1442"/>
        <w:gridCol w:w="1442"/>
      </w:tblGrid>
      <w:tr>
        <w:trPr>
          <w:tblHeader/>
          <w:cantSplit/>
        </w:trPr>
        <w:tc>
          <w:tcPr>
            <w:tcW w:type="dxa" w:w="510"/>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Grupa</w:t>
            </w:r>
          </w:p>
        </w:tc>
        <w:tc>
          <w:tcPr>
            <w:tcW w:type="dxa" w:w="3855"/>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Element patrimonial și corespondență contabilă</w:t>
            </w:r>
          </w:p>
        </w:tc>
        <w:tc>
          <w:tcPr>
            <w:tcW w:type="dxa" w:w="45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Rd.</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 (lei)</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 (lei)</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 (lei)</w:t>
            </w:r>
          </w:p>
        </w:tc>
        <w:tc>
          <w:tcPr>
            <w:tcW w:type="dxa" w:w="1361"/>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P0) (lei)</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II. Imobilizări corporale (ct. 211..231 - 281)</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02</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1.208.726,21</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1.172.310,61</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1.162.736,07</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-45.990,14</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ACTIVE IMOBILIZATE — TOTAL (rd. 01 + 02 + 03)</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1.208.726,21</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1.172.310,61</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1.162.736,07</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-45.990,14</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B.</w:t>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 Stocuri (materii prime, produse, mărfuri, avansuri) (ct. 301..381 + 4091)</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107.035,41</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87.327,89</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94.108,99</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-12.926,42</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II. Creanțe comerciale, fiscale și diverse (ct. 411+425+438+4424+445+461+463)</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06</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358.659,63</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56.360,41</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52.154,28</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-306.505,35</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IV. Casa și conturi la bănci (ct. 512+531+542)</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08</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159.325,72</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306.819,47</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259.716,77</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100.391,05</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ACTIVE CIRCULANTE — TOTAL (rd. 05 + 06 + 07 + 08)</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09</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625.020,76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450.507,77</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405.980,04</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-219.040,72</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w:t>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Cheltuieli în avans (ct. 471)</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205,64</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D.</w:t>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DATORII CE TREBUIE PLĂTITE ÎNTR-O PERIOADĂ DE PÂNĂ LA UN AN (ct. 401+419+421+431+436+441+4423+444+455+457+462)</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1.420.804,83</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1.385.255,04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1.357.608,56</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-63.196,27</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E.</w:t>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Active circulante nete / Datorii curente nete (rd. 09 + 10 - 11 - 19)</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-795.784,07</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-934.541,63</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-951.628,52</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-155.844,45</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F.</w:t>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TOTAL ACTIVE MINUS DATORII CURENTE (rd. 04 + 12)</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412.942,14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237.768,98</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211.107,55</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-201.834,59</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G.</w:t>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DATORII CE TREBUIE PLĂTITE ÎNTR-O PERIOADĂ MAI MARE DE UN AN (ct. 161..168)</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68.790,09</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39.221,80</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35.413,58</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-33.376,51</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I.</w:t>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VENITURI ÎN AVANS — TOTAL (rd. 17 + 18)</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0,00</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0,00</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0,00</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0,00</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J.</w:t>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 Capital subscris vărsat (ct. 1012)</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24</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200,00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5.000,00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5.000,00</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4.800,00</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IV. Rezerve (ct. 106)</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40,00</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40,00</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40,00</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V. Profitul sau pierderea reportat(ă) — Sold C (ct. 117)</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2.099,38</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82.401,04</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82.401,04</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80.301,66</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VI. Profitul exercițiului financiar — Sold C (ct. 121)</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36</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341.812,67</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111.199,83</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88.252,93</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-253.559,74</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CAPITALURI PROPRII — TOTAL (rd. 23 + 30 + 34 + 36 - 38)</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39</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344.152,05</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198.640,87</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175.693,97</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-168.458,08</w:t>
            </w:r>
          </w:p>
        </w:tc>
      </w:tr>
    </w:tbl>
    <w:p>
      <w:pPr>
        <w:spacing w:before="20" w:after="50" w:line="269" w:lineRule="auto"/>
        <w:jc w:val="both"/>
      </w:pPr>
      <w:r>
        <w:rPr>
          <w:rFonts w:ascii="Calibri" w:hAnsi="Calibri" w:eastAsia="Calibri"/>
          <w:b w:val="0"/>
          <w:i w:val="0"/>
          <w:color w:val="1E293B"/>
          <w:sz w:val="18"/>
        </w:rPr>
        <w:t>Diagnostic bilanțier: În conformitate cu principiul dublei reprezentări, pe ansamblul celor trei perioade de raportare, volumul total al activului (egal cu pasivul total) se reduce progresiv cu -14,45%, trecând de la 1.833.746,97 lei (perioada 0) la 1.623.024,02 lei (perioada 1) și 1.568.716,11 lei (perioada 2). Structura patrimonială din perioada de raportare 2 este preponderent imobilizată (activele fixe nete de 1.162.736,07 lei dețin 74,12% din activ), reflectând o bază tehnică și investițională consistentă, completată de active circulante de 405.980,04 lei. Pe partea de pasiv, evoluția consemnată de capitalul propriu (activul net contabil) este una de restrângere treptată (344.152,05 lei -&gt; 198.640,87 lei -&gt; 175.693,97 lei, echivalentul unei modificări relative de -48,95%), resursele împrumutate însumând în perioada de raportare 2 datorii curente de 1.357.608,56 lei și datorii pe termen lung de 35.413,58 lei.</w:t>
      </w:r>
    </w:p>
    <w:p>
      <w:pPr>
        <w:keepNext/>
        <w:spacing w:before="130" w:after="50"/>
        <w:pBdr>
          <w:bottom w:val="single" w:sz="8" w:space="2" w:color="1B365D"/>
        </w:pBdr>
      </w:pPr>
      <w:r>
        <w:rPr>
          <w:rFonts w:ascii="Calibri" w:hAnsi="Calibri" w:eastAsia="Calibri"/>
          <w:b/>
          <w:i w:val="0"/>
          <w:color w:val="1B365D"/>
          <w:sz w:val="21"/>
        </w:rPr>
        <w:t>2. Contul de Profit și Pierdere Sintetic (OMFP nr. 1802/2014)</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2"/>
        <w:gridCol w:w="1442"/>
        <w:gridCol w:w="1442"/>
        <w:gridCol w:w="1442"/>
        <w:gridCol w:w="1442"/>
        <w:gridCol w:w="1442"/>
        <w:gridCol w:w="1442"/>
      </w:tblGrid>
      <w:tr>
        <w:trPr>
          <w:tblHeader/>
          <w:cantSplit/>
        </w:trPr>
        <w:tc>
          <w:tcPr>
            <w:tcW w:type="dxa" w:w="510"/>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Grupa</w:t>
            </w:r>
          </w:p>
        </w:tc>
        <w:tc>
          <w:tcPr>
            <w:tcW w:type="dxa" w:w="3855"/>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Indicatorul de venituri, cheltuieli și rezultate</w:t>
            </w:r>
          </w:p>
        </w:tc>
        <w:tc>
          <w:tcPr>
            <w:tcW w:type="dxa" w:w="45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Rd.</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 (lei)</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 (lei)</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 (lei)</w:t>
            </w:r>
          </w:p>
        </w:tc>
        <w:tc>
          <w:tcPr>
            <w:tcW w:type="dxa" w:w="1361"/>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 (lei)</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1.</w:t>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Cifra de afaceri netă (rd. 02 + 03 - 04)</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01</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5.326.420,69</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1.732.811,94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1.925.736,89</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192.924,95</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 Producția vândută (ct. 701 + 704 + 708)</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02</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5.146.009,57</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1.674.119,89</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1.862.049,67</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187.929,78</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 Venituri din vânzarea mărfurilor (ct. 707)</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03</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180.411,12</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58.692,05</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63.687,22</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4.995,17</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3.</w:t>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Producția realizată pentru scopuri proprii și capitalizată (ct. 722)</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22.015,90</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7.162,30</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7.162,30</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4.</w:t>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Alte venituri din exploatare (ct. 758)</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957,45</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311,48</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311,48</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VENITURI DIN EXPLOATARE — TOTAL</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5.349.394,04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1.740.285,72</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1.933.210,67</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192.924,95</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5.</w:t>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 Cheltuieli cu materiile prime și materialele consumabile (ct. 601 + 602)</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1.765.197,34</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574.260,88</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632.044,10</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57.783,22</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Alte cheltuieli materiale și cu utilitățile (ct. 603 + 604 + 605 + 608)</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61.638,42</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20.052,45</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25.992,03</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5.939,58</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 Cheltuieli privind mărfurile (ct. 607)</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125.777,02</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40.918,27</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44.142,26</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3.223,99</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Reduceri comerciale primite (ct. 609)</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18.915,18</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6.153,56</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7.700,72</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1.547,16</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6.</w:t>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Cheltuieli cu personalul — Total (ct. 641 + 642 + 645 + 646)</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1.532.657,16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498.610,00</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552.037,00</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53.427,00</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7.</w:t>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Ajustări de valoare privind imobilizările corporale și necorporale (ct. 6811)</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198.287,74</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64.507,74</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74.082,28</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9.574,54</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8.</w:t>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Alte cheltuieli de exploatare — Total (ct. 61..62 + ct. 635 + ct. 658)</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27</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1.150.042,04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374.136,16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439.784,11</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65.647,95</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CHELTUIELI DE EXPLOATARE — TOTAL</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35</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4.904.147,38</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1.595.436,34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1.790.694,16</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195.257,82</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PROFITUL DIN EXPLOATARE (rd. 12 - rd. 35)</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445.246,66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144.849,38</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142.516,51</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-2.332,87</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VENITURI FINANCIARE — TOTAL (ct. 765 + 766 + 768)</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45</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3.849,55</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1.252,35</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1.258,31</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5,96</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CHELTUIELI FINANCIARE — TOTAL (ct. 665 + 666)</w:t>
            </w:r>
          </w:p>
        </w:tc>
        <w:tc>
          <w:tcPr>
            <w:tcW w:type="dxa" w:w="45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52</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107.283,54</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34.901,90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39.337,89</w:t>
            </w:r>
          </w:p>
        </w:tc>
        <w:tc>
          <w:tcPr>
            <w:tcW w:type="dxa" w:w="136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4.435,99</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PIERDEREA FINANCIARĂ (rd. 52 - rd. 45)</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54</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103.433,99</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33.649,55</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38.079,58</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4.430,03</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VENITURI TOTALE (rd. 12 + rd. 45)</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61</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5.353.243,59</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1.741.538,07</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1.934.468,98</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192.930,91</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CHELTUIELI TOTALE (rd. 35 + rd. 52)</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62</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5.011.430,92</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1.630.338,24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1.830.032,05</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199.693,81</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PROFITUL BRUT AL EXERCIȚIULUI (rd. 61 - rd. 62)</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63</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341.812,67</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111.199,83</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104.436,93</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-6.762,90</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17.</w:t>
            </w:r>
          </w:p>
        </w:tc>
        <w:tc>
          <w:tcPr>
            <w:tcW w:type="dxa" w:w="3855"/>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Impozitul pe profit (ct. 691)</w:t>
            </w:r>
          </w:p>
        </w:tc>
        <w:tc>
          <w:tcPr>
            <w:tcW w:type="dxa" w:w="45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65</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16.184,00</w:t>
            </w:r>
          </w:p>
        </w:tc>
        <w:tc>
          <w:tcPr>
            <w:tcW w:type="dxa" w:w="136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16.184,00</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r>
          </w:p>
        </w:tc>
        <w:tc>
          <w:tcPr>
            <w:tcW w:type="dxa" w:w="385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PROFITUL NET AL EXERCIȚIULUI FINANCIAR (rd. 63 - rd. 65)</w:t>
            </w:r>
          </w:p>
        </w:tc>
        <w:tc>
          <w:tcPr>
            <w:tcW w:type="dxa" w:w="45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67</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341.812,67</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111.199,83</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88.252,93</w:t>
            </w:r>
          </w:p>
        </w:tc>
        <w:tc>
          <w:tcPr>
            <w:tcW w:type="dxa" w:w="136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-22.946,90</w:t>
            </w:r>
          </w:p>
        </w:tc>
      </w:tr>
    </w:tbl>
    <w:p>
      <w:pPr>
        <w:spacing w:before="20" w:after="50" w:line="269" w:lineRule="auto"/>
        <w:jc w:val="both"/>
      </w:pPr>
      <w:r>
        <w:rPr>
          <w:rFonts w:ascii="Calibri" w:hAnsi="Calibri" w:eastAsia="Calibri"/>
          <w:b w:val="0"/>
          <w:i w:val="0"/>
          <w:color w:val="1E293B"/>
          <w:sz w:val="18"/>
        </w:rPr>
        <w:t>Diagnostic al performanței: Pe orizontul analizat, după reculul consemnat în perioada de raportare 1 (1.732.811,94 lei față de 5.326.420,69 lei), cifra de afaceri netă se redresează în perioada de raportare 2 la 1.925.736,89 lei (variație cumulată de -63,85%), activitatea fiind susținută prioritar de producția vândută și prestările de servicii (1.862.049,67 lei, respectiv 96,69% din cifra de afaceri a perioadei de raportare 2). Operațiunile de exploatare din perioada de raportare 2 generează un rezultat pozitiv de 142.516,51 lei (venituri de 1.933.210,67 lei față de cheltuieli de 1.790.694,16 lei, dominate de cheltuielile materiale și cu mărfurile (702.178,39 lei)), iar la nivel final evoluția consemnată de rezultatul net al exercițiului este una de restrângere treptată (341.812,67 lei -&gt; 111.199,83 lei -&gt; 88.252,93 lei, echivalentul unei modificări relative de -74,18%).</w:t>
      </w:r>
    </w:p>
    <w:p>
      <w:pPr>
        <w:keepNext/>
        <w:spacing w:before="130" w:after="50"/>
        <w:pBdr>
          <w:bottom w:val="single" w:sz="8" w:space="2" w:color="1B365D"/>
        </w:pBdr>
      </w:pPr>
      <w:r>
        <w:rPr>
          <w:rFonts w:ascii="Calibri" w:hAnsi="Calibri" w:eastAsia="Calibri"/>
          <w:b/>
          <w:i w:val="0"/>
          <w:color w:val="1B365D"/>
          <w:sz w:val="21"/>
        </w:rPr>
        <w:t>3. Bilanțul Financiar Patrimonial (Retratat pe Criterii de Lichiditate–Exigibilitate)</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45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Nr.</w:t>
            </w:r>
          </w:p>
        </w:tc>
        <w:tc>
          <w:tcPr>
            <w:tcW w:type="dxa" w:w="3288"/>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Elemente Bilanț Financiar (lei)</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r>
      <w:tr>
        <w:trPr>
          <w:cantSplit/>
        </w:trPr>
        <w:tc>
          <w:tcPr>
            <w:tcW w:type="dxa" w:w="45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w:t>
            </w:r>
          </w:p>
        </w:tc>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Imobilizări necorporale</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w:t>
            </w:r>
          </w:p>
        </w:tc>
      </w:tr>
      <w:tr>
        <w:trPr>
          <w:cantSplit/>
        </w:trPr>
        <w:tc>
          <w:tcPr>
            <w:tcW w:type="dxa" w:w="45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2</w:t>
            </w:r>
          </w:p>
        </w:tc>
        <w:tc>
          <w:tcPr>
            <w:tcW w:type="dxa" w:w="328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Imobilizări corporale</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1.208.726,21</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1.172.310,61</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1.162.736,07</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-36.415,60</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-9.574,54</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99,18%</w:t>
            </w:r>
          </w:p>
        </w:tc>
      </w:tr>
      <w:tr>
        <w:trPr>
          <w:cantSplit/>
        </w:trPr>
        <w:tc>
          <w:tcPr>
            <w:tcW w:type="dxa" w:w="45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3</w:t>
            </w:r>
          </w:p>
        </w:tc>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Imobilizări financiare</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w:t>
            </w:r>
          </w:p>
        </w:tc>
      </w:tr>
      <w:tr>
        <w:trPr>
          <w:cantSplit/>
        </w:trPr>
        <w:tc>
          <w:tcPr>
            <w:tcW w:type="dxa" w:w="45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4</w:t>
            </w:r>
          </w:p>
        </w:tc>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ACTIVE IMOBILIZATE (rd. 1 + 2 + 3)</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1.208.726,21</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1.172.310,61</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1.162.736,07</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-36.415,60</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-9.574,54</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99,18%</w:t>
            </w:r>
          </w:p>
        </w:tc>
      </w:tr>
      <w:tr>
        <w:trPr>
          <w:cantSplit/>
        </w:trPr>
        <w:tc>
          <w:tcPr>
            <w:tcW w:type="dxa" w:w="45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5</w:t>
            </w:r>
          </w:p>
        </w:tc>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Stocuri</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107.035,41</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87.327,89</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94.108,99</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-19.707,52</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6.781,10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107,77%</w:t>
            </w:r>
          </w:p>
        </w:tc>
      </w:tr>
      <w:tr>
        <w:trPr>
          <w:cantSplit/>
        </w:trPr>
        <w:tc>
          <w:tcPr>
            <w:tcW w:type="dxa" w:w="45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6</w:t>
            </w:r>
          </w:p>
        </w:tc>
        <w:tc>
          <w:tcPr>
            <w:tcW w:type="dxa" w:w="328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Creanțe retratate (Creanțe bilanț + Cheltuieli în avans ct. 471)</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358.659,63</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56.566,05</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52.154,28</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-302.093,58</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-4.411,77</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92,20%</w:t>
            </w:r>
          </w:p>
        </w:tc>
      </w:tr>
      <w:tr>
        <w:trPr>
          <w:cantSplit/>
        </w:trPr>
        <w:tc>
          <w:tcPr>
            <w:tcW w:type="dxa" w:w="45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7</w:t>
            </w:r>
          </w:p>
        </w:tc>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Investiții financiare pe termen scurt</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w:t>
            </w:r>
          </w:p>
        </w:tc>
      </w:tr>
      <w:tr>
        <w:trPr>
          <w:cantSplit/>
        </w:trPr>
        <w:tc>
          <w:tcPr>
            <w:tcW w:type="dxa" w:w="45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8</w:t>
            </w:r>
          </w:p>
        </w:tc>
        <w:tc>
          <w:tcPr>
            <w:tcW w:type="dxa" w:w="328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Disponibilități bănești</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159.325,72</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306.819,47</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259.716,77</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147.493,75</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-47.102,70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84,65%</w:t>
            </w:r>
          </w:p>
        </w:tc>
      </w:tr>
      <w:tr>
        <w:trPr>
          <w:cantSplit/>
        </w:trPr>
        <w:tc>
          <w:tcPr>
            <w:tcW w:type="dxa" w:w="45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9</w:t>
            </w:r>
          </w:p>
        </w:tc>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ACTIVE CIRCULANTE (rd. 5 + 6 + 7 + 8)</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625.020,76</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450.713,41</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405.980,04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-174.307,35</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-44.733,37</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90,07%</w:t>
            </w:r>
          </w:p>
        </w:tc>
      </w:tr>
      <w:tr>
        <w:trPr>
          <w:cantSplit/>
        </w:trPr>
        <w:tc>
          <w:tcPr>
            <w:tcW w:type="dxa" w:w="45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10</w:t>
            </w:r>
          </w:p>
        </w:tc>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TOTAL ACTIV FINANCIAR (rd. 4 + 9)</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1.833.746,97</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1.623.024,02</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1.568.716,11</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-210.722,95</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-54.307,91</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96,65%</w:t>
            </w:r>
          </w:p>
        </w:tc>
      </w:tr>
      <w:tr>
        <w:trPr>
          <w:cantSplit/>
        </w:trPr>
        <w:tc>
          <w:tcPr>
            <w:tcW w:type="dxa" w:w="45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11</w:t>
            </w:r>
          </w:p>
        </w:tc>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Capitaluri proprii (CP bilanț + Provizioane ct. 151)</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344.152,05</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198.640,87</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175.693,97</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-145.511,18</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-22.946,90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88,45%</w:t>
            </w:r>
          </w:p>
        </w:tc>
      </w:tr>
      <w:tr>
        <w:trPr>
          <w:cantSplit/>
        </w:trPr>
        <w:tc>
          <w:tcPr>
            <w:tcW w:type="dxa" w:w="45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12</w:t>
            </w:r>
          </w:p>
        </w:tc>
        <w:tc>
          <w:tcPr>
            <w:tcW w:type="dxa" w:w="328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Datorii pe termen lung (peste 1 an)</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68.790,09</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39.221,80</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35.413,58</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-29.568,29</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-3.808,22</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90,29%</w:t>
            </w:r>
          </w:p>
        </w:tc>
      </w:tr>
      <w:tr>
        <w:trPr>
          <w:cantSplit/>
        </w:trPr>
        <w:tc>
          <w:tcPr>
            <w:tcW w:type="dxa" w:w="45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13</w:t>
            </w:r>
          </w:p>
        </w:tc>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CAPITALURI PERMANENTE (rd. 11 + 12)</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412.942,14</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237.862,67</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211.107,55</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-175.079,47</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-26.755,12</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88,75%</w:t>
            </w:r>
          </w:p>
        </w:tc>
      </w:tr>
      <w:tr>
        <w:trPr>
          <w:cantSplit/>
        </w:trPr>
        <w:tc>
          <w:tcPr>
            <w:tcW w:type="dxa" w:w="45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14</w:t>
            </w:r>
          </w:p>
        </w:tc>
        <w:tc>
          <w:tcPr>
            <w:tcW w:type="dxa" w:w="328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Datorii pe termen scurt (Datorii &lt; 1 an + Venituri în avans ct. 472 + 475)</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1.420.804,83</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1.385.255,04</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1.357.608,56</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-35.549,79</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-27.646,48</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98,00%</w:t>
            </w:r>
          </w:p>
        </w:tc>
      </w:tr>
      <w:tr>
        <w:trPr>
          <w:cantSplit/>
        </w:trPr>
        <w:tc>
          <w:tcPr>
            <w:tcW w:type="dxa" w:w="45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15</w:t>
            </w:r>
          </w:p>
        </w:tc>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TOTAL PASIV FINANCIAR (rd. 13 + 14)</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1.833.746,97</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1.623.117,71</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1.568.716,11</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-210.629,26</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-54.401,60</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96,65%</w:t>
            </w:r>
          </w:p>
        </w:tc>
      </w:tr>
    </w:tbl>
    <w:p>
      <w:pPr>
        <w:spacing w:before="20" w:after="50" w:line="269" w:lineRule="auto"/>
        <w:jc w:val="both"/>
      </w:pPr>
      <w:r>
        <w:rPr>
          <w:rFonts w:ascii="Calibri" w:hAnsi="Calibri" w:eastAsia="Calibri"/>
          <w:b w:val="0"/>
          <w:i w:val="0"/>
          <w:color w:val="1E293B"/>
          <w:sz w:val="18"/>
        </w:rPr>
        <w:t>Diagnostic după retratarea financiară: După reclasificarea posturilor pe criterii de lichiditate și exigibilitate, bilanțul financiar din perioada de raportare 2 aliniază un activ imobilizat de 1.162.736,07 lei (74,12%) și un activ circulant de 405.980,04 lei (25,88%). În perioada de raportare 2, capitalurile permanente (211.107,55 lei) acoperă doar 18,16% din activele imobilizate (1.162.736,07 lei), diferența fiind finanțată din datorii pe termen scurt (1.357.608,56 lei).</w:t>
      </w:r>
    </w:p>
    <w:tbl>
      <w:tblPr>
        <w:tblW w:type="pct" w:w="5000"/>
        <w:jc w:val="center"/>
        <w:tblLook w:firstColumn="1" w:firstRow="1" w:lastColumn="0" w:lastRow="0" w:noHBand="0" w:noVBand="1" w:val="04A0"/>
        <w:tblBorders>
          <w:top w:val="single" w:sz="4" w:space="0" w:color="1B365D"/>
          <w:left w:val="single" w:sz="4" w:space="0" w:color="1B365D"/>
          <w:bottom w:val="single" w:sz="4" w:space="0" w:color="1B365D"/>
          <w:right w:val="single" w:sz="4" w:space="0" w:color="1B365D"/>
          <w:insideH w:val="single" w:sz="4" w:space="0" w:color="1B365D"/>
          <w:insideV w:val="single" w:sz="4" w:space="0" w:color="1B365D"/>
        </w:tblBorders>
      </w:tblPr>
      <w:tblGrid>
        <w:gridCol w:w="10092"/>
      </w:tblGrid>
      <w:tr>
        <w:tc>
          <w:tcPr>
            <w:tcW w:type="dxa" w:w="10092"/>
            <w:shd w:val="clear" w:color="auto" w:fill="1B365D"/>
            <w:tcMar>
              <w:top w:w="55" w:type="dxa"/>
              <w:start w:w="100" w:type="dxa"/>
              <w:bottom w:w="55" w:type="dxa"/>
              <w:end w:w="100" w:type="dxa"/>
            </w:tcMar>
          </w:tcPr>
          <w:p>
            <w:pPr>
              <w:spacing w:before="0" w:after="0" w:line="259" w:lineRule="auto"/>
              <w:jc w:val="left"/>
            </w:pPr>
            <w:r>
              <w:rPr>
                <w:rFonts w:ascii="Calibri" w:hAnsi="Calibri" w:eastAsia="Calibri"/>
                <w:b/>
                <w:i w:val="0"/>
                <w:color w:val="93C5FD"/>
                <w:sz w:val="17"/>
              </w:rPr>
              <w:t xml:space="preserve">PARTEA A II-A  •  CAPITOLELE 4 – 6  —  </w:t>
            </w:r>
            <w:r>
              <w:rPr>
                <w:rFonts w:ascii="Calibri" w:hAnsi="Calibri" w:eastAsia="Calibri"/>
                <w:b/>
                <w:i w:val="0"/>
                <w:color w:val="FFFFFF"/>
                <w:sz w:val="20"/>
              </w:rPr>
              <w:t>ANALIZA STRUCTURII PATRIMONIALE ȘI FINANCIARE (ACTIV &amp; PASIV)</w:t>
              <w:br/>
            </w:r>
            <w:r>
              <w:rPr>
                <w:rFonts w:ascii="Calibri" w:hAnsi="Calibri" w:eastAsia="Calibri"/>
                <w:b w:val="0"/>
                <w:i/>
                <w:color w:val="E2E8F0"/>
                <w:sz w:val="16"/>
              </w:rPr>
              <w:t>Ratele de structură ale activului, structura financiară a pasivului și ratele de autonomie și îndatorare bancară.</w:t>
            </w:r>
          </w:p>
        </w:tc>
      </w:tr>
    </w:tbl>
    <w:p>
      <w:pPr>
        <w:keepNext/>
        <w:spacing w:before="130" w:after="50"/>
        <w:pBdr>
          <w:bottom w:val="single" w:sz="8" w:space="2" w:color="1B365D"/>
        </w:pBdr>
      </w:pPr>
      <w:r>
        <w:rPr>
          <w:rFonts w:ascii="Calibri" w:hAnsi="Calibri" w:eastAsia="Calibri"/>
          <w:b/>
          <w:i w:val="0"/>
          <w:color w:val="1B365D"/>
          <w:sz w:val="21"/>
        </w:rPr>
        <w:t>4. Analiza Ratelor de Structură ale Activului și Corelația cu Cifra de Afaceri</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2"/>
        <w:gridCol w:w="1442"/>
        <w:gridCol w:w="1442"/>
        <w:gridCol w:w="1442"/>
        <w:gridCol w:w="1442"/>
        <w:gridCol w:w="1442"/>
        <w:gridCol w:w="1442"/>
      </w:tblGrid>
      <w:tr>
        <w:trPr>
          <w:tblHeader/>
          <w:cantSplit/>
        </w:trPr>
        <w:tc>
          <w:tcPr>
            <w:tcW w:type="dxa" w:w="3288"/>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Rată de Structură a Activului (Ponderea în Categorie / în Total Activ)</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113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A. Rata Activelor Imobilizate (R_AI = Active imobilizate / Total Activ)</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65,92%</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72,23%</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74,12%</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+6,31%</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+1,89%</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102,62%</w:t>
            </w:r>
          </w:p>
        </w:tc>
      </w:tr>
      <w:tr>
        <w:trPr>
          <w:cantSplit/>
        </w:trPr>
        <w:tc>
          <w:tcPr>
            <w:tcW w:type="dxa" w:w="328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 Imobilizări necorporale — pondere în Active imobilizate / în Total Activ</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 / 0,00%</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 / 0,00%</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 / 0,00%</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 / 0,00%</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 / 0,00%</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 / —</w:t>
            </w:r>
          </w:p>
        </w:tc>
      </w:tr>
      <w:tr>
        <w:trPr>
          <w:cantSplit/>
        </w:trPr>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 Imobilizări corporale — pondere în Active imobilizate / în Total Activ</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100,00% / 65,92%</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100,00% / 72,23%</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100,00% / 74,12%</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 / +6,31%</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 / +1,89%</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100,00% / 102,62%</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B. Rata Activelor Circulante (R_AC = Active circulante / Total Activ)</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34,08%</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27,77%</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25,88%</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-6,31%</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-1,89%</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93,19%</w:t>
            </w:r>
          </w:p>
        </w:tc>
      </w:tr>
      <w:tr>
        <w:trPr>
          <w:cantSplit/>
        </w:trPr>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 Stocuri — pondere în Active circulante / în Total Activ</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17,13% / 5,84%</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19,38% / 5,38%</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23,18% / 6,00%</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+2,25% / -0,46%</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+3,81% / +0,62%</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119,64% / 111,50%</w:t>
            </w:r>
          </w:p>
        </w:tc>
      </w:tr>
      <w:tr>
        <w:trPr>
          <w:cantSplit/>
        </w:trPr>
        <w:tc>
          <w:tcPr>
            <w:tcW w:type="dxa" w:w="328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 Creanțe — pondere în Active circulante / în Total Activ</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57,38% / 19,56%</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12,55% / 3,49%</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12,85% / 3,32%</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-44,83% / -16,07%</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+0,30% / -0,16%</w:t>
            </w:r>
          </w:p>
        </w:tc>
        <w:tc>
          <w:tcPr>
            <w:tcW w:type="dxa" w:w="113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102,36% / 95,39%</w:t>
            </w:r>
          </w:p>
        </w:tc>
      </w:tr>
      <w:tr>
        <w:trPr>
          <w:cantSplit/>
        </w:trPr>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 Investiții TS + Disponibilități — pondere în Active circulante / în Total Activ</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25,49% / 8,69%</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68,07% / 18,90%</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63,97% / 16,56%</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+42,58% / +10,22%</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-4,10% / -2,35%</w:t>
            </w:r>
          </w:p>
        </w:tc>
        <w:tc>
          <w:tcPr>
            <w:tcW w:type="dxa" w:w="113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93,98% / 87,58%</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Corelație Cifra de afaceri vs. Active imobilizate (I_CA &gt;= I_AI)</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I_CA=32,53% vs I_AI=96,99%</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I_CA=111,13% vs I_AI=99,18%</w:t>
            </w:r>
          </w:p>
        </w:tc>
        <w:tc>
          <w:tcPr>
            <w:tcW w:type="dxa" w:w="1134"/>
            <w:shd w:val="clear" w:color="auto" w:fill="FEE2E2"/>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991B1B"/>
                <w:sz w:val="15"/>
              </w:rPr>
              <w:t>Semnal nefavorabil (I_CA &lt; I_AI)</w:t>
            </w:r>
          </w:p>
        </w:tc>
        <w:tc>
          <w:tcPr>
            <w:tcW w:type="dxa" w:w="1134"/>
            <w:shd w:val="clear" w:color="auto" w:fill="DCFCE7"/>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66534"/>
                <w:sz w:val="15"/>
              </w:rPr>
              <w:t>Semnal favorabil (I_CA &gt;= I_AI)</w:t>
            </w:r>
          </w:p>
        </w:tc>
        <w:tc>
          <w:tcPr>
            <w:tcW w:type="dxa" w:w="1134"/>
            <w:shd w:val="clear" w:color="auto" w:fill="DCFCE7"/>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66534"/>
                <w:sz w:val="15"/>
              </w:rPr>
              <w:t>Semnal favorabil (I_CA &gt;= I_AI)</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Corelație Cifra de afaceri vs. Active circulante (I_CA &gt;= I_AC)</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I_CA=32,53% vs I_AC=72,11%</w:t>
            </w:r>
          </w:p>
        </w:tc>
        <w:tc>
          <w:tcPr>
            <w:tcW w:type="dxa" w:w="113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I_CA=111,13% vs I_AC=90,07%</w:t>
            </w:r>
          </w:p>
        </w:tc>
        <w:tc>
          <w:tcPr>
            <w:tcW w:type="dxa" w:w="1134"/>
            <w:shd w:val="clear" w:color="auto" w:fill="FEE2E2"/>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991B1B"/>
                <w:sz w:val="15"/>
              </w:rPr>
              <w:t>Semnal nefavorabil (I_CA &lt; I_AC)</w:t>
            </w:r>
          </w:p>
        </w:tc>
        <w:tc>
          <w:tcPr>
            <w:tcW w:type="dxa" w:w="1134"/>
            <w:shd w:val="clear" w:color="auto" w:fill="DCFCE7"/>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66534"/>
                <w:sz w:val="15"/>
              </w:rPr>
              <w:t>Semnal favorabil (I_CA &gt;= I_AC)</w:t>
            </w:r>
          </w:p>
        </w:tc>
        <w:tc>
          <w:tcPr>
            <w:tcW w:type="dxa" w:w="1134"/>
            <w:shd w:val="clear" w:color="auto" w:fill="DCFCE7"/>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66534"/>
                <w:sz w:val="15"/>
              </w:rPr>
              <w:t>Semnal favorabil (I_CA &gt;= I_AC)</w:t>
            </w:r>
          </w:p>
        </w:tc>
      </w:tr>
    </w:tbl>
    <w:p>
      <w:pPr>
        <w:spacing w:before="20" w:after="50" w:line="269" w:lineRule="auto"/>
        <w:jc w:val="both"/>
      </w:pPr>
      <w:r>
        <w:rPr>
          <w:rFonts w:ascii="Calibri" w:hAnsi="Calibri" w:eastAsia="Calibri"/>
          <w:b w:val="0"/>
          <w:i w:val="0"/>
          <w:color w:val="1E293B"/>
          <w:sz w:val="18"/>
        </w:rPr>
        <w:t>Analiza structurii activului: Pe ansamblul intervalului, pe parcursul celor trei perioade de raportare, rata activelor imobilizate (R_AI) înregistrează o apreciere moderată și constantă (+12,45%), de la 65,92% la 72,23% și ulterior la 74,12%, în timp ce rata activelor circulante (R_AC) se situează la 25,88% în perioada de raportare 2 (405.980,04 lei). În structura internă a activelor circulante din perioada de raportare 2, stocurile dețin 23,18%, creanțele reprezintă 12,85%, iar disponibilitățile bănești și investițiile pe termen scurt însumează 63,97%. Compararea ritmurilor de creștere între perioada de raportare 1 și perioada de raportare 2 confirmă devansarea dinamicii activelor (I_AI = 99,18%, I_AC = 90,07%) de către cifra de afaceri (I_CA = 111,13%), generând semnal favorabil pe ambele paliere.</w:t>
      </w:r>
    </w:p>
    <w:p>
      <w:pPr>
        <w:keepNext/>
        <w:spacing w:before="130" w:after="50"/>
        <w:pBdr>
          <w:bottom w:val="single" w:sz="8" w:space="2" w:color="1B365D"/>
        </w:pBdr>
      </w:pPr>
      <w:r>
        <w:rPr>
          <w:rFonts w:ascii="Calibri" w:hAnsi="Calibri" w:eastAsia="Calibri"/>
          <w:b/>
          <w:i w:val="0"/>
          <w:color w:val="1B365D"/>
          <w:sz w:val="21"/>
        </w:rPr>
        <w:t>5. Analiza Structurii Financiare a Pasivului</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21"/>
        <w:gridCol w:w="1121"/>
        <w:gridCol w:w="1121"/>
        <w:gridCol w:w="1121"/>
        <w:gridCol w:w="1121"/>
        <w:gridCol w:w="1121"/>
        <w:gridCol w:w="1121"/>
        <w:gridCol w:w="1121"/>
        <w:gridCol w:w="1121"/>
      </w:tblGrid>
      <w:tr>
        <w:trPr>
          <w:tblHeader/>
          <w:cantSplit/>
        </w:trPr>
        <w:tc>
          <w:tcPr>
            <w:tcW w:type="dxa" w:w="397"/>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Nr.</w:t>
            </w:r>
          </w:p>
        </w:tc>
        <w:tc>
          <w:tcPr>
            <w:tcW w:type="dxa" w:w="2891"/>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Agregat de Structură Financiară (lei)</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96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96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822"/>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(P1 / P0)</w:t>
            </w:r>
          </w:p>
        </w:tc>
        <w:tc>
          <w:tcPr>
            <w:tcW w:type="dxa" w:w="822"/>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r>
      <w:tr>
        <w:trPr>
          <w:cantSplit/>
        </w:trPr>
        <w:tc>
          <w:tcPr>
            <w:tcW w:type="dxa" w:w="397"/>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w:t>
            </w:r>
          </w:p>
        </w:tc>
        <w:tc>
          <w:tcPr>
            <w:tcW w:type="dxa" w:w="289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Capitaluri proprii (CP)</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344.152,05</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198.640,87</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175.693,97</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-145.511,18</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-22.946,90</w:t>
            </w:r>
          </w:p>
        </w:tc>
        <w:tc>
          <w:tcPr>
            <w:tcW w:type="dxa" w:w="82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57,72%</w:t>
            </w:r>
          </w:p>
        </w:tc>
        <w:tc>
          <w:tcPr>
            <w:tcW w:type="dxa" w:w="82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88,45%</w:t>
            </w:r>
          </w:p>
        </w:tc>
      </w:tr>
      <w:tr>
        <w:trPr>
          <w:cantSplit/>
        </w:trPr>
        <w:tc>
          <w:tcPr>
            <w:tcW w:type="dxa" w:w="397"/>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2</w:t>
            </w:r>
          </w:p>
        </w:tc>
        <w:tc>
          <w:tcPr>
            <w:tcW w:type="dxa" w:w="289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Datorii pe termen lung (DTL)</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68.790,09</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39.221,80</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35.413,58</w:t>
            </w:r>
          </w:p>
        </w:tc>
        <w:tc>
          <w:tcPr>
            <w:tcW w:type="dxa" w:w="96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-29.568,29</w:t>
            </w:r>
          </w:p>
        </w:tc>
        <w:tc>
          <w:tcPr>
            <w:tcW w:type="dxa" w:w="96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-3.808,22</w:t>
            </w:r>
          </w:p>
        </w:tc>
        <w:tc>
          <w:tcPr>
            <w:tcW w:type="dxa" w:w="82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57,02%</w:t>
            </w:r>
          </w:p>
        </w:tc>
        <w:tc>
          <w:tcPr>
            <w:tcW w:type="dxa" w:w="82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90,29%</w:t>
            </w:r>
          </w:p>
        </w:tc>
      </w:tr>
      <w:tr>
        <w:trPr>
          <w:cantSplit/>
        </w:trPr>
        <w:tc>
          <w:tcPr>
            <w:tcW w:type="dxa" w:w="397"/>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3</w:t>
            </w:r>
          </w:p>
        </w:tc>
        <w:tc>
          <w:tcPr>
            <w:tcW w:type="dxa" w:w="289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Datorii pe termen scurt (DTS)</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1.420.804,83</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1.385.255,04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1.357.608,56</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-35.549,79</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-27.646,48</w:t>
            </w:r>
          </w:p>
        </w:tc>
        <w:tc>
          <w:tcPr>
            <w:tcW w:type="dxa" w:w="82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97,50%</w:t>
            </w:r>
          </w:p>
        </w:tc>
        <w:tc>
          <w:tcPr>
            <w:tcW w:type="dxa" w:w="82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98,00%</w:t>
            </w:r>
          </w:p>
        </w:tc>
      </w:tr>
      <w:tr>
        <w:trPr>
          <w:cantSplit/>
        </w:trPr>
        <w:tc>
          <w:tcPr>
            <w:tcW w:type="dxa" w:w="39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4</w:t>
            </w:r>
          </w:p>
        </w:tc>
        <w:tc>
          <w:tcPr>
            <w:tcW w:type="dxa" w:w="289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Capitaluri permanente (CPERM = CP + DTL)</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412.942,14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237.862,67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211.107,55</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-175.079,47</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-26.755,12</w:t>
            </w:r>
          </w:p>
        </w:tc>
        <w:tc>
          <w:tcPr>
            <w:tcW w:type="dxa" w:w="822"/>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57,60%</w:t>
            </w:r>
          </w:p>
        </w:tc>
        <w:tc>
          <w:tcPr>
            <w:tcW w:type="dxa" w:w="822"/>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88,75%</w:t>
            </w:r>
          </w:p>
        </w:tc>
      </w:tr>
      <w:tr>
        <w:trPr>
          <w:cantSplit/>
        </w:trPr>
        <w:tc>
          <w:tcPr>
            <w:tcW w:type="dxa" w:w="39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5</w:t>
            </w:r>
          </w:p>
        </w:tc>
        <w:tc>
          <w:tcPr>
            <w:tcW w:type="dxa" w:w="289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Datorii totale (DT = DTL + DTS)</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1.489.594,92</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1.424.476,84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1.393.022,14</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-65.118,08</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-31.454,70</w:t>
            </w:r>
          </w:p>
        </w:tc>
        <w:tc>
          <w:tcPr>
            <w:tcW w:type="dxa" w:w="822"/>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95,63%</w:t>
            </w:r>
          </w:p>
        </w:tc>
        <w:tc>
          <w:tcPr>
            <w:tcW w:type="dxa" w:w="822"/>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97,79%</w:t>
            </w:r>
          </w:p>
        </w:tc>
      </w:tr>
      <w:tr>
        <w:trPr>
          <w:cantSplit/>
        </w:trPr>
        <w:tc>
          <w:tcPr>
            <w:tcW w:type="dxa" w:w="39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6</w:t>
            </w:r>
          </w:p>
        </w:tc>
        <w:tc>
          <w:tcPr>
            <w:tcW w:type="dxa" w:w="289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Total Pasiv 1 (Capitaluri proprii + Datorii totale)</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1.833.746,97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1.623.117,71</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1.568.716,11</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-210.629,26</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-54.401,60</w:t>
            </w:r>
          </w:p>
        </w:tc>
        <w:tc>
          <w:tcPr>
            <w:tcW w:type="dxa" w:w="822"/>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88,51%</w:t>
            </w:r>
          </w:p>
        </w:tc>
        <w:tc>
          <w:tcPr>
            <w:tcW w:type="dxa" w:w="822"/>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96,65%</w:t>
            </w:r>
          </w:p>
        </w:tc>
      </w:tr>
      <w:tr>
        <w:trPr>
          <w:cantSplit/>
        </w:trPr>
        <w:tc>
          <w:tcPr>
            <w:tcW w:type="dxa" w:w="39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7</w:t>
            </w:r>
          </w:p>
        </w:tc>
        <w:tc>
          <w:tcPr>
            <w:tcW w:type="dxa" w:w="289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Total Pasiv 2 (Capitaluri permanente + Datorii pe termen scurt)</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1.833.746,97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1.623.117,71</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1.568.716,11</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-210.629,26</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-54.401,60</w:t>
            </w:r>
          </w:p>
        </w:tc>
        <w:tc>
          <w:tcPr>
            <w:tcW w:type="dxa" w:w="822"/>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88,51%</w:t>
            </w:r>
          </w:p>
        </w:tc>
        <w:tc>
          <w:tcPr>
            <w:tcW w:type="dxa" w:w="822"/>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96,65%</w:t>
            </w:r>
          </w:p>
        </w:tc>
      </w:tr>
    </w:tbl>
    <w:p>
      <w:pPr>
        <w:spacing w:before="20" w:after="50" w:line="269" w:lineRule="auto"/>
        <w:jc w:val="both"/>
      </w:pPr>
      <w:r>
        <w:rPr>
          <w:rFonts w:ascii="Calibri" w:hAnsi="Calibri" w:eastAsia="Calibri"/>
          <w:b w:val="0"/>
          <w:i w:val="0"/>
          <w:color w:val="1E293B"/>
          <w:sz w:val="18"/>
        </w:rPr>
        <w:t>Dinamica structurii financiare: Pe parcursul celor trei perioade de raportare, evoluția consemnată de capitalurile proprii este una de restrângere treptată (344.152,05 lei -&gt; 198.640,87 lei -&gt; 175.693,97 lei, echivalentul unei modificări relative de -48,95%), în timp ce pe ansamblul celor trei perioade de raportare, datoriile totale (DTL + DTS) se reduce progresiv cu -6,48%, trecând de la 1.489.594,92 lei (perioada 0) la 1.424.476,84 lei (perioada 1) și 1.393.022,14 lei (perioada 2). Ponderea capitalurilor proprii în pasivul perioadei de raportare 2 este de 11,20%, ceea ce reflectă o utilizare activă a resurselor temporare și la termen (1.393.022,14 lei) în susținerea ciclului de exploatare.</w:t>
      </w:r>
    </w:p>
    <w:p>
      <w:pPr>
        <w:keepNext/>
        <w:spacing w:before="130" w:after="50"/>
        <w:pBdr>
          <w:bottom w:val="single" w:sz="8" w:space="2" w:color="1B365D"/>
        </w:pBdr>
      </w:pPr>
      <w:r>
        <w:rPr>
          <w:rFonts w:ascii="Calibri" w:hAnsi="Calibri" w:eastAsia="Calibri"/>
          <w:b/>
          <w:i w:val="0"/>
          <w:color w:val="1B365D"/>
          <w:sz w:val="21"/>
        </w:rPr>
        <w:t>6. Analiza Ratelor de Structură ale Pasivului (Autonomie și Îndatorare)</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3061"/>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Rată de Structură a Pasivului</w:t>
            </w:r>
          </w:p>
        </w:tc>
        <w:tc>
          <w:tcPr>
            <w:tcW w:type="dxa" w:w="1247"/>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Plafon Bancar</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85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85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85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r>
      <w:tr>
        <w:trPr>
          <w:cantSplit/>
        </w:trPr>
        <w:tc>
          <w:tcPr>
            <w:tcW w:type="dxa" w:w="306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1. Rata stabilității financiare (RSF = CPERM / Total Pasiv)</w:t>
            </w:r>
          </w:p>
        </w:tc>
        <w:tc>
          <w:tcPr>
            <w:tcW w:type="dxa" w:w="124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&gt; 50% (optim &gt; 66%)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22,52%</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14,65%</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13,46%</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-7,86%</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-1,20%</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91,83%</w:t>
            </w:r>
          </w:p>
        </w:tc>
      </w:tr>
      <w:tr>
        <w:trPr>
          <w:cantSplit/>
        </w:trPr>
        <w:tc>
          <w:tcPr>
            <w:tcW w:type="dxa" w:w="3061"/>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2. Rata îndatorării globale (RIG = DT / Total Pasiv)</w:t>
            </w:r>
          </w:p>
        </w:tc>
        <w:tc>
          <w:tcPr>
            <w:tcW w:type="dxa" w:w="1247"/>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&lt;= 66% (maxim 2/3)</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81,23%</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87,76%</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88,80%</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+6,53%</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+1,04%</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101,18%</w:t>
            </w:r>
          </w:p>
        </w:tc>
      </w:tr>
      <w:tr>
        <w:trPr>
          <w:cantSplit/>
        </w:trPr>
        <w:tc>
          <w:tcPr>
            <w:tcW w:type="dxa" w:w="306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3. Rata autonomiei financiare globale (RAFG = CP / Total Pasiv)</w:t>
            </w:r>
          </w:p>
        </w:tc>
        <w:tc>
          <w:tcPr>
            <w:tcW w:type="dxa" w:w="124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&gt;= 33% (optim &gt;= 50%)</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18,77%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12,24%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11,20%</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-6,53%</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-1,04%</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91,52%</w:t>
            </w:r>
          </w:p>
        </w:tc>
      </w:tr>
      <w:tr>
        <w:trPr>
          <w:cantSplit/>
        </w:trPr>
        <w:tc>
          <w:tcPr>
            <w:tcW w:type="dxa" w:w="3061"/>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4. Rata îndatorării la termen (RIT = DTL / Datorii totale)</w:t>
            </w:r>
          </w:p>
        </w:tc>
        <w:tc>
          <w:tcPr>
            <w:tcW w:type="dxa" w:w="1247"/>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&lt;= 50%</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4,62%</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2,75%</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2,54%</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-1,86%</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-0,21%</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92,33%</w:t>
            </w:r>
          </w:p>
        </w:tc>
      </w:tr>
      <w:tr>
        <w:trPr>
          <w:cantSplit/>
        </w:trPr>
        <w:tc>
          <w:tcPr>
            <w:tcW w:type="dxa" w:w="306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5. Rata autonomiei financiare la termen (RAFT = CP / CPERM)</w:t>
            </w:r>
          </w:p>
        </w:tc>
        <w:tc>
          <w:tcPr>
            <w:tcW w:type="dxa" w:w="124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&gt;= 50%</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83,34%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83,51%</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83,22%</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+0,17%</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-0,29%</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99,66%</w:t>
            </w:r>
          </w:p>
        </w:tc>
      </w:tr>
    </w:tbl>
    <w:p>
      <w:pPr>
        <w:spacing w:before="20" w:after="50" w:line="269" w:lineRule="auto"/>
        <w:jc w:val="both"/>
      </w:pPr>
      <w:r>
        <w:rPr>
          <w:rFonts w:ascii="Calibri" w:hAnsi="Calibri" w:eastAsia="Calibri"/>
          <w:b w:val="0"/>
          <w:i w:val="0"/>
          <w:color w:val="1E293B"/>
          <w:sz w:val="18"/>
        </w:rPr>
        <w:t>Evaluarea ratelor de structură ale pasivului: Pe intervalul analizat, se constată o contracție succesivă a indicatorului rata stabilității financiare (RSF), al cărui nivel coboară de la 22,52% în perioada de raportare 0 până la 13,46% în perioada de raportare 2 (-40,24%). În perioada de raportare 2, ponderea ridicată a datoriilor pe termen scurt determină o rată a îndatorării globale (RIG) de 88,80% și o rată a autonomiei financiare globale (RAFG) de 11,20% (RAFT = 83,22%, RIT = 2,54%).</w:t>
      </w:r>
    </w:p>
    <w:tbl>
      <w:tblPr>
        <w:tblW w:type="pct" w:w="5000"/>
        <w:jc w:val="center"/>
        <w:tblLook w:firstColumn="1" w:firstRow="1" w:lastColumn="0" w:lastRow="0" w:noHBand="0" w:noVBand="1" w:val="04A0"/>
        <w:tblBorders>
          <w:top w:val="single" w:sz="4" w:space="0" w:color="1B365D"/>
          <w:left w:val="single" w:sz="4" w:space="0" w:color="1B365D"/>
          <w:bottom w:val="single" w:sz="4" w:space="0" w:color="1B365D"/>
          <w:right w:val="single" w:sz="4" w:space="0" w:color="1B365D"/>
          <w:insideH w:val="single" w:sz="4" w:space="0" w:color="1B365D"/>
          <w:insideV w:val="single" w:sz="4" w:space="0" w:color="1B365D"/>
        </w:tblBorders>
      </w:tblPr>
      <w:tblGrid>
        <w:gridCol w:w="10092"/>
      </w:tblGrid>
      <w:tr>
        <w:tc>
          <w:tcPr>
            <w:tcW w:type="dxa" w:w="10092"/>
            <w:shd w:val="clear" w:color="auto" w:fill="1B365D"/>
            <w:tcMar>
              <w:top w:w="55" w:type="dxa"/>
              <w:start w:w="100" w:type="dxa"/>
              <w:bottom w:w="55" w:type="dxa"/>
              <w:end w:w="100" w:type="dxa"/>
            </w:tcMar>
          </w:tcPr>
          <w:p>
            <w:pPr>
              <w:spacing w:before="0" w:after="0" w:line="259" w:lineRule="auto"/>
              <w:jc w:val="left"/>
            </w:pPr>
            <w:r>
              <w:rPr>
                <w:rFonts w:ascii="Calibri" w:hAnsi="Calibri" w:eastAsia="Calibri"/>
                <w:b/>
                <w:i w:val="0"/>
                <w:color w:val="93C5FD"/>
                <w:sz w:val="17"/>
              </w:rPr>
              <w:t xml:space="preserve">PARTEA A III-A  •  CAPITOLELE 7 – 12  —  </w:t>
            </w:r>
            <w:r>
              <w:rPr>
                <w:rFonts w:ascii="Calibri" w:hAnsi="Calibri" w:eastAsia="Calibri"/>
                <w:b/>
                <w:i w:val="0"/>
                <w:color w:val="FFFFFF"/>
                <w:sz w:val="20"/>
              </w:rPr>
              <w:t>ECHILIBRUL FINANCIAR STATIC ȘI DINAMIC, LICHIDITATEA ȘI SOLVABILITATEA</w:t>
              <w:br/>
            </w:r>
            <w:r>
              <w:rPr>
                <w:rFonts w:ascii="Calibri" w:hAnsi="Calibri" w:eastAsia="Calibri"/>
                <w:b w:val="0"/>
                <w:i/>
                <w:color w:val="E2E8F0"/>
                <w:sz w:val="16"/>
              </w:rPr>
              <w:t>Fondul de Rulment (FR, FRP, FRS), Necesarul de Fond de Rulment (NFR), Trezoreria Netă (TN), Lichiditatea și Solvabilitatea.</w:t>
            </w:r>
          </w:p>
        </w:tc>
      </w:tr>
    </w:tbl>
    <w:p>
      <w:pPr>
        <w:keepNext/>
        <w:spacing w:before="130" w:after="50"/>
        <w:pBdr>
          <w:bottom w:val="single" w:sz="8" w:space="2" w:color="1B365D"/>
        </w:pBdr>
      </w:pPr>
      <w:r>
        <w:rPr>
          <w:rFonts w:ascii="Calibri" w:hAnsi="Calibri" w:eastAsia="Calibri"/>
          <w:b/>
          <w:i w:val="0"/>
          <w:color w:val="1B365D"/>
          <w:sz w:val="21"/>
        </w:rPr>
        <w:t>7. Analiza Echilibrului Financiar Patrimonial (FR, FRP, FRS, NFR, TN)</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2948"/>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Indicator de Echilibru Financiar (lei)</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85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c>
          <w:tcPr>
            <w:tcW w:type="dxa" w:w="1020"/>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Diagnostic P2</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1. Fondul de rulment — partea de sus (CPERM - AI)</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-795.784,07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-934.447,94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-951.628,52</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-138.663,87</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-17.180,58</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101,84%</w:t>
            </w:r>
          </w:p>
        </w:tc>
        <w:tc>
          <w:tcPr>
            <w:tcW w:type="dxa" w:w="1020"/>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DFTL</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2. Fondul de rulment — partea de jos (AC - DTS)</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-795.784,07</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-934.541,63</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-951.628,52</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-138.757,56</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-17.086,89</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101,83%</w:t>
            </w:r>
          </w:p>
        </w:tc>
        <w:tc>
          <w:tcPr>
            <w:tcW w:type="dxa" w:w="1020"/>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DFTL</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3. Fondul de rulment propriu (FRP = CP - AI)</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-864.574,16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-973.669,74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-987.042,10</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-109.095,58</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-13.372,36</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101,37%</w:t>
            </w:r>
          </w:p>
        </w:tc>
        <w:tc>
          <w:tcPr>
            <w:tcW w:type="dxa" w:w="102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FRP &lt; 0</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4. Fondul de rulment străin (FRS = FR - FRP = DTL)</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68.790,09</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39.221,80</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35.413,58</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-29.568,29</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-3.808,22</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90,29%</w:t>
            </w:r>
          </w:p>
        </w:tc>
        <w:tc>
          <w:tcPr>
            <w:tcW w:type="dxa" w:w="102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DTL</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5. Active circulante fără disponibil (Stocuri + Creanțe)</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465.695,04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143.893,94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146.263,27</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-321.801,10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2.369,33</w:t>
            </w:r>
          </w:p>
        </w:tc>
        <w:tc>
          <w:tcPr>
            <w:tcW w:type="dxa" w:w="85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101,65%</w:t>
            </w:r>
          </w:p>
        </w:tc>
        <w:tc>
          <w:tcPr>
            <w:tcW w:type="dxa" w:w="102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6. Datorii pe termen scurt (DTS)</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1.420.804,83</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1.385.255,04</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1.357.608,56</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-35.549,79</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-27.646,48</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98,00%</w:t>
            </w:r>
          </w:p>
        </w:tc>
        <w:tc>
          <w:tcPr>
            <w:tcW w:type="dxa" w:w="102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7. Necesarul de fond de rulment (NFR = AC fără disp. - DTS)</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-955.109,79</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-1.241.361,10</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-1.211.345,29</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-286.251,31</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30.015,81</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97,58%</w:t>
            </w:r>
          </w:p>
        </w:tc>
        <w:tc>
          <w:tcPr>
            <w:tcW w:type="dxa" w:w="1020"/>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EFTS</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8. Trezoreria netă (TN = FR - NFR = Disponibil)</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159.325,72</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306.913,16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259.716,77</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147.587,44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-47.196,39</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84,62%</w:t>
            </w:r>
          </w:p>
        </w:tc>
        <w:tc>
          <w:tcPr>
            <w:tcW w:type="dxa" w:w="1020"/>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EFC</w:t>
            </w:r>
          </w:p>
        </w:tc>
      </w:tr>
    </w:tbl>
    <w:p>
      <w:pPr>
        <w:spacing w:before="20" w:after="50" w:line="269" w:lineRule="auto"/>
        <w:jc w:val="both"/>
      </w:pPr>
      <w:r>
        <w:rPr>
          <w:rFonts w:ascii="Calibri" w:hAnsi="Calibri" w:eastAsia="Calibri"/>
          <w:b w:val="0"/>
          <w:i w:val="0"/>
          <w:color w:val="1E293B"/>
          <w:sz w:val="18"/>
        </w:rPr>
        <w:t>Diagnostic de echilibru financiar: Egalitatea dintre abordarea patrimonială de sus și cea de jos a bilanțului este verificată în fiecare perioadă; pe ansamblul celor trei perioade de raportare, Fondul de rulment patrimonial (FR) se reduce progresiv cu -19,58%, trecând de la -795.784,07 lei (perioada 0) la -934.447,94 lei (perioada 1) și -951.628,52 lei (perioada 2), în timp ce după vârful consemnat în perioada de raportare 1 (306.913,16 lei), Trezoreria netă (TN = FR - NFR) cunoaște o ajustare la 259.716,77 lei în perioada de raportare 2, păstrând un avans net de +63,01% față de perioada de raportare 0 (159.325,72 lei). În perioada de raportare 2, raportul dintre Fondul de rulment (FR = -951.628,52 lei, FRP = -987.042,10 lei -&gt; DFTL) și Necesarul de fond de rulment (NFR = -1.211.345,29 lei -&gt; EFTS) determină o Trezorerie netă de 259.716,77 lei (EFC).</w:t>
      </w:r>
    </w:p>
    <w:p>
      <w:pPr>
        <w:keepNext/>
        <w:spacing w:before="130" w:after="50"/>
        <w:pBdr>
          <w:bottom w:val="single" w:sz="8" w:space="2" w:color="1B365D"/>
        </w:pBdr>
      </w:pPr>
      <w:r>
        <w:rPr>
          <w:rFonts w:ascii="Calibri" w:hAnsi="Calibri" w:eastAsia="Calibri"/>
          <w:b/>
          <w:i w:val="0"/>
          <w:color w:val="1B365D"/>
          <w:sz w:val="21"/>
        </w:rPr>
        <w:t>8. Analiza Indicatorilor de Lichiditate (Curentă, Rapidă și Imediată)</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3061"/>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Element / Indicator de Lichiditate</w:t>
            </w:r>
          </w:p>
        </w:tc>
        <w:tc>
          <w:tcPr>
            <w:tcW w:type="dxa" w:w="113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U.M. / Plafon</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85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r>
      <w:tr>
        <w:trPr>
          <w:cantSplit/>
        </w:trPr>
        <w:tc>
          <w:tcPr>
            <w:tcW w:type="dxa" w:w="3061"/>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Active circulante totale (AC)</w:t>
            </w:r>
          </w:p>
        </w:tc>
        <w:tc>
          <w:tcPr>
            <w:tcW w:type="dxa" w:w="113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625.020,76</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450.713,41</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405.980,04</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-174.307,35</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-44.733,37</w:t>
            </w:r>
          </w:p>
        </w:tc>
        <w:tc>
          <w:tcPr>
            <w:tcW w:type="dxa" w:w="85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90,07%</w:t>
            </w:r>
          </w:p>
        </w:tc>
      </w:tr>
      <w:tr>
        <w:trPr>
          <w:cantSplit/>
        </w:trPr>
        <w:tc>
          <w:tcPr>
            <w:tcW w:type="dxa" w:w="3061"/>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Creanțe + Investiții TS + Disponibilități (AC - Stocuri)</w:t>
            </w:r>
          </w:p>
        </w:tc>
        <w:tc>
          <w:tcPr>
            <w:tcW w:type="dxa" w:w="113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517.985,35</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363.385,52</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311.871,05</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-154.599,83</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-51.514,47</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85,82%</w:t>
            </w:r>
          </w:p>
        </w:tc>
      </w:tr>
      <w:tr>
        <w:trPr>
          <w:cantSplit/>
        </w:trPr>
        <w:tc>
          <w:tcPr>
            <w:tcW w:type="dxa" w:w="3061"/>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Disponibilități bănești + Investiții TS</w:t>
            </w:r>
          </w:p>
        </w:tc>
        <w:tc>
          <w:tcPr>
            <w:tcW w:type="dxa" w:w="113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159.325,72</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306.819,47</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259.716,77</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147.493,75</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-47.102,70</w:t>
            </w:r>
          </w:p>
        </w:tc>
        <w:tc>
          <w:tcPr>
            <w:tcW w:type="dxa" w:w="85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84,65%</w:t>
            </w:r>
          </w:p>
        </w:tc>
      </w:tr>
      <w:tr>
        <w:trPr>
          <w:cantSplit/>
        </w:trPr>
        <w:tc>
          <w:tcPr>
            <w:tcW w:type="dxa" w:w="3061"/>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Datorii pe termen scurt (DTS)</w:t>
            </w:r>
          </w:p>
        </w:tc>
        <w:tc>
          <w:tcPr>
            <w:tcW w:type="dxa" w:w="113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1.420.804,83</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1.385.255,04</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1.357.608,56</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-35.549,79</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-27.646,48</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98,00%</w:t>
            </w:r>
          </w:p>
        </w:tc>
      </w:tr>
      <w:tr>
        <w:trPr>
          <w:cantSplit/>
        </w:trPr>
        <w:tc>
          <w:tcPr>
            <w:tcW w:type="dxa" w:w="306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1. Lichiditatea curentă (Active circulante / DTS)</w:t>
            </w:r>
          </w:p>
        </w:tc>
        <w:tc>
          <w:tcPr>
            <w:tcW w:type="dxa" w:w="113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100% – 200%</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43,99%</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32,54%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29,90%</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-11,45%</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-2,63%</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91,91%</w:t>
            </w:r>
          </w:p>
        </w:tc>
      </w:tr>
      <w:tr>
        <w:trPr>
          <w:cantSplit/>
        </w:trPr>
        <w:tc>
          <w:tcPr>
            <w:tcW w:type="dxa" w:w="306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2. Lichiditatea rapidă ((AC - Stocuri) / DTS)</w:t>
            </w:r>
          </w:p>
        </w:tc>
        <w:tc>
          <w:tcPr>
            <w:tcW w:type="dxa" w:w="113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60% – 100%</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36,46%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26,23%</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22,97%</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-10,22%</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-3,26%</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87,57%</w:t>
            </w:r>
          </w:p>
        </w:tc>
      </w:tr>
      <w:tr>
        <w:trPr>
          <w:cantSplit/>
        </w:trPr>
        <w:tc>
          <w:tcPr>
            <w:tcW w:type="dxa" w:w="306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3. Lichiditatea imediată (Disponibilități / DTS)</w:t>
            </w:r>
          </w:p>
        </w:tc>
        <w:tc>
          <w:tcPr>
            <w:tcW w:type="dxa" w:w="113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20% – 60%</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11,21%</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22,15%</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19,13%</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+10,94%</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-3,02%</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86,37%</w:t>
            </w:r>
          </w:p>
        </w:tc>
      </w:tr>
    </w:tbl>
    <w:p>
      <w:pPr>
        <w:spacing w:before="20" w:after="50" w:line="269" w:lineRule="auto"/>
        <w:jc w:val="both"/>
      </w:pPr>
      <w:r>
        <w:rPr>
          <w:rFonts w:ascii="Calibri" w:hAnsi="Calibri" w:eastAsia="Calibri"/>
          <w:b w:val="0"/>
          <w:i w:val="0"/>
          <w:color w:val="1E293B"/>
          <w:sz w:val="18"/>
        </w:rPr>
        <w:t>Evaluarea capacității de plată pe termen scurt: Pe parcursul celor trei perioade, se constată o contracție succesivă a indicatorului lichiditatea curentă (generală), al cărui nivel coboară de la 43,99% în perioada de raportare 0 până la 29,90% în perioada de raportare 2 (-32,02%). În perioada de raportare 2, lichiditatea curentă se situează la 29,90%, lichiditatea rapidă la 22,97%, iar lichiditatea imediată la 19,13%, semnalând necesitatea sincronizării atente a încasărilor curente cu scadențarul datoriilor pe termen scurt (1.357.608,56 lei).</w:t>
      </w:r>
    </w:p>
    <w:p>
      <w:pPr>
        <w:keepNext/>
        <w:spacing w:before="130" w:after="50"/>
        <w:pBdr>
          <w:bottom w:val="single" w:sz="8" w:space="2" w:color="1B365D"/>
        </w:pBdr>
      </w:pPr>
      <w:r>
        <w:rPr>
          <w:rFonts w:ascii="Calibri" w:hAnsi="Calibri" w:eastAsia="Calibri"/>
          <w:b/>
          <w:i w:val="0"/>
          <w:color w:val="1B365D"/>
          <w:sz w:val="21"/>
        </w:rPr>
        <w:t>9. Analiza Solvabilității Generale</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3061"/>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Element / Indicator de Solvabilitate</w:t>
            </w:r>
          </w:p>
        </w:tc>
        <w:tc>
          <w:tcPr>
            <w:tcW w:type="dxa" w:w="1020"/>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U.M. / Prag</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96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96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85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r>
      <w:tr>
        <w:trPr>
          <w:cantSplit/>
        </w:trPr>
        <w:tc>
          <w:tcPr>
            <w:tcW w:type="dxa" w:w="3061"/>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1. Activ total patrimonial</w:t>
            </w:r>
          </w:p>
        </w:tc>
        <w:tc>
          <w:tcPr>
            <w:tcW w:type="dxa" w:w="102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1.833.746,97</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1.623.024,02</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1.568.716,11</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-210.722,95</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-54.307,91</w:t>
            </w:r>
          </w:p>
        </w:tc>
        <w:tc>
          <w:tcPr>
            <w:tcW w:type="dxa" w:w="85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96,65%</w:t>
            </w:r>
          </w:p>
        </w:tc>
      </w:tr>
      <w:tr>
        <w:trPr>
          <w:cantSplit/>
        </w:trPr>
        <w:tc>
          <w:tcPr>
            <w:tcW w:type="dxa" w:w="3061"/>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2. Datorii totale (DTL + DTS)</w:t>
            </w:r>
          </w:p>
        </w:tc>
        <w:tc>
          <w:tcPr>
            <w:tcW w:type="dxa" w:w="102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1.489.594,92</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1.424.476,84</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1.393.022,14</w:t>
            </w:r>
          </w:p>
        </w:tc>
        <w:tc>
          <w:tcPr>
            <w:tcW w:type="dxa" w:w="96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-65.118,08</w:t>
            </w:r>
          </w:p>
        </w:tc>
        <w:tc>
          <w:tcPr>
            <w:tcW w:type="dxa" w:w="96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-31.454,70</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97,79%</w:t>
            </w:r>
          </w:p>
        </w:tc>
      </w:tr>
      <w:tr>
        <w:trPr>
          <w:cantSplit/>
        </w:trPr>
        <w:tc>
          <w:tcPr>
            <w:tcW w:type="dxa" w:w="306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3. Solvabilitatea generală (coeficient)</w:t>
            </w:r>
          </w:p>
        </w:tc>
        <w:tc>
          <w:tcPr>
            <w:tcW w:type="dxa" w:w="102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&gt; 1,66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1,2310</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1,1394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1,1261</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-0,0917</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-0,0133</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98,84%</w:t>
            </w:r>
          </w:p>
        </w:tc>
      </w:tr>
      <w:tr>
        <w:trPr>
          <w:cantSplit/>
        </w:trPr>
        <w:tc>
          <w:tcPr>
            <w:tcW w:type="dxa" w:w="306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4. Solvabilitatea generală (în procente)</w:t>
            </w:r>
          </w:p>
        </w:tc>
        <w:tc>
          <w:tcPr>
            <w:tcW w:type="dxa" w:w="102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&gt; 166%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123,10%</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113,94%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112,61%</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-9,17%</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-1,33%</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98,84%</w:t>
            </w:r>
          </w:p>
        </w:tc>
      </w:tr>
    </w:tbl>
    <w:p>
      <w:pPr>
        <w:spacing w:before="20" w:after="50" w:line="269" w:lineRule="auto"/>
        <w:jc w:val="both"/>
      </w:pPr>
      <w:r>
        <w:rPr>
          <w:rFonts w:ascii="Calibri" w:hAnsi="Calibri" w:eastAsia="Calibri"/>
          <w:b w:val="0"/>
          <w:i w:val="0"/>
          <w:color w:val="1E293B"/>
          <w:sz w:val="18"/>
        </w:rPr>
        <w:t>Diagnostic de solvabilitate: Pe ansamblul intervalului analizat, evoluția consemnată de rata solvabilității generale (Activ total / Datorii totale) este una de restrângere treptată (123,10% -&gt; 113,94% -&gt; 112,61%, echivalentul unei modificări relative de -8,52%). În perioada de raportare 2, solvabilitatea generală se situează la 112,61% (coeficient 1,1261), activul total de 1.568.716,11 lei raportându-se la datorii totale de 1.393.022,14 lei.</w:t>
      </w:r>
    </w:p>
    <w:p>
      <w:pPr>
        <w:keepNext/>
        <w:spacing w:before="130" w:after="50"/>
        <w:pBdr>
          <w:bottom w:val="single" w:sz="8" w:space="2" w:color="1B365D"/>
        </w:pBdr>
      </w:pPr>
      <w:r>
        <w:rPr>
          <w:rFonts w:ascii="Calibri" w:hAnsi="Calibri" w:eastAsia="Calibri"/>
          <w:b/>
          <w:i w:val="0"/>
          <w:color w:val="1B365D"/>
          <w:sz w:val="21"/>
        </w:rPr>
        <w:t>10. Bilanțul Financiar Simplificat (Structura Sintetică Activ–Pasiv)</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2"/>
        <w:gridCol w:w="1442"/>
        <w:gridCol w:w="1442"/>
        <w:gridCol w:w="1442"/>
        <w:gridCol w:w="1442"/>
        <w:gridCol w:w="1442"/>
        <w:gridCol w:w="1442"/>
      </w:tblGrid>
      <w:tr>
        <w:trPr>
          <w:tblHeader/>
          <w:cantSplit/>
        </w:trPr>
        <w:tc>
          <w:tcPr>
            <w:tcW w:type="dxa" w:w="3211"/>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Masă Bilanțieră Simplificată (Activ / Pasiv)</w:t>
            </w:r>
          </w:p>
        </w:tc>
        <w:tc>
          <w:tcPr>
            <w:tcW w:type="dxa" w:w="1319"/>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 (lei)</w:t>
            </w:r>
          </w:p>
        </w:tc>
        <w:tc>
          <w:tcPr>
            <w:tcW w:type="dxa" w:w="975"/>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Pond. P0</w:t>
            </w:r>
          </w:p>
        </w:tc>
        <w:tc>
          <w:tcPr>
            <w:tcW w:type="dxa" w:w="1319"/>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 (lei)</w:t>
            </w:r>
          </w:p>
        </w:tc>
        <w:tc>
          <w:tcPr>
            <w:tcW w:type="dxa" w:w="975"/>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Pond. P1</w:t>
            </w:r>
          </w:p>
        </w:tc>
        <w:tc>
          <w:tcPr>
            <w:tcW w:type="dxa" w:w="1319"/>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 (lei)</w:t>
            </w:r>
          </w:p>
        </w:tc>
        <w:tc>
          <w:tcPr>
            <w:tcW w:type="dxa" w:w="975"/>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Pond. P2</w:t>
            </w:r>
          </w:p>
        </w:tc>
      </w:tr>
      <w:tr>
        <w:trPr>
          <w:cantSplit/>
        </w:trPr>
        <w:tc>
          <w:tcPr>
            <w:tcW w:type="dxa" w:w="3211"/>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AIN — Active imobilizate nete (Activ)</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1.208.726,21</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65,92%</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1.172.310,61</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72,23%</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1.162.736,07</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74,12%</w:t>
            </w:r>
          </w:p>
        </w:tc>
      </w:tr>
      <w:tr>
        <w:trPr>
          <w:cantSplit/>
        </w:trPr>
        <w:tc>
          <w:tcPr>
            <w:tcW w:type="dxa" w:w="3211"/>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Disponibil — Trezorerie activă (Activ)</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159.325,72</w:t>
            </w:r>
          </w:p>
        </w:tc>
        <w:tc>
          <w:tcPr>
            <w:tcW w:type="dxa" w:w="97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8,69%</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306.819,47</w:t>
            </w:r>
          </w:p>
        </w:tc>
        <w:tc>
          <w:tcPr>
            <w:tcW w:type="dxa" w:w="97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18,90%</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259.716,77</w:t>
            </w:r>
          </w:p>
        </w:tc>
        <w:tc>
          <w:tcPr>
            <w:tcW w:type="dxa" w:w="97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16,56%</w:t>
            </w:r>
          </w:p>
        </w:tc>
      </w:tr>
      <w:tr>
        <w:trPr>
          <w:cantSplit/>
        </w:trPr>
        <w:tc>
          <w:tcPr>
            <w:tcW w:type="dxa" w:w="3211"/>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AC fără disponibil — Stocuri + Creanțe (Activ)</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465.695,04</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25,40%</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143.893,94</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8,87%</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146.263,27</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9,32%</w:t>
            </w:r>
          </w:p>
        </w:tc>
      </w:tr>
      <w:tr>
        <w:trPr>
          <w:cantSplit/>
        </w:trPr>
        <w:tc>
          <w:tcPr>
            <w:tcW w:type="dxa" w:w="321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TOTAL ACTIV = TOTAL PASIV</w:t>
            </w:r>
          </w:p>
        </w:tc>
        <w:tc>
          <w:tcPr>
            <w:tcW w:type="dxa" w:w="1319"/>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1.833.746,97</w:t>
            </w:r>
          </w:p>
        </w:tc>
        <w:tc>
          <w:tcPr>
            <w:tcW w:type="dxa" w:w="97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100,00%</w:t>
            </w:r>
          </w:p>
        </w:tc>
        <w:tc>
          <w:tcPr>
            <w:tcW w:type="dxa" w:w="1319"/>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1.623.024,02</w:t>
            </w:r>
          </w:p>
        </w:tc>
        <w:tc>
          <w:tcPr>
            <w:tcW w:type="dxa" w:w="97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100,00%</w:t>
            </w:r>
          </w:p>
        </w:tc>
        <w:tc>
          <w:tcPr>
            <w:tcW w:type="dxa" w:w="1319"/>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1.568.716,11</w:t>
            </w:r>
          </w:p>
        </w:tc>
        <w:tc>
          <w:tcPr>
            <w:tcW w:type="dxa" w:w="97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100,00%</w:t>
            </w:r>
          </w:p>
        </w:tc>
      </w:tr>
      <w:tr>
        <w:trPr>
          <w:cantSplit/>
        </w:trPr>
        <w:tc>
          <w:tcPr>
            <w:tcW w:type="dxa" w:w="3211"/>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CP — Capitaluri permanente (Pasiv)</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412.942,14</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22,52%</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237.862,67</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14,65%</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211.107,55</w:t>
            </w:r>
          </w:p>
        </w:tc>
        <w:tc>
          <w:tcPr>
            <w:tcW w:type="dxa" w:w="97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13,46%</w:t>
            </w:r>
          </w:p>
        </w:tc>
      </w:tr>
      <w:tr>
        <w:trPr>
          <w:cantSplit/>
        </w:trPr>
        <w:tc>
          <w:tcPr>
            <w:tcW w:type="dxa" w:w="3211"/>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DEX — Datorii pe termen scurt / exploatare (Pasiv)</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1.420.804,83</w:t>
            </w:r>
          </w:p>
        </w:tc>
        <w:tc>
          <w:tcPr>
            <w:tcW w:type="dxa" w:w="97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77,48%</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1.385.255,04</w:t>
            </w:r>
          </w:p>
        </w:tc>
        <w:tc>
          <w:tcPr>
            <w:tcW w:type="dxa" w:w="97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85,35%</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1.357.608,56</w:t>
            </w:r>
          </w:p>
        </w:tc>
        <w:tc>
          <w:tcPr>
            <w:tcW w:type="dxa" w:w="97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86,54%</w:t>
            </w:r>
          </w:p>
        </w:tc>
      </w:tr>
    </w:tbl>
    <w:p>
      <w:pPr>
        <w:spacing w:before="20" w:after="50" w:line="269" w:lineRule="auto"/>
        <w:jc w:val="both"/>
      </w:pPr>
      <w:r>
        <w:rPr>
          <w:rFonts w:ascii="Calibri" w:hAnsi="Calibri" w:eastAsia="Calibri"/>
          <w:b w:val="0"/>
          <w:i w:val="0"/>
          <w:color w:val="1E293B"/>
          <w:sz w:val="18"/>
        </w:rPr>
        <w:t>Sinteză structurală simplificată: La nivelul perioadei de raportare 2, din totalul activului de 1.568.716,11 lei, imobilizările nete (AIN) însumează 1.162.736,07 lei (74,12%), stocurile și creanțele (AC fără disponibil) reprezintă 146.263,27 lei (9,32%), iar trezoreria activă (Disponibilul) deține 259.716,77 lei (16,56%). Pe latura pasivului, finanțarea este asigurată în proporție de 13,46% din capitaluri permanente (211.107,55 lei) și 86,54% din datorii pe termen scurt (1.357.608,56 lei).</w:t>
      </w:r>
    </w:p>
    <w:p>
      <w:pPr>
        <w:keepNext/>
        <w:spacing w:before="130" w:after="50"/>
        <w:pBdr>
          <w:bottom w:val="single" w:sz="8" w:space="2" w:color="1B365D"/>
        </w:pBdr>
      </w:pPr>
      <w:r>
        <w:rPr>
          <w:rFonts w:ascii="Calibri" w:hAnsi="Calibri" w:eastAsia="Calibri"/>
          <w:b/>
          <w:i w:val="0"/>
          <w:color w:val="1B365D"/>
          <w:sz w:val="21"/>
        </w:rPr>
        <w:t>11. Diagnosticul Echilibrului Financiar Static (FR, NFR, TN)</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2"/>
        <w:gridCol w:w="1442"/>
        <w:gridCol w:w="1442"/>
        <w:gridCol w:w="1442"/>
        <w:gridCol w:w="1442"/>
        <w:gridCol w:w="1442"/>
        <w:gridCol w:w="1442"/>
      </w:tblGrid>
      <w:tr>
        <w:trPr>
          <w:tblHeader/>
          <w:cantSplit/>
        </w:trPr>
        <w:tc>
          <w:tcPr>
            <w:tcW w:type="dxa" w:w="2867"/>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Indicator de Echilibru Static</w:t>
            </w:r>
          </w:p>
        </w:tc>
        <w:tc>
          <w:tcPr>
            <w:tcW w:type="dxa" w:w="1319"/>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 (lei)</w:t>
            </w:r>
          </w:p>
        </w:tc>
        <w:tc>
          <w:tcPr>
            <w:tcW w:type="dxa" w:w="1319"/>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 (lei)</w:t>
            </w:r>
          </w:p>
        </w:tc>
        <w:tc>
          <w:tcPr>
            <w:tcW w:type="dxa" w:w="1319"/>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 (lei)</w:t>
            </w:r>
          </w:p>
        </w:tc>
        <w:tc>
          <w:tcPr>
            <w:tcW w:type="dxa" w:w="1089"/>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Diagnostic P0</w:t>
            </w:r>
          </w:p>
        </w:tc>
        <w:tc>
          <w:tcPr>
            <w:tcW w:type="dxa" w:w="1089"/>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Diagnostic P1</w:t>
            </w:r>
          </w:p>
        </w:tc>
        <w:tc>
          <w:tcPr>
            <w:tcW w:type="dxa" w:w="1089"/>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Diagnostic P2</w:t>
            </w:r>
          </w:p>
        </w:tc>
      </w:tr>
      <w:tr>
        <w:trPr>
          <w:cantSplit/>
        </w:trPr>
        <w:tc>
          <w:tcPr>
            <w:tcW w:type="dxa" w:w="2867"/>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FR (Fondul de rulment = CPERM - AI)</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-795.784,07</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-934.447,94</w:t>
            </w:r>
          </w:p>
        </w:tc>
        <w:tc>
          <w:tcPr>
            <w:tcW w:type="dxa" w:w="1319"/>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-951.628,52</w:t>
            </w:r>
          </w:p>
        </w:tc>
        <w:tc>
          <w:tcPr>
            <w:tcW w:type="dxa" w:w="1089"/>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DFTL</w:t>
            </w:r>
          </w:p>
        </w:tc>
        <w:tc>
          <w:tcPr>
            <w:tcW w:type="dxa" w:w="1089"/>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DFTL</w:t>
            </w:r>
          </w:p>
        </w:tc>
        <w:tc>
          <w:tcPr>
            <w:tcW w:type="dxa" w:w="1089"/>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DFTL</w:t>
            </w:r>
          </w:p>
        </w:tc>
      </w:tr>
      <w:tr>
        <w:trPr>
          <w:cantSplit/>
        </w:trPr>
        <w:tc>
          <w:tcPr>
            <w:tcW w:type="dxa" w:w="2867"/>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NFR (Necesarul de fond de rulment = AC fără disp. - DTS)</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-955.109,79</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-1.241.361,10</w:t>
            </w:r>
          </w:p>
        </w:tc>
        <w:tc>
          <w:tcPr>
            <w:tcW w:type="dxa" w:w="1319"/>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-1.211.345,29</w:t>
            </w:r>
          </w:p>
        </w:tc>
        <w:tc>
          <w:tcPr>
            <w:tcW w:type="dxa" w:w="1089"/>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EFTS</w:t>
            </w:r>
          </w:p>
        </w:tc>
        <w:tc>
          <w:tcPr>
            <w:tcW w:type="dxa" w:w="1089"/>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EFTS</w:t>
            </w:r>
          </w:p>
        </w:tc>
        <w:tc>
          <w:tcPr>
            <w:tcW w:type="dxa" w:w="1089"/>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EFTS</w:t>
            </w:r>
          </w:p>
        </w:tc>
      </w:tr>
      <w:tr>
        <w:trPr>
          <w:cantSplit/>
        </w:trPr>
        <w:tc>
          <w:tcPr>
            <w:tcW w:type="dxa" w:w="2867"/>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TN (Trezoreria netă = FR - NFR)</w:t>
            </w:r>
          </w:p>
        </w:tc>
        <w:tc>
          <w:tcPr>
            <w:tcW w:type="dxa" w:w="1319"/>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159.325,72</w:t>
            </w:r>
          </w:p>
        </w:tc>
        <w:tc>
          <w:tcPr>
            <w:tcW w:type="dxa" w:w="1319"/>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306.913,16</w:t>
            </w:r>
          </w:p>
        </w:tc>
        <w:tc>
          <w:tcPr>
            <w:tcW w:type="dxa" w:w="1319"/>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259.716,77</w:t>
            </w:r>
          </w:p>
        </w:tc>
        <w:tc>
          <w:tcPr>
            <w:tcW w:type="dxa" w:w="1089"/>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EFC</w:t>
            </w:r>
          </w:p>
        </w:tc>
        <w:tc>
          <w:tcPr>
            <w:tcW w:type="dxa" w:w="1089"/>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EFC</w:t>
            </w:r>
          </w:p>
        </w:tc>
        <w:tc>
          <w:tcPr>
            <w:tcW w:type="dxa" w:w="1089"/>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EFC</w:t>
            </w:r>
          </w:p>
        </w:tc>
      </w:tr>
    </w:tbl>
    <w:p>
      <w:pPr>
        <w:spacing w:before="20" w:after="50" w:line="269" w:lineRule="auto"/>
        <w:jc w:val="both"/>
      </w:pPr>
      <w:r>
        <w:rPr>
          <w:rFonts w:ascii="Calibri" w:hAnsi="Calibri" w:eastAsia="Calibri"/>
          <w:b w:val="0"/>
          <w:i w:val="0"/>
          <w:color w:val="1E293B"/>
          <w:sz w:val="18"/>
        </w:rPr>
        <w:t>Concluzie privind echilibrul static: În perioada de raportare 2, tabloul de încadrare indică DFTL pe termen lung (FR = -951.628,52 lei), EFTS pe termen scurt (NFR = -1.211.345,29 lei) și EFC la nivelul trezoreriei curente (TN = 259.716,77 lei).</w:t>
      </w:r>
    </w:p>
    <w:p>
      <w:pPr>
        <w:keepNext/>
        <w:spacing w:before="130" w:after="50"/>
        <w:pBdr>
          <w:bottom w:val="single" w:sz="8" w:space="2" w:color="1B365D"/>
        </w:pBdr>
      </w:pPr>
      <w:r>
        <w:rPr>
          <w:rFonts w:ascii="Calibri" w:hAnsi="Calibri" w:eastAsia="Calibri"/>
          <w:b/>
          <w:i w:val="0"/>
          <w:color w:val="1B365D"/>
          <w:sz w:val="21"/>
        </w:rPr>
        <w:t>12. Diagnosticul Echilibrului Financiar Dinamic (ΔFR, ΔNFR, ΔTN)</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82"/>
        <w:gridCol w:w="1682"/>
        <w:gridCol w:w="1682"/>
        <w:gridCol w:w="1682"/>
        <w:gridCol w:w="1682"/>
        <w:gridCol w:w="1682"/>
      </w:tblGrid>
      <w:tr>
        <w:trPr>
          <w:tblHeader/>
          <w:cantSplit/>
        </w:trPr>
        <w:tc>
          <w:tcPr>
            <w:tcW w:type="dxa" w:w="2982"/>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Indicator Dinamic (Fluxul Perioadei)</w:t>
            </w:r>
          </w:p>
        </w:tc>
        <w:tc>
          <w:tcPr>
            <w:tcW w:type="dxa" w:w="1491"/>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Modificare P1 - P0 (lei)</w:t>
            </w:r>
          </w:p>
        </w:tc>
        <w:tc>
          <w:tcPr>
            <w:tcW w:type="dxa" w:w="1261"/>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Diagnostic P1 - P0</w:t>
            </w:r>
          </w:p>
        </w:tc>
        <w:tc>
          <w:tcPr>
            <w:tcW w:type="dxa" w:w="1491"/>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Modificare P2 - P1 (lei)</w:t>
            </w:r>
          </w:p>
        </w:tc>
        <w:tc>
          <w:tcPr>
            <w:tcW w:type="dxa" w:w="1261"/>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Diagnostic P2 - P1</w:t>
            </w:r>
          </w:p>
        </w:tc>
        <w:tc>
          <w:tcPr>
            <w:tcW w:type="dxa" w:w="1605"/>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Modificare Totală P2 - P0 (lei)</w:t>
            </w:r>
          </w:p>
        </w:tc>
      </w:tr>
      <w:tr>
        <w:trPr>
          <w:cantSplit/>
        </w:trPr>
        <w:tc>
          <w:tcPr>
            <w:tcW w:type="dxa" w:w="298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ΔFR (Modificarea Fondului de rulment)</w:t>
            </w:r>
          </w:p>
        </w:tc>
        <w:tc>
          <w:tcPr>
            <w:tcW w:type="dxa" w:w="149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-138.663,87</w:t>
            </w:r>
          </w:p>
        </w:tc>
        <w:tc>
          <w:tcPr>
            <w:tcW w:type="dxa" w:w="1261"/>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DFTL</w:t>
            </w:r>
          </w:p>
        </w:tc>
        <w:tc>
          <w:tcPr>
            <w:tcW w:type="dxa" w:w="149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-17.180,58</w:t>
            </w:r>
          </w:p>
        </w:tc>
        <w:tc>
          <w:tcPr>
            <w:tcW w:type="dxa" w:w="1261"/>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DFTL</w:t>
            </w:r>
          </w:p>
        </w:tc>
        <w:tc>
          <w:tcPr>
            <w:tcW w:type="dxa" w:w="160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-155.844,45</w:t>
            </w:r>
          </w:p>
        </w:tc>
      </w:tr>
      <w:tr>
        <w:trPr>
          <w:cantSplit/>
        </w:trPr>
        <w:tc>
          <w:tcPr>
            <w:tcW w:type="dxa" w:w="298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ΔNFR (Modificarea Necesarului de fond de rulment)</w:t>
            </w:r>
          </w:p>
        </w:tc>
        <w:tc>
          <w:tcPr>
            <w:tcW w:type="dxa" w:w="149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-286.251,31</w:t>
            </w:r>
          </w:p>
        </w:tc>
        <w:tc>
          <w:tcPr>
            <w:tcW w:type="dxa" w:w="1261"/>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EFTS</w:t>
            </w:r>
          </w:p>
        </w:tc>
        <w:tc>
          <w:tcPr>
            <w:tcW w:type="dxa" w:w="149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30.015,81</w:t>
            </w:r>
          </w:p>
        </w:tc>
        <w:tc>
          <w:tcPr>
            <w:tcW w:type="dxa" w:w="1261"/>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NFCE</w:t>
            </w:r>
          </w:p>
        </w:tc>
        <w:tc>
          <w:tcPr>
            <w:tcW w:type="dxa" w:w="160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-256.235,50</w:t>
            </w:r>
          </w:p>
        </w:tc>
      </w:tr>
      <w:tr>
        <w:trPr>
          <w:cantSplit/>
        </w:trPr>
        <w:tc>
          <w:tcPr>
            <w:tcW w:type="dxa" w:w="2982"/>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ΔTN = ΔFR - ΔNFR (Modificarea Trezoreriei nete)</w:t>
            </w:r>
          </w:p>
        </w:tc>
        <w:tc>
          <w:tcPr>
            <w:tcW w:type="dxa" w:w="149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147.587,44</w:t>
            </w:r>
          </w:p>
        </w:tc>
        <w:tc>
          <w:tcPr>
            <w:tcW w:type="dxa" w:w="1261"/>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EFC</w:t>
            </w:r>
          </w:p>
        </w:tc>
        <w:tc>
          <w:tcPr>
            <w:tcW w:type="dxa" w:w="1491"/>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-47.196,39</w:t>
            </w:r>
          </w:p>
        </w:tc>
        <w:tc>
          <w:tcPr>
            <w:tcW w:type="dxa" w:w="1261"/>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DFT</w:t>
            </w:r>
          </w:p>
        </w:tc>
        <w:tc>
          <w:tcPr>
            <w:tcW w:type="dxa" w:w="160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100.391,05</w:t>
            </w:r>
          </w:p>
        </w:tc>
      </w:tr>
    </w:tbl>
    <w:p>
      <w:pPr>
        <w:spacing w:before="20" w:after="50" w:line="269" w:lineRule="auto"/>
        <w:jc w:val="both"/>
      </w:pPr>
      <w:r>
        <w:rPr>
          <w:rFonts w:ascii="Calibri" w:hAnsi="Calibri" w:eastAsia="Calibri"/>
          <w:b w:val="0"/>
          <w:i w:val="0"/>
          <w:color w:val="1E293B"/>
          <w:sz w:val="18"/>
        </w:rPr>
        <w:t>Analiza variațiilor de echilibru arată că în primul subinterval (P1 - P0) fluxul net de trezorerie a fost ΔTN = 147.587,44 lei (pe fondul ΔFR = -138.663,87 lei și ΔNFR = -286.251,31 lei), în timp ce în al doilea subinterval (P2 - P1) s-a înregistrat ΔFR = -17.180,58 lei (DFTL), ΔNFR = 30.015,81 lei (NFCE) și ΔTN = -47.196,39 lei (DFT). Cumulat între perioada 0 și perioada 2, ΔFR este de -155.844,45 lei, ΔNFR de -256.235,50 lei, iar ΔTN de 100.391,05 lei.</w:t>
      </w:r>
    </w:p>
    <w:tbl>
      <w:tblPr>
        <w:tblW w:type="pct" w:w="5000"/>
        <w:jc w:val="center"/>
        <w:tblLook w:firstColumn="1" w:firstRow="1" w:lastColumn="0" w:lastRow="0" w:noHBand="0" w:noVBand="1" w:val="04A0"/>
        <w:tblBorders>
          <w:top w:val="single" w:sz="4" w:space="0" w:color="1B365D"/>
          <w:left w:val="single" w:sz="4" w:space="0" w:color="1B365D"/>
          <w:bottom w:val="single" w:sz="4" w:space="0" w:color="1B365D"/>
          <w:right w:val="single" w:sz="4" w:space="0" w:color="1B365D"/>
          <w:insideH w:val="single" w:sz="4" w:space="0" w:color="1B365D"/>
          <w:insideV w:val="single" w:sz="4" w:space="0" w:color="1B365D"/>
        </w:tblBorders>
      </w:tblPr>
      <w:tblGrid>
        <w:gridCol w:w="10092"/>
      </w:tblGrid>
      <w:tr>
        <w:tc>
          <w:tcPr>
            <w:tcW w:type="dxa" w:w="10092"/>
            <w:shd w:val="clear" w:color="auto" w:fill="1B365D"/>
            <w:tcMar>
              <w:top w:w="55" w:type="dxa"/>
              <w:start w:w="100" w:type="dxa"/>
              <w:bottom w:w="55" w:type="dxa"/>
              <w:end w:w="100" w:type="dxa"/>
            </w:tcMar>
          </w:tcPr>
          <w:p>
            <w:pPr>
              <w:spacing w:before="0" w:after="0" w:line="259" w:lineRule="auto"/>
              <w:jc w:val="left"/>
            </w:pPr>
            <w:r>
              <w:rPr>
                <w:rFonts w:ascii="Calibri" w:hAnsi="Calibri" w:eastAsia="Calibri"/>
                <w:b/>
                <w:i w:val="0"/>
                <w:color w:val="93C5FD"/>
                <w:sz w:val="17"/>
              </w:rPr>
              <w:t xml:space="preserve">PARTEA A IV-A  •  CAPITOLELE 13 – 14  —  </w:t>
            </w:r>
            <w:r>
              <w:rPr>
                <w:rFonts w:ascii="Calibri" w:hAnsi="Calibri" w:eastAsia="Calibri"/>
                <w:b/>
                <w:i w:val="0"/>
                <w:color w:val="FFFFFF"/>
                <w:sz w:val="20"/>
              </w:rPr>
              <w:t>ANALIZA PERFORMANȚELOR FINANCIARE: CASCADA SIG ȘI CAPACITATEA DE AUTOFINANȚARE</w:t>
              <w:br/>
            </w:r>
            <w:r>
              <w:rPr>
                <w:rFonts w:ascii="Calibri" w:hAnsi="Calibri" w:eastAsia="Calibri"/>
                <w:b w:val="0"/>
                <w:i/>
                <w:color w:val="E2E8F0"/>
                <w:sz w:val="16"/>
              </w:rPr>
              <w:t>Soldurile Intermediare de Gestiune (MC, PE, VA, EBE, RE, RC, RN) și Capacitatea de Autofinanțare (Metoda Deductivă = Metoda Aditivă).</w:t>
            </w:r>
          </w:p>
        </w:tc>
      </w:tr>
    </w:tbl>
    <w:p>
      <w:pPr>
        <w:keepNext/>
        <w:spacing w:before="130" w:after="50"/>
        <w:pBdr>
          <w:bottom w:val="single" w:sz="8" w:space="2" w:color="1B365D"/>
        </w:pBdr>
      </w:pPr>
      <w:r>
        <w:rPr>
          <w:rFonts w:ascii="Calibri" w:hAnsi="Calibri" w:eastAsia="Calibri"/>
          <w:b/>
          <w:i w:val="0"/>
          <w:color w:val="1B365D"/>
          <w:sz w:val="21"/>
        </w:rPr>
        <w:t>13. Analiza Soldurilor Intermediare de Gestiune (Cascada SIG)</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2948"/>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Element / Sold Intermediar de Gestiune</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935"/>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Ritm P2/P1</w:t>
            </w:r>
          </w:p>
        </w:tc>
        <w:tc>
          <w:tcPr>
            <w:tcW w:type="dxa" w:w="935"/>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Ritm mediu</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Vânzări de mărfuri</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180.411,12</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58.692,05</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63.687,22</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-121.719,07</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4.995,17</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+8,51%</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59,41%</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Costul mărfurilor vândute</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106.861,84</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34.764,71</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36.441,54</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-72.097,13</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1.676,83</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+4,82%</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58,40%</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Marja comercială</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73.549,28</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23.927,34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27.245,68</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-49.621,94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3.318,34</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+13,87%</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60,86%</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Producția vândută (netă de reduceri comerciale)</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5.146.009,57</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1.674.119,89</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1.862.049,67</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-3.471.889,68</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187.929,78</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+11,23%</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60,15%</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Producția imobilizată</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22.015,90</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7.162,30</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7.162,30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-14.853,60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57,04%</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Producția exercițiului</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5.168.025,47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1.681.282,19</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1.869.211,97</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-3.486.743,28</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187.929,78</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+11,18%</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60,14%</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Marja comercială</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73.549,28</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23.927,34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27.245,68</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-49.621,94</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3.318,34</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+13,87%</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60,86%</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Producția exercițiului</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5.168.025,47</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1.681.282,19</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1.869.211,97</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-3.486.743,28</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187.929,78</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+11,18%</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60,14%</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Consumuri provenite de la terți</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3.042.102,92</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989.668,78</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1.118.912,65</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-2.052.434,14</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129.243,87</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+13,06%</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60,65%</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Valoarea adăugată (1)</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2.199.471,83</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715.540,75</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777.545,00</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-1.483.931,08</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62.004,25</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+8,67%</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59,46%</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Impozite, taxe și vărsăminte asimilate</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10.467,66</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3.405,38</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3.405,38</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-7.062,28</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57,04%</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Cheltuieli cu personalul</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1.532.657,16</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498.610,00</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552.037,00</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-1.034.047,16</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53.427,00</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+10,72%</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60,02%</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Excedent brut de exploatare / Insuficiență brută (2)</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656.347,01</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213.525,37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222.102,62</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-442.821,64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8.577,25</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+4,02%</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58,17%</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Alte venituri din exploatare (subvenții investiții și proiecte ct. 758)</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957,45</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311,48</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311,48</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-645,97</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57,04%</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Amortizări și ajustări pentru depreciere de exploatare calculate</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198.287,74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64.507,74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74.082,28</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-133.780,00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9.574,54</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+14,84%</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61,12%</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Alte cheltuieli de exploatare</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13.770,06</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4.479,73</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5.815,31</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-9.290,33</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1.335,58</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+29,81%</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64,99%</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Rezultatul exploatării (3)</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445.246,66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144.849,38</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142.516,51</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-300.397,28</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-2.332,87</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-1,61%</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56,58%</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Venituri financiare</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3.849,55</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1.252,35</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1.258,31</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-2.597,20</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5,96</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+0,48%</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57,17%</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Cheltuieli financiare</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107.283,54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34.901,90</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39.337,89</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-72.381,64</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4.435,99</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+12,71%</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60,55%</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Rezultatul curent / brut (4)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341.812,67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111.199,83</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104.436,93</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-230.612,84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-6.762,90</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-6,08%</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55,28%</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Impozitul pe profit</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16.184,00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16.184,00</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Rezultatul net al exercițiului (5)</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341.812,67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111.199,83</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88.252,93</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-230.612,84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-22.946,90</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-20,64%</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50,81%</w:t>
            </w:r>
          </w:p>
        </w:tc>
      </w:tr>
    </w:tbl>
    <w:p>
      <w:pPr>
        <w:spacing w:before="20" w:after="50" w:line="269" w:lineRule="auto"/>
        <w:jc w:val="both"/>
      </w:pPr>
      <w:r>
        <w:rPr>
          <w:rFonts w:ascii="Calibri" w:hAnsi="Calibri" w:eastAsia="Calibri"/>
          <w:b w:val="0"/>
          <w:i w:val="0"/>
          <w:color w:val="1E293B"/>
          <w:sz w:val="18"/>
        </w:rPr>
        <w:t>Interpretarea cascadei SIG: Analiza treptelor de acumulare arată că baza generatoare de valoare în perioada de raportare 2 îmbină Producția exercițiului (1.869.211,97 lei) cu Marja comercială (27.245,68 lei); după scăderea consumurilor intermediare provenite de la terți (1.118.912,65 lei în perioada de raportare 2), evoluția pentru Valoarea adăugată (VA) marchează o diminuare în prima parte a intervalului (2.199.471,83 lei -&gt; 715.540,75 lei), atenuată de creșterea din perioada de raportare 2 până la 777.545,00 lei, în timp ce evoluția pentru Excedentul brut al exploatării (EBE) marchează o diminuare în prima parte a intervalului (656.347,01 lei -&gt; 213.525,37 lei), atenuată de creșterea din perioada de raportare 2 până la 222.102,62 lei. După deducerea amortizărilor și integrarea fluxurilor financiare și fiscale în perioada de raportare 2, cascada se închide cu un Rezultat al exploatării de 142.516,51 lei, un Rezultat curent de 104.436,93 lei și un Profit net de 88.252,93 lei.</w:t>
      </w:r>
    </w:p>
    <w:p>
      <w:pPr>
        <w:keepNext/>
        <w:spacing w:before="130" w:after="50"/>
        <w:pBdr>
          <w:bottom w:val="single" w:sz="8" w:space="2" w:color="1B365D"/>
        </w:pBdr>
      </w:pPr>
      <w:r>
        <w:rPr>
          <w:rFonts w:ascii="Calibri" w:hAnsi="Calibri" w:eastAsia="Calibri"/>
          <w:b/>
          <w:i w:val="0"/>
          <w:color w:val="1B365D"/>
          <w:sz w:val="21"/>
        </w:rPr>
        <w:t>14. Capacitatea de Autofinanțare (CAF — Metoda Deductivă și Metoda Aditivă)</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2948"/>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Componentă de Calcul a Capacității de Autofinanțare (lei)</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935"/>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c>
          <w:tcPr>
            <w:tcW w:type="dxa" w:w="935"/>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Ritm mediu</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Excedentul / Insuficiența brută de exploatare (EBE)</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656.347,01</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213.525,37</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222.102,62</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-442.821,64</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8.577,25</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104,02%</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58,17%</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Alte venituri monetare din exploatare (ct. 758)</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957,45</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311,48</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311,48</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-645,97</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100,00%</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57,04%</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Alte cheltuieli monetare de exploatare (ct. 658)</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13.770,06</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4.479,73</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5.815,31</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-9.290,33</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1.335,58</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129,81%</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64,99%</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Venituri financiare monetare (ct. 765 + 766 + 768)</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3.849,55</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1.252,35</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1.258,31</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-2.597,20</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5,96</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100,48%</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57,17%</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Cheltuieli financiare monetare (ct. 665 + 666)</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107.283,54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34.901,90</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39.337,89</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-72.381,64</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4.435,99</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112,71%</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60,55%</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Impozitul pe profit (ct. 691)</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16.184,00</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16.184,00</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CAPACITATEA DE AUTOFINANȚARE — METODA DEDUCTIVĂ</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540.100,41</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175.707,57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162.335,21</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-364.392,84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-13.372,36</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92,39%</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54,82%</w:t>
            </w:r>
          </w:p>
        </w:tc>
      </w:tr>
      <w:tr>
        <w:trPr>
          <w:cantSplit/>
        </w:trPr>
        <w:tc>
          <w:tcPr>
            <w:tcW w:type="dxa" w:w="294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Rezultatul net al exercițiului (Profit net)</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341.812,67</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111.199,83</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88.252,93</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-230.612,84</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-22.946,90</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79,36%</w:t>
            </w:r>
          </w:p>
        </w:tc>
        <w:tc>
          <w:tcPr>
            <w:tcW w:type="dxa" w:w="935"/>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50,81%</w:t>
            </w:r>
          </w:p>
        </w:tc>
      </w:tr>
      <w:tr>
        <w:trPr>
          <w:cantSplit/>
        </w:trPr>
        <w:tc>
          <w:tcPr>
            <w:tcW w:type="dxa" w:w="294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Cheltuieli calculate cu amortizarea imobilizărilor (ct. 6811)</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198.287,74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64.507,74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74.082,28</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-133.780,00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9.574,54</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114,84%</w:t>
            </w:r>
          </w:p>
        </w:tc>
        <w:tc>
          <w:tcPr>
            <w:tcW w:type="dxa" w:w="935"/>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61,12%</w:t>
            </w:r>
          </w:p>
        </w:tc>
      </w:tr>
      <w:tr>
        <w:trPr>
          <w:cantSplit/>
        </w:trPr>
        <w:tc>
          <w:tcPr>
            <w:tcW w:type="dxa" w:w="294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CAPACITATEA DE AUTOFINANȚARE — METODA ADITIVĂ</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540.100,41</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175.707,57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162.335,21</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-364.392,84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-13.372,36</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92,39%</w:t>
            </w:r>
          </w:p>
        </w:tc>
        <w:tc>
          <w:tcPr>
            <w:tcW w:type="dxa" w:w="935"/>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54,82%</w:t>
            </w:r>
          </w:p>
        </w:tc>
      </w:tr>
    </w:tbl>
    <w:p>
      <w:pPr>
        <w:spacing w:before="20" w:after="50" w:line="269" w:lineRule="auto"/>
        <w:jc w:val="both"/>
      </w:pPr>
      <w:r>
        <w:rPr>
          <w:rFonts w:ascii="Calibri" w:hAnsi="Calibri" w:eastAsia="Calibri"/>
          <w:b w:val="0"/>
          <w:i w:val="0"/>
          <w:color w:val="1E293B"/>
          <w:sz w:val="18"/>
        </w:rPr>
        <w:t>Sinteză CAF: Atât metoda deductivă (pornind de la EBE), cât și metoda aditivă (pornind de la profitul net de 88.252,93 lei plus amortizarea nemonetară de 74.082,28 lei în perioada de raportare 2) conduc la rezultate identice; pe ansamblul intervalului, pe ansamblul celor trei perioade de raportare, Capacitatea de autofinanțare (CAF) se reduce progresiv cu -69,94%, trecând de la 540.100,41 lei (perioada 0) la 175.707,57 lei (perioada 1) și 162.335,21 lei (perioada 2) (ritm mediu 54,82%), generând un surplus monetar intern robust pentru finanțarea investițiilor și rambursarea datoriilor.</w:t>
      </w:r>
    </w:p>
    <w:tbl>
      <w:tblPr>
        <w:tblW w:type="pct" w:w="5000"/>
        <w:jc w:val="center"/>
        <w:tblLook w:firstColumn="1" w:firstRow="1" w:lastColumn="0" w:lastRow="0" w:noHBand="0" w:noVBand="1" w:val="04A0"/>
        <w:tblBorders>
          <w:top w:val="single" w:sz="4" w:space="0" w:color="1B365D"/>
          <w:left w:val="single" w:sz="4" w:space="0" w:color="1B365D"/>
          <w:bottom w:val="single" w:sz="4" w:space="0" w:color="1B365D"/>
          <w:right w:val="single" w:sz="4" w:space="0" w:color="1B365D"/>
          <w:insideH w:val="single" w:sz="4" w:space="0" w:color="1B365D"/>
          <w:insideV w:val="single" w:sz="4" w:space="0" w:color="1B365D"/>
        </w:tblBorders>
      </w:tblPr>
      <w:tblGrid>
        <w:gridCol w:w="10092"/>
      </w:tblGrid>
      <w:tr>
        <w:tc>
          <w:tcPr>
            <w:tcW w:type="dxa" w:w="10092"/>
            <w:shd w:val="clear" w:color="auto" w:fill="1B365D"/>
            <w:tcMar>
              <w:top w:w="55" w:type="dxa"/>
              <w:start w:w="100" w:type="dxa"/>
              <w:bottom w:w="55" w:type="dxa"/>
              <w:end w:w="100" w:type="dxa"/>
            </w:tcMar>
          </w:tcPr>
          <w:p>
            <w:pPr>
              <w:spacing w:before="0" w:after="0" w:line="259" w:lineRule="auto"/>
              <w:jc w:val="left"/>
            </w:pPr>
            <w:r>
              <w:rPr>
                <w:rFonts w:ascii="Calibri" w:hAnsi="Calibri" w:eastAsia="Calibri"/>
                <w:b/>
                <w:i w:val="0"/>
                <w:color w:val="93C5FD"/>
                <w:sz w:val="17"/>
              </w:rPr>
              <w:t xml:space="preserve">PARTEA A V-A  •  CAPITOLELE 15 – 17  —  </w:t>
            </w:r>
            <w:r>
              <w:rPr>
                <w:rFonts w:ascii="Calibri" w:hAnsi="Calibri" w:eastAsia="Calibri"/>
                <w:b/>
                <w:i w:val="0"/>
                <w:color w:val="FFFFFF"/>
                <w:sz w:val="20"/>
              </w:rPr>
              <w:t>CAPACITATEA DE ÎNDATORARE, EFECTUL DE LEVIER ȘI RISCUL DE INSOLVENȚĂ</w:t>
              <w:br/>
            </w:r>
            <w:r>
              <w:rPr>
                <w:rFonts w:ascii="Calibri" w:hAnsi="Calibri" w:eastAsia="Calibri"/>
                <w:b w:val="0"/>
                <w:i/>
                <w:color w:val="E2E8F0"/>
                <w:sz w:val="16"/>
              </w:rPr>
              <w:t>Marja de creditare bancară (CIG, CIT), Efectul de Levier Financiar (Re vs. Rd) și Modelele de Scoring Altman Z &amp; Conan-Holder.</w:t>
            </w:r>
          </w:p>
        </w:tc>
      </w:tr>
    </w:tbl>
    <w:p>
      <w:pPr>
        <w:keepNext/>
        <w:spacing w:before="130" w:after="50"/>
        <w:pBdr>
          <w:bottom w:val="single" w:sz="8" w:space="2" w:color="1B365D"/>
        </w:pBdr>
      </w:pPr>
      <w:r>
        <w:rPr>
          <w:rFonts w:ascii="Calibri" w:hAnsi="Calibri" w:eastAsia="Calibri"/>
          <w:b/>
          <w:i w:val="0"/>
          <w:color w:val="1B365D"/>
          <w:sz w:val="21"/>
        </w:rPr>
        <w:t>15. Analiza Capacității de Îndatorare Bancară (CIG 1, CIG 2, CIT 1, CIT 2)</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2395"/>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Coeficient și Plafon Bancar</w:t>
            </w:r>
          </w:p>
        </w:tc>
        <w:tc>
          <w:tcPr>
            <w:tcW w:type="dxa" w:w="2395"/>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Relația de Calcul</w:t>
            </w:r>
          </w:p>
        </w:tc>
        <w:tc>
          <w:tcPr>
            <w:tcW w:type="dxa" w:w="1083"/>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83"/>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83"/>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68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Normă P0</w:t>
            </w:r>
          </w:p>
        </w:tc>
        <w:tc>
          <w:tcPr>
            <w:tcW w:type="dxa" w:w="68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Normă P1</w:t>
            </w:r>
          </w:p>
        </w:tc>
        <w:tc>
          <w:tcPr>
            <w:tcW w:type="dxa" w:w="68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Normă P2</w:t>
            </w:r>
          </w:p>
        </w:tc>
      </w:tr>
      <w:tr>
        <w:trPr>
          <w:cantSplit/>
        </w:trPr>
        <w:tc>
          <w:tcPr>
            <w:tcW w:type="dxa" w:w="2395"/>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CIG 1 &lt;= 0,66 (Bilanț Financiar)</w:t>
            </w:r>
          </w:p>
        </w:tc>
        <w:tc>
          <w:tcPr>
            <w:tcW w:type="dxa" w:w="239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Datorii totale / Pasiv total</w:t>
            </w:r>
          </w:p>
        </w:tc>
        <w:tc>
          <w:tcPr>
            <w:tcW w:type="dxa" w:w="1083"/>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0,8123</w:t>
            </w:r>
          </w:p>
        </w:tc>
        <w:tc>
          <w:tcPr>
            <w:tcW w:type="dxa" w:w="1083"/>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0,8776</w:t>
            </w:r>
          </w:p>
        </w:tc>
        <w:tc>
          <w:tcPr>
            <w:tcW w:type="dxa" w:w="1083"/>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0,8880</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r>
      <w:tr>
        <w:trPr>
          <w:cantSplit/>
        </w:trPr>
        <w:tc>
          <w:tcPr>
            <w:tcW w:type="dxa" w:w="2395"/>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CIG 1 efectiv &lt;= 0,66 (fără ct. 472+475)</w:t>
            </w:r>
          </w:p>
        </w:tc>
        <w:tc>
          <w:tcPr>
            <w:tcW w:type="dxa" w:w="239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Datorii efective / Pasiv total</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0,8123</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0,8776</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0,8880</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r>
      <w:tr>
        <w:trPr>
          <w:cantSplit/>
        </w:trPr>
        <w:tc>
          <w:tcPr>
            <w:tcW w:type="dxa" w:w="2395"/>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CIG 2 &lt;= 2,00 (Bilanț Financiar)</w:t>
            </w:r>
          </w:p>
        </w:tc>
        <w:tc>
          <w:tcPr>
            <w:tcW w:type="dxa" w:w="2395"/>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Datorii totale / Capitaluri proprii</w:t>
            </w:r>
          </w:p>
        </w:tc>
        <w:tc>
          <w:tcPr>
            <w:tcW w:type="dxa" w:w="1083"/>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4,3283</w:t>
            </w:r>
          </w:p>
        </w:tc>
        <w:tc>
          <w:tcPr>
            <w:tcW w:type="dxa" w:w="1083"/>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7,1711</w:t>
            </w:r>
          </w:p>
        </w:tc>
        <w:tc>
          <w:tcPr>
            <w:tcW w:type="dxa" w:w="1083"/>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7,9287</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r>
      <w:tr>
        <w:trPr>
          <w:cantSplit/>
        </w:trPr>
        <w:tc>
          <w:tcPr>
            <w:tcW w:type="dxa" w:w="2395"/>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CIG 2 efectiv &lt;= 2,00 (fără ct. 472+475)</w:t>
            </w:r>
          </w:p>
        </w:tc>
        <w:tc>
          <w:tcPr>
            <w:tcW w:type="dxa" w:w="239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Datorii efective / Capitaluri proprii</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4,3283</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7,1711</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7,9287</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c>
          <w:tcPr>
            <w:tcW w:type="dxa" w:w="684"/>
            <w:shd w:val="clear" w:color="auto" w:fill="FEE2E2"/>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991B1B"/>
                <w:sz w:val="15"/>
              </w:rPr>
              <w:t>Nu</w:t>
            </w:r>
          </w:p>
        </w:tc>
      </w:tr>
      <w:tr>
        <w:trPr>
          <w:cantSplit/>
        </w:trPr>
        <w:tc>
          <w:tcPr>
            <w:tcW w:type="dxa" w:w="2395"/>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CIT 1 &lt;= 0,50 (Îndatorare la termen)</w:t>
            </w:r>
          </w:p>
        </w:tc>
        <w:tc>
          <w:tcPr>
            <w:tcW w:type="dxa" w:w="239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Datorii pe termen lung / Capitaluri permanente</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0,1666</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0,1649</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0,1678</w:t>
            </w:r>
          </w:p>
        </w:tc>
        <w:tc>
          <w:tcPr>
            <w:tcW w:type="dxa" w:w="684"/>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Da</w:t>
            </w:r>
          </w:p>
        </w:tc>
        <w:tc>
          <w:tcPr>
            <w:tcW w:type="dxa" w:w="684"/>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Da</w:t>
            </w:r>
          </w:p>
        </w:tc>
        <w:tc>
          <w:tcPr>
            <w:tcW w:type="dxa" w:w="684"/>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Da</w:t>
            </w:r>
          </w:p>
        </w:tc>
      </w:tr>
      <w:tr>
        <w:trPr>
          <w:cantSplit/>
        </w:trPr>
        <w:tc>
          <w:tcPr>
            <w:tcW w:type="dxa" w:w="2395"/>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CIT 2 &lt;= 1,00 (Îndatorare la termen)</w:t>
            </w:r>
          </w:p>
        </w:tc>
        <w:tc>
          <w:tcPr>
            <w:tcW w:type="dxa" w:w="2395"/>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Datorii pe termen lung / Capitaluri proprii</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0,1999</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0,1975</w:t>
            </w:r>
          </w:p>
        </w:tc>
        <w:tc>
          <w:tcPr>
            <w:tcW w:type="dxa" w:w="1083"/>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0,2016</w:t>
            </w:r>
          </w:p>
        </w:tc>
        <w:tc>
          <w:tcPr>
            <w:tcW w:type="dxa" w:w="684"/>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Da</w:t>
            </w:r>
          </w:p>
        </w:tc>
        <w:tc>
          <w:tcPr>
            <w:tcW w:type="dxa" w:w="684"/>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Da</w:t>
            </w:r>
          </w:p>
        </w:tc>
        <w:tc>
          <w:tcPr>
            <w:tcW w:type="dxa" w:w="684"/>
            <w:shd w:val="clear" w:color="auto" w:fill="DCFCE7"/>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66534"/>
                <w:sz w:val="15"/>
              </w:rPr>
              <w:t>Da</w:t>
            </w:r>
          </w:p>
        </w:tc>
      </w:tr>
    </w:tbl>
    <w:p>
      <w:pPr>
        <w:spacing w:before="20" w:after="50" w:line="269" w:lineRule="auto"/>
        <w:jc w:val="both"/>
      </w:pPr>
      <w:r>
        <w:rPr>
          <w:rFonts w:ascii="Calibri" w:hAnsi="Calibri" w:eastAsia="Calibri"/>
          <w:b w:val="0"/>
          <w:i w:val="0"/>
          <w:color w:val="1E293B"/>
          <w:sz w:val="18"/>
        </w:rPr>
        <w:t>Verdict bancar: În perioada de raportare 2, coeficienții de îndatorare la termen înregistrează nivelurile CIT 1 = 0,1678 (plafon 0,50) și CIT 2 = 0,2016 (plafon 1,00), în timp ce coeficienții îndatorării globale efective sunt CIG 1 = 0,8880 (88,80%, plafon 66%) și CIG 2 = 7,9287 (plafon 2,00).</w:t>
      </w:r>
    </w:p>
    <w:p>
      <w:pPr>
        <w:keepNext/>
        <w:spacing w:before="130" w:after="50"/>
        <w:pBdr>
          <w:bottom w:val="single" w:sz="8" w:space="2" w:color="1B365D"/>
        </w:pBdr>
      </w:pPr>
      <w:r>
        <w:rPr>
          <w:rFonts w:ascii="Calibri" w:hAnsi="Calibri" w:eastAsia="Calibri"/>
          <w:b/>
          <w:i w:val="0"/>
          <w:color w:val="1B365D"/>
          <w:sz w:val="21"/>
        </w:rPr>
        <w:t>16. Analiza Efectului de Levier Financiar (Efectul de Îndatorare)</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82"/>
        <w:gridCol w:w="1682"/>
        <w:gridCol w:w="1682"/>
        <w:gridCol w:w="1682"/>
        <w:gridCol w:w="1682"/>
        <w:gridCol w:w="1682"/>
      </w:tblGrid>
      <w:tr>
        <w:trPr>
          <w:tblHeader/>
          <w:cantSplit/>
        </w:trPr>
        <w:tc>
          <w:tcPr>
            <w:tcW w:type="dxa" w:w="510"/>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Nr.</w:t>
            </w:r>
          </w:p>
        </w:tc>
        <w:tc>
          <w:tcPr>
            <w:tcW w:type="dxa" w:w="4082"/>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Elemente Efectul de Levier Financiar</w:t>
            </w:r>
          </w:p>
        </w:tc>
        <w:tc>
          <w:tcPr>
            <w:tcW w:type="dxa" w:w="737"/>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U.M.</w:t>
            </w:r>
          </w:p>
        </w:tc>
        <w:tc>
          <w:tcPr>
            <w:tcW w:type="dxa" w:w="158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58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58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w:t>
            </w:r>
          </w:p>
        </w:tc>
        <w:tc>
          <w:tcPr>
            <w:tcW w:type="dxa" w:w="408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Capitaluri proprii (CP)</w:t>
            </w:r>
          </w:p>
        </w:tc>
        <w:tc>
          <w:tcPr>
            <w:tcW w:type="dxa" w:w="737"/>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344.152,05</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198.640,87</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175.693,97</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2</w:t>
            </w:r>
          </w:p>
        </w:tc>
        <w:tc>
          <w:tcPr>
            <w:tcW w:type="dxa" w:w="4082"/>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Re (Rata rentabilității capitalurilor proprii)</w:t>
            </w:r>
          </w:p>
        </w:tc>
        <w:tc>
          <w:tcPr>
            <w:tcW w:type="dxa" w:w="73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99,32%</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55,98%</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50,23%</w:t>
            </w:r>
          </w:p>
        </w:tc>
      </w:tr>
      <w:tr>
        <w:trPr>
          <w:cantSplit/>
        </w:trPr>
        <w:tc>
          <w:tcPr>
            <w:tcW w:type="dxa" w:w="510"/>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3</w:t>
            </w:r>
          </w:p>
        </w:tc>
        <w:tc>
          <w:tcPr>
            <w:tcW w:type="dxa" w:w="4082"/>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Credit bancar pe termen lung în sold (ct. 162)</w:t>
            </w:r>
          </w:p>
        </w:tc>
        <w:tc>
          <w:tcPr>
            <w:tcW w:type="dxa" w:w="737"/>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68.790,09</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39.221,80</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35.413,58</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4</w:t>
            </w:r>
          </w:p>
        </w:tc>
        <w:tc>
          <w:tcPr>
            <w:tcW w:type="dxa" w:w="408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Cheltuieli privind dobânzile aferente (ct. 666)</w:t>
            </w:r>
          </w:p>
        </w:tc>
        <w:tc>
          <w:tcPr>
            <w:tcW w:type="dxa" w:w="737"/>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lei</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106.898,11</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34.776,51</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39.206,54</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5</w:t>
            </w:r>
          </w:p>
        </w:tc>
        <w:tc>
          <w:tcPr>
            <w:tcW w:type="dxa" w:w="4082"/>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Rd (Rata medie a dobânzii creditului = Dobânzi / Credit)</w:t>
            </w:r>
          </w:p>
        </w:tc>
        <w:tc>
          <w:tcPr>
            <w:tcW w:type="dxa" w:w="73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155,40%</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88,67%</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110,71%</w:t>
            </w:r>
          </w:p>
        </w:tc>
      </w:tr>
      <w:tr>
        <w:trPr>
          <w:cantSplit/>
        </w:trPr>
        <w:tc>
          <w:tcPr>
            <w:tcW w:type="dxa" w:w="510"/>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6</w:t>
            </w:r>
          </w:p>
        </w:tc>
        <w:tc>
          <w:tcPr>
            <w:tcW w:type="dxa" w:w="4082"/>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Diferențialul de rentabilitate (Re - Rd)</w:t>
            </w:r>
          </w:p>
        </w:tc>
        <w:tc>
          <w:tcPr>
            <w:tcW w:type="dxa" w:w="737"/>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pp</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-56,08%</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-32,69%</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-60,48%</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7</w:t>
            </w:r>
          </w:p>
        </w:tc>
        <w:tc>
          <w:tcPr>
            <w:tcW w:type="dxa" w:w="4082"/>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Efectul de levier financiar = (Re - Rd) × (Credit / CP)</w:t>
            </w:r>
          </w:p>
        </w:tc>
        <w:tc>
          <w:tcPr>
            <w:tcW w:type="dxa" w:w="73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-11,21%</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-6,45%</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-12,19%</w:t>
            </w:r>
          </w:p>
        </w:tc>
      </w:tr>
      <w:tr>
        <w:trPr>
          <w:cantSplit/>
        </w:trPr>
        <w:tc>
          <w:tcPr>
            <w:tcW w:type="dxa" w:w="510"/>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8</w:t>
            </w:r>
          </w:p>
        </w:tc>
        <w:tc>
          <w:tcPr>
            <w:tcW w:type="dxa" w:w="4082"/>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Diagnostic efect de îndatorare</w:t>
            </w:r>
          </w:p>
        </w:tc>
        <w:tc>
          <w:tcPr>
            <w:tcW w:type="dxa" w:w="737"/>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verdict</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În perioada de raportare 0, îndatorarea generează EFECT DE MĂCIUCĂ negativ asupra întreprinderii (Re &lt; Rd)</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În perioada de raportare 1, îndatorarea generează EFECT DE MĂCIUCĂ negativ asupra întreprinderii (Re &lt; Rd)</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În perioada de raportare 2, îndatorarea generează EFECT DE MĂCIUCĂ negativ asupra întreprinderii (Re &lt; Rd)</w:t>
            </w:r>
          </w:p>
        </w:tc>
      </w:tr>
    </w:tbl>
    <w:p>
      <w:pPr>
        <w:spacing w:before="20" w:after="50" w:line="269" w:lineRule="auto"/>
        <w:jc w:val="both"/>
      </w:pPr>
      <w:r>
        <w:rPr>
          <w:rFonts w:ascii="Calibri" w:hAnsi="Calibri" w:eastAsia="Calibri"/>
          <w:b w:val="0"/>
          <w:i w:val="0"/>
          <w:color w:val="1E293B"/>
          <w:sz w:val="18"/>
        </w:rPr>
        <w:t>Evaluarea efectului de levier: În perioada de raportare 2, rata medie a dobânzii bancare (Rd = 110,71%) depășește rata rentabilității (Re = 50,23%), diferențialul negativ (-60,48%) determinând un efect de măciucă de -12,19% (În perioada de raportare 2, îndatorarea generează EFECT DE MĂCIUCĂ negativ asupra întreprinderii (Re &lt; Rd)).</w:t>
      </w:r>
    </w:p>
    <w:p>
      <w:pPr>
        <w:keepNext/>
        <w:spacing w:before="130" w:after="50"/>
        <w:pBdr>
          <w:bottom w:val="single" w:sz="8" w:space="2" w:color="1B365D"/>
        </w:pBdr>
      </w:pPr>
      <w:r>
        <w:rPr>
          <w:rFonts w:ascii="Calibri" w:hAnsi="Calibri" w:eastAsia="Calibri"/>
          <w:b/>
          <w:i w:val="0"/>
          <w:color w:val="1B365D"/>
          <w:sz w:val="21"/>
        </w:rPr>
        <w:t>17. Evaluarea Riscului de Insolvență (Modelele de Scoring Altman și Conan-Holder)</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8"/>
        <w:gridCol w:w="2018"/>
        <w:gridCol w:w="2018"/>
        <w:gridCol w:w="2018"/>
        <w:gridCol w:w="2018"/>
      </w:tblGrid>
      <w:tr>
        <w:trPr>
          <w:tblHeader/>
          <w:cantSplit/>
        </w:trPr>
        <w:tc>
          <w:tcPr>
            <w:tcW w:type="dxa" w:w="3628"/>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Model / Variabilă a Funcției-Scor</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30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2551"/>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Încadrare Perioada de raportare 2</w:t>
            </w:r>
          </w:p>
        </w:tc>
      </w:tr>
      <w:tr>
        <w:trPr>
          <w:cantSplit/>
        </w:trPr>
        <w:tc>
          <w:tcPr>
            <w:tcW w:type="dxa" w:w="362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 MODELUL ALTMAN: V1 (Profit brut / Active totale) &amp; V5</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0,1864</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0,0685</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0,0666</w:t>
            </w:r>
          </w:p>
        </w:tc>
        <w:tc>
          <w:tcPr>
            <w:tcW w:type="dxa" w:w="255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Pondere 3,3 + 1,4</w:t>
            </w:r>
          </w:p>
        </w:tc>
      </w:tr>
      <w:tr>
        <w:trPr>
          <w:cantSplit/>
        </w:trPr>
        <w:tc>
          <w:tcPr>
            <w:tcW w:type="dxa" w:w="362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V2 (Cifra de afaceri / Active totale)  |  V4 (FR / Active totale)</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2,9047 | -0,4340</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1,0676 | -0,5757</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1,2276 | -0,6066</w:t>
            </w:r>
          </w:p>
        </w:tc>
        <w:tc>
          <w:tcPr>
            <w:tcW w:type="dxa" w:w="255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Pondere 1,0 | 1,2</w:t>
            </w:r>
          </w:p>
        </w:tc>
      </w:tr>
      <w:tr>
        <w:trPr>
          <w:cantSplit/>
        </w:trPr>
        <w:tc>
          <w:tcPr>
            <w:tcW w:type="dxa" w:w="362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V3 (Capitaluri proprii / Datorii totale Bilanț Financiar)</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0,2310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0,1394</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0,1261</w:t>
            </w:r>
          </w:p>
        </w:tc>
        <w:tc>
          <w:tcPr>
            <w:tcW w:type="dxa" w:w="255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Pondere 0,6</w:t>
            </w:r>
          </w:p>
        </w:tc>
      </w:tr>
      <w:tr>
        <w:trPr>
          <w:cantSplit/>
        </w:trPr>
        <w:tc>
          <w:tcPr>
            <w:tcW w:type="dxa" w:w="362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Scorul Z Altman (Standard Bilanț Financiar)</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3,3986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0,7824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0,8882</w:t>
            </w:r>
          </w:p>
        </w:tc>
        <w:tc>
          <w:tcPr>
            <w:tcW w:type="dxa" w:w="2551"/>
            <w:shd w:val="clear" w:color="auto" w:fill="FEE2E2"/>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991B1B"/>
                <w:sz w:val="15"/>
              </w:rPr>
              <w:t>Faliment iminent (Z &lt; 1,80)</w:t>
            </w:r>
          </w:p>
        </w:tc>
      </w:tr>
      <w:tr>
        <w:trPr>
          <w:cantSplit/>
        </w:trPr>
        <w:tc>
          <w:tcPr>
            <w:tcW w:type="dxa" w:w="362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Scorul Z Altman Ajustat (fără veniturile în avans ct. 472+475)</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3,3986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0,7824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0,8882</w:t>
            </w:r>
          </w:p>
        </w:tc>
        <w:tc>
          <w:tcPr>
            <w:tcW w:type="dxa" w:w="2551"/>
            <w:shd w:val="clear" w:color="auto" w:fill="FEE2E2"/>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991B1B"/>
                <w:sz w:val="15"/>
              </w:rPr>
              <w:t>Faliment iminent (Z &lt; 1,80)</w:t>
            </w:r>
          </w:p>
        </w:tc>
      </w:tr>
      <w:tr>
        <w:trPr>
          <w:cantSplit/>
        </w:trPr>
        <w:tc>
          <w:tcPr>
            <w:tcW w:type="dxa" w:w="362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II. MODELUL CONAN-HOLDER: V1 (Lichiditate rapidă) | V2 (RSF)</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0,3646 | 0,2252</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0,2623 | 0,1465</w:t>
            </w:r>
          </w:p>
        </w:tc>
        <w:tc>
          <w:tcPr>
            <w:tcW w:type="dxa" w:w="130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0,2297 | 0,1346</w:t>
            </w:r>
          </w:p>
        </w:tc>
        <w:tc>
          <w:tcPr>
            <w:tcW w:type="dxa" w:w="2551"/>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Pondere +16 | +22</w:t>
            </w:r>
          </w:p>
        </w:tc>
      </w:tr>
      <w:tr>
        <w:trPr>
          <w:cantSplit/>
        </w:trPr>
        <w:tc>
          <w:tcPr>
            <w:tcW w:type="dxa" w:w="362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 xml:space="preserve">   V3 (Ch. fin./CA) | V4 (Ch. pers./VA) | V5 (EBE/VA)</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0,020 | 0,70 | 0,30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0,020 | 0,70 | 0,30</w:t>
            </w:r>
          </w:p>
        </w:tc>
        <w:tc>
          <w:tcPr>
            <w:tcW w:type="dxa" w:w="130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0,020 | 0,71 | 0,29</w:t>
            </w:r>
          </w:p>
        </w:tc>
        <w:tc>
          <w:tcPr>
            <w:tcW w:type="dxa" w:w="2551"/>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Pondere -87 | -10 | +24</w:t>
            </w:r>
          </w:p>
        </w:tc>
      </w:tr>
      <w:tr>
        <w:trPr>
          <w:cantSplit/>
        </w:trPr>
        <w:tc>
          <w:tcPr>
            <w:tcW w:type="dxa" w:w="362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Scorul Z Conan-Holder (Standard, doar pe CA din ct. 704)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9,2286</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5,8624</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4,6147</w:t>
            </w:r>
          </w:p>
        </w:tc>
        <w:tc>
          <w:tcPr>
            <w:tcW w:type="dxa" w:w="2551"/>
            <w:shd w:val="clear" w:color="auto" w:fill="FEF3C7"/>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92400E"/>
                <w:sz w:val="15"/>
              </w:rPr>
              <w:t>Zonă de incertitudine / prudență (4 &lt;= Z &lt;= 9)</w:t>
            </w:r>
          </w:p>
        </w:tc>
      </w:tr>
      <w:tr>
        <w:trPr>
          <w:cantSplit/>
        </w:trPr>
        <w:tc>
          <w:tcPr>
            <w:tcW w:type="dxa" w:w="362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Scorul Z Conan-Holder Ajustat (cu veniturile din proiecte ct. 758)</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9,0891</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5,7229</w:t>
            </w:r>
          </w:p>
        </w:tc>
        <w:tc>
          <w:tcPr>
            <w:tcW w:type="dxa" w:w="130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4,4453</w:t>
            </w:r>
          </w:p>
        </w:tc>
        <w:tc>
          <w:tcPr>
            <w:tcW w:type="dxa" w:w="2551"/>
            <w:shd w:val="clear" w:color="auto" w:fill="FEF3C7"/>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92400E"/>
                <w:sz w:val="15"/>
              </w:rPr>
              <w:t>Zonă de incertitudine / prudență (4 &lt;= Z &lt;= 9)</w:t>
            </w:r>
          </w:p>
        </w:tc>
      </w:tr>
    </w:tbl>
    <w:p>
      <w:pPr>
        <w:spacing w:before="20" w:after="50" w:line="269" w:lineRule="auto"/>
        <w:jc w:val="both"/>
      </w:pPr>
      <w:r>
        <w:rPr>
          <w:rFonts w:ascii="Calibri" w:hAnsi="Calibri" w:eastAsia="Calibri"/>
          <w:b w:val="0"/>
          <w:i w:val="0"/>
          <w:color w:val="1E293B"/>
          <w:sz w:val="18"/>
        </w:rPr>
        <w:t>Evaluarea riscului de insolvență: În perioada de raportare 2, Scorul Z Altman este de 0,8882 (ajustat 0,8882 -&gt; Faliment iminent (Z &lt; 1,80)), iar Scorul Conan-Holder este de 4,6147 (ajustat 4,4453 -&gt; Zonă de incertitudine / prudență (4 &lt;= Z &lt;= 9)), impunând măsuri de consolidare a capitalurilor proprii și a vitezei de rotație.</w:t>
      </w:r>
    </w:p>
    <w:tbl>
      <w:tblPr>
        <w:tblW w:type="pct" w:w="5000"/>
        <w:jc w:val="center"/>
        <w:tblLook w:firstColumn="1" w:firstRow="1" w:lastColumn="0" w:lastRow="0" w:noHBand="0" w:noVBand="1" w:val="04A0"/>
        <w:tblBorders>
          <w:top w:val="single" w:sz="4" w:space="0" w:color="1B365D"/>
          <w:left w:val="single" w:sz="4" w:space="0" w:color="1B365D"/>
          <w:bottom w:val="single" w:sz="4" w:space="0" w:color="1B365D"/>
          <w:right w:val="single" w:sz="4" w:space="0" w:color="1B365D"/>
          <w:insideH w:val="single" w:sz="4" w:space="0" w:color="1B365D"/>
          <w:insideV w:val="single" w:sz="4" w:space="0" w:color="1B365D"/>
        </w:tblBorders>
      </w:tblPr>
      <w:tblGrid>
        <w:gridCol w:w="10092"/>
      </w:tblGrid>
      <w:tr>
        <w:tc>
          <w:tcPr>
            <w:tcW w:type="dxa" w:w="10092"/>
            <w:shd w:val="clear" w:color="auto" w:fill="1B365D"/>
            <w:tcMar>
              <w:top w:w="55" w:type="dxa"/>
              <w:start w:w="100" w:type="dxa"/>
              <w:bottom w:w="55" w:type="dxa"/>
              <w:end w:w="100" w:type="dxa"/>
            </w:tcMar>
          </w:tcPr>
          <w:p>
            <w:pPr>
              <w:spacing w:before="0" w:after="0" w:line="259" w:lineRule="auto"/>
              <w:jc w:val="left"/>
            </w:pPr>
            <w:r>
              <w:rPr>
                <w:rFonts w:ascii="Calibri" w:hAnsi="Calibri" w:eastAsia="Calibri"/>
                <w:b/>
                <w:i w:val="0"/>
                <w:color w:val="93C5FD"/>
                <w:sz w:val="17"/>
              </w:rPr>
              <w:t xml:space="preserve">PARTEA A VI-A  •  CAPITOLELE 18 – 21  —  </w:t>
            </w:r>
            <w:r>
              <w:rPr>
                <w:rFonts w:ascii="Calibri" w:hAnsi="Calibri" w:eastAsia="Calibri"/>
                <w:b/>
                <w:i w:val="0"/>
                <w:color w:val="FFFFFF"/>
                <w:sz w:val="20"/>
              </w:rPr>
              <w:t>GESTIUNEA CICLULUI OPERAȚIONAL, PROFITABILITATEA, CORELAȚIILE STATISTICE ȘI CONCLUZII</w:t>
              <w:br/>
            </w:r>
            <w:r>
              <w:rPr>
                <w:rFonts w:ascii="Calibri" w:hAnsi="Calibri" w:eastAsia="Calibri"/>
                <w:b w:val="0"/>
                <w:i/>
                <w:color w:val="E2E8F0"/>
                <w:sz w:val="16"/>
              </w:rPr>
              <w:t>Vitezele de rotație în zile, ratele de rentabilitate (ROA, ROE, ROS), Matricea Pearson &amp; Spearman și Recomandări Executive.</w:t>
            </w:r>
          </w:p>
        </w:tc>
      </w:tr>
    </w:tbl>
    <w:p>
      <w:pPr>
        <w:keepNext/>
        <w:spacing w:before="130" w:after="50"/>
        <w:pBdr>
          <w:bottom w:val="single" w:sz="8" w:space="2" w:color="1B365D"/>
        </w:pBdr>
      </w:pPr>
      <w:r>
        <w:rPr>
          <w:rFonts w:ascii="Calibri" w:hAnsi="Calibri" w:eastAsia="Calibri"/>
          <w:b/>
          <w:i w:val="0"/>
          <w:color w:val="1B365D"/>
          <w:sz w:val="21"/>
        </w:rPr>
        <w:t>18. Analiza Indicatorilor de Gestiune (Viteza de Rotație a Stocurilor, Creanțelor și Datoriilor)</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3288"/>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Indicator de Gestiune (Viteza în rotații / Durata în zile)</w:t>
            </w:r>
          </w:p>
        </w:tc>
        <w:tc>
          <w:tcPr>
            <w:tcW w:type="dxa" w:w="79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U.M.</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7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96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964"/>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85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r>
      <w:tr>
        <w:trPr>
          <w:cantSplit/>
        </w:trPr>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1. Viteza de rotație a stocurilor (CA / Stocuri)</w:t>
            </w:r>
          </w:p>
        </w:tc>
        <w:tc>
          <w:tcPr>
            <w:tcW w:type="dxa" w:w="79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rotații</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49,76</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19,84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20,46</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-29,92</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0,62</w:t>
            </w:r>
          </w:p>
        </w:tc>
        <w:tc>
          <w:tcPr>
            <w:tcW w:type="dxa" w:w="85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103,13%</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xml:space="preserve">   • Durata medie de rotație a stocurilor (360 zile)</w:t>
            </w:r>
          </w:p>
        </w:tc>
        <w:tc>
          <w:tcPr>
            <w:tcW w:type="dxa" w:w="79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zile</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7,23</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18,14</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17,59</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10,91</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-0,55</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96,97%</w:t>
            </w:r>
          </w:p>
        </w:tc>
      </w:tr>
      <w:tr>
        <w:trPr>
          <w:cantSplit/>
        </w:trPr>
        <w:tc>
          <w:tcPr>
            <w:tcW w:type="dxa" w:w="3288"/>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2. Viteza de rotație a creanțelor totale (CA / Creanțe)</w:t>
            </w:r>
          </w:p>
        </w:tc>
        <w:tc>
          <w:tcPr>
            <w:tcW w:type="dxa" w:w="79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rotații</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14,8509</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30,6334</w:t>
            </w:r>
          </w:p>
        </w:tc>
        <w:tc>
          <w:tcPr>
            <w:tcW w:type="dxa" w:w="107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36,9239</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15,7825</w:t>
            </w:r>
          </w:p>
        </w:tc>
        <w:tc>
          <w:tcPr>
            <w:tcW w:type="dxa" w:w="964"/>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6,2904</w:t>
            </w:r>
          </w:p>
        </w:tc>
        <w:tc>
          <w:tcPr>
            <w:tcW w:type="dxa" w:w="85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120,53%</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xml:space="preserve">   • Durata medie de rotație a creanțelor totale (365 zile)</w:t>
            </w:r>
          </w:p>
        </w:tc>
        <w:tc>
          <w:tcPr>
            <w:tcW w:type="dxa" w:w="79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zile</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24,58</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11,92</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9,89</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-12,66</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-2,03</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82,96%</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xml:space="preserve">   • Durata medie de încasare a clienților comerciali (ct. 411)</w:t>
            </w:r>
          </w:p>
        </w:tc>
        <w:tc>
          <w:tcPr>
            <w:tcW w:type="dxa" w:w="79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zile</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0,47</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1,46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1,74</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0,99</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0,28</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119,23%</w:t>
            </w:r>
          </w:p>
        </w:tc>
      </w:tr>
      <w:tr>
        <w:trPr>
          <w:cantSplit/>
        </w:trPr>
        <w:tc>
          <w:tcPr>
            <w:tcW w:type="dxa" w:w="3288"/>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3. Viteza de rotație a datoriilor pe termen scurt (CA / DTS)</w:t>
            </w:r>
          </w:p>
        </w:tc>
        <w:tc>
          <w:tcPr>
            <w:tcW w:type="dxa" w:w="79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rotații</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3,7489</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1,2509</w:t>
            </w:r>
          </w:p>
        </w:tc>
        <w:tc>
          <w:tcPr>
            <w:tcW w:type="dxa" w:w="107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1,4185</w:t>
            </w:r>
          </w:p>
        </w:tc>
        <w:tc>
          <w:tcPr>
            <w:tcW w:type="dxa" w:w="96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-2,4980</w:t>
            </w:r>
          </w:p>
        </w:tc>
        <w:tc>
          <w:tcPr>
            <w:tcW w:type="dxa" w:w="964"/>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0,1676</w:t>
            </w:r>
          </w:p>
        </w:tc>
        <w:tc>
          <w:tcPr>
            <w:tcW w:type="dxa" w:w="85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113,40%</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xml:space="preserve">   • Durata medie de rotație a datoriilor pe termen scurt (365 zile)</w:t>
            </w:r>
          </w:p>
        </w:tc>
        <w:tc>
          <w:tcPr>
            <w:tcW w:type="dxa" w:w="79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zile</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97,36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291,79</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257,32</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194,43</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-34,47</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88,19%</w:t>
            </w:r>
          </w:p>
        </w:tc>
      </w:tr>
      <w:tr>
        <w:trPr>
          <w:cantSplit/>
        </w:trPr>
        <w:tc>
          <w:tcPr>
            <w:tcW w:type="dxa" w:w="3288"/>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 xml:space="preserve">   • Durata medie de plată a furnizorilor comerciali (ct. 401)</w:t>
            </w:r>
          </w:p>
        </w:tc>
        <w:tc>
          <w:tcPr>
            <w:tcW w:type="dxa" w:w="794"/>
            <w:shd w:val="clear" w:color="auto" w:fill="E2E8F0"/>
            <w:tcMar>
              <w:top w:w="30" w:type="dxa"/>
              <w:start w:w="50" w:type="dxa"/>
              <w:bottom w:w="30" w:type="dxa"/>
              <w:end w:w="50" w:type="dxa"/>
            </w:tcMar>
            <w:vAlign w:val="center"/>
          </w:tcPr>
          <w:p>
            <w:pPr>
              <w:spacing w:before="0" w:after="0" w:line="252" w:lineRule="auto"/>
              <w:jc w:val="center"/>
            </w:pPr>
            <w:r/>
            <w:r>
              <w:rPr>
                <w:rFonts w:ascii="Calibri" w:hAnsi="Calibri" w:eastAsia="Calibri"/>
                <w:b/>
                <w:i w:val="0"/>
                <w:color w:val="1B365D"/>
                <w:sz w:val="15"/>
              </w:rPr>
              <w:t>zile</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2,69</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6,16</w:t>
            </w:r>
          </w:p>
        </w:tc>
        <w:tc>
          <w:tcPr>
            <w:tcW w:type="dxa" w:w="107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7,79</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3,47</w:t>
            </w:r>
          </w:p>
        </w:tc>
        <w:tc>
          <w:tcPr>
            <w:tcW w:type="dxa" w:w="964"/>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1,63</w:t>
            </w:r>
          </w:p>
        </w:tc>
        <w:tc>
          <w:tcPr>
            <w:tcW w:type="dxa" w:w="85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126,48%</w:t>
            </w:r>
          </w:p>
        </w:tc>
      </w:tr>
    </w:tbl>
    <w:p>
      <w:pPr>
        <w:spacing w:before="20" w:after="50" w:line="269" w:lineRule="auto"/>
        <w:jc w:val="both"/>
      </w:pPr>
      <w:r>
        <w:rPr>
          <w:rFonts w:ascii="Calibri" w:hAnsi="Calibri" w:eastAsia="Calibri"/>
          <w:b w:val="0"/>
          <w:i w:val="0"/>
          <w:color w:val="1E293B"/>
          <w:sz w:val="18"/>
        </w:rPr>
        <w:t>Diagnostic operațional al rotației capitalurilor: La finele perioadei de raportare 2, ciclul de conversie a activelor circulante este caracterizat de o rotație a stocurilor la 17,59 zile, o rotație a creanțelor totale la 9,89 zile și o rotație a datoriilor pe termen scurt la 257,32 zile; în planul creditului comercial din perioada de raportare 2, clienții comerciali (ct. 411) sunt încasați în medie la 1,7 zile, mai rapid decât termenul mediu de plată a furnizorilor (ct. 401 = 7,8 zile), generând un decalaj comercial favorabil trezoreriei.</w:t>
      </w:r>
    </w:p>
    <w:p>
      <w:pPr>
        <w:keepNext/>
        <w:spacing w:before="130" w:after="50"/>
        <w:pBdr>
          <w:bottom w:val="single" w:sz="8" w:space="2" w:color="1B365D"/>
        </w:pBdr>
      </w:pPr>
      <w:r>
        <w:rPr>
          <w:rFonts w:ascii="Calibri" w:hAnsi="Calibri" w:eastAsia="Calibri"/>
          <w:b/>
          <w:i w:val="0"/>
          <w:color w:val="1B365D"/>
          <w:sz w:val="21"/>
        </w:rPr>
        <w:t>19. Analiza Indicatorilor de Profitabilitate și Rentabilitate</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1"/>
        <w:gridCol w:w="1261"/>
        <w:gridCol w:w="1261"/>
        <w:gridCol w:w="1261"/>
        <w:gridCol w:w="1261"/>
        <w:gridCol w:w="1261"/>
        <w:gridCol w:w="1261"/>
        <w:gridCol w:w="1261"/>
      </w:tblGrid>
      <w:tr>
        <w:trPr>
          <w:tblHeader/>
          <w:cantSplit/>
        </w:trPr>
        <w:tc>
          <w:tcPr>
            <w:tcW w:type="dxa" w:w="2721"/>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Indicator de Profitabilitate și Rentabilitate</w:t>
            </w:r>
          </w:p>
        </w:tc>
        <w:tc>
          <w:tcPr>
            <w:tcW w:type="dxa" w:w="158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Formulă de Calcul</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0</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1</w:t>
            </w:r>
          </w:p>
        </w:tc>
        <w:tc>
          <w:tcPr>
            <w:tcW w:type="dxa" w:w="102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Perioada de raportare 2</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(P1 - P0)</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Δ (P2 - P1)</w:t>
            </w:r>
          </w:p>
        </w:tc>
        <w:tc>
          <w:tcPr>
            <w:tcW w:type="dxa" w:w="907"/>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I (P2 / P1)</w:t>
            </w:r>
          </w:p>
        </w:tc>
      </w:tr>
      <w:tr>
        <w:trPr>
          <w:cantSplit/>
        </w:trPr>
        <w:tc>
          <w:tcPr>
            <w:tcW w:type="dxa" w:w="2721"/>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1. Marja brută din vânzări</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(Profit brut / CA) × 100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6,42%</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6,42%</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5,42%</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84,51%</w:t>
            </w:r>
          </w:p>
        </w:tc>
      </w:tr>
      <w:tr>
        <w:trPr>
          <w:cantSplit/>
        </w:trPr>
        <w:tc>
          <w:tcPr>
            <w:tcW w:type="dxa" w:w="2721"/>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2. Marja netă din vânzări</w:t>
            </w:r>
          </w:p>
        </w:tc>
        <w:tc>
          <w:tcPr>
            <w:tcW w:type="dxa" w:w="158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(Profit net / CA) × 100</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6,42%</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6,42%</w:t>
            </w:r>
          </w:p>
        </w:tc>
        <w:tc>
          <w:tcPr>
            <w:tcW w:type="dxa" w:w="102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4,58%</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-1,83%</w:t>
            </w:r>
          </w:p>
        </w:tc>
        <w:tc>
          <w:tcPr>
            <w:tcW w:type="dxa" w:w="907"/>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71,41%</w:t>
            </w:r>
          </w:p>
        </w:tc>
      </w:tr>
      <w:tr>
        <w:trPr>
          <w:cantSplit/>
        </w:trPr>
        <w:tc>
          <w:tcPr>
            <w:tcW w:type="dxa" w:w="2721"/>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3. Rentabilitatea resurselor consumate</w:t>
            </w:r>
          </w:p>
        </w:tc>
        <w:tc>
          <w:tcPr>
            <w:tcW w:type="dxa" w:w="158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(Profit net / Cheltuieli totale) × 100</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6,82%</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6,82%</w:t>
            </w:r>
          </w:p>
        </w:tc>
        <w:tc>
          <w:tcPr>
            <w:tcW w:type="dxa" w:w="102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4,82%</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-2,00%</w:t>
            </w:r>
          </w:p>
        </w:tc>
        <w:tc>
          <w:tcPr>
            <w:tcW w:type="dxa" w:w="907"/>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70,70%</w:t>
            </w:r>
          </w:p>
        </w:tc>
      </w:tr>
      <w:tr>
        <w:trPr>
          <w:cantSplit/>
        </w:trPr>
        <w:tc>
          <w:tcPr>
            <w:tcW w:type="dxa" w:w="272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4. Rentabilitatea economică (ROA)</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(Profit net / Activ total) × 100</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18,64%</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6,85%</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5,63%</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-11,79%</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-1,23%</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82,11%</w:t>
            </w:r>
          </w:p>
        </w:tc>
      </w:tr>
      <w:tr>
        <w:trPr>
          <w:cantSplit/>
        </w:trPr>
        <w:tc>
          <w:tcPr>
            <w:tcW w:type="dxa" w:w="272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5. Rentabilitatea financiară (ROE)</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(Profit net / Capital propriu) × 100</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99,32%</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55,98%</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50,23%</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-43,34%</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-5,75%</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89,73%</w:t>
            </w:r>
          </w:p>
        </w:tc>
      </w:tr>
      <w:tr>
        <w:trPr>
          <w:cantSplit/>
        </w:trPr>
        <w:tc>
          <w:tcPr>
            <w:tcW w:type="dxa" w:w="2721"/>
            <w:shd w:val="clear" w:color="auto" w:fill="E2E8F0"/>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B365D"/>
                <w:sz w:val="15"/>
              </w:rPr>
              <w:t>6. Rentabilitatea comercială (ROS)</w:t>
            </w:r>
          </w:p>
        </w:tc>
        <w:tc>
          <w:tcPr>
            <w:tcW w:type="dxa" w:w="158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(Profit net / CA) × 100</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6,42%</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6,42%</w:t>
            </w:r>
          </w:p>
        </w:tc>
        <w:tc>
          <w:tcPr>
            <w:tcW w:type="dxa" w:w="1020"/>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4,58%</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-0,00%</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-1,83%</w:t>
            </w:r>
          </w:p>
        </w:tc>
        <w:tc>
          <w:tcPr>
            <w:tcW w:type="dxa" w:w="907"/>
            <w:shd w:val="clear" w:color="auto" w:fill="E2E8F0"/>
            <w:tcMar>
              <w:top w:w="30" w:type="dxa"/>
              <w:start w:w="50" w:type="dxa"/>
              <w:bottom w:w="30" w:type="dxa"/>
              <w:end w:w="50" w:type="dxa"/>
            </w:tcMar>
            <w:vAlign w:val="center"/>
          </w:tcPr>
          <w:p>
            <w:pPr>
              <w:spacing w:before="0" w:after="0" w:line="252" w:lineRule="auto"/>
              <w:jc w:val="right"/>
            </w:pPr>
            <w:r/>
            <w:r>
              <w:rPr>
                <w:rFonts w:ascii="Calibri" w:hAnsi="Calibri" w:eastAsia="Calibri"/>
                <w:b/>
                <w:i w:val="0"/>
                <w:color w:val="1B365D"/>
                <w:sz w:val="15"/>
              </w:rPr>
              <w:t>71,41%</w:t>
            </w:r>
          </w:p>
        </w:tc>
      </w:tr>
    </w:tbl>
    <w:p>
      <w:pPr>
        <w:spacing w:before="20" w:after="50" w:line="269" w:lineRule="auto"/>
        <w:jc w:val="both"/>
      </w:pPr>
      <w:r>
        <w:rPr>
          <w:rFonts w:ascii="Calibri" w:hAnsi="Calibri" w:eastAsia="Calibri"/>
          <w:b w:val="0"/>
          <w:i w:val="0"/>
          <w:color w:val="1E293B"/>
          <w:sz w:val="18"/>
        </w:rPr>
        <w:t>Evaluarea ratelor de eficiență: În perioada de raportare 2, randamentul activelor totale (ROA) este de 5,63% (față de 18,64% în perioada 0), remunerarea capitalurilor proprii (ROE) atinge 50,23% (față de 99,32% în perioada 0), iar marja comercială operațională (ROS) se situează la 4,58%, cu o rentabilitate a resurselor consumate de 4,82% și o marjă netă din vânzări de 4,58%.</w:t>
      </w:r>
    </w:p>
    <w:p>
      <w:pPr>
        <w:keepNext/>
        <w:spacing w:before="130" w:after="50"/>
        <w:pBdr>
          <w:bottom w:val="single" w:sz="8" w:space="2" w:color="1B365D"/>
        </w:pBdr>
      </w:pPr>
      <w:r>
        <w:rPr>
          <w:rFonts w:ascii="Calibri" w:hAnsi="Calibri" w:eastAsia="Calibri"/>
          <w:b/>
          <w:i w:val="0"/>
          <w:color w:val="1B365D"/>
          <w:sz w:val="21"/>
        </w:rPr>
        <w:t>20. Analiza Corelațiilor Statistice Parametrice (Pearson) și Neparametrice (Spearman)</w:t>
      </w:r>
    </w:p>
    <w:tbl>
      <w:tblPr>
        <w:tblW w:type="pct" w:w="500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21"/>
        <w:gridCol w:w="1121"/>
        <w:gridCol w:w="1121"/>
        <w:gridCol w:w="1121"/>
        <w:gridCol w:w="1121"/>
        <w:gridCol w:w="1121"/>
        <w:gridCol w:w="1121"/>
        <w:gridCol w:w="1121"/>
        <w:gridCol w:w="1121"/>
      </w:tblGrid>
      <w:tr>
        <w:trPr>
          <w:tblHeader/>
          <w:cantSplit/>
        </w:trPr>
        <w:tc>
          <w:tcPr>
            <w:tcW w:type="dxa" w:w="46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Nr.</w:t>
            </w:r>
          </w:p>
        </w:tc>
        <w:tc>
          <w:tcPr>
            <w:tcW w:type="dxa" w:w="3306"/>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Perechea de Indicatori Corelați (X și Y)</w:t>
            </w:r>
          </w:p>
        </w:tc>
        <w:tc>
          <w:tcPr>
            <w:tcW w:type="dxa" w:w="104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Ranguri X (P0, P1, P2)</w:t>
            </w:r>
          </w:p>
        </w:tc>
        <w:tc>
          <w:tcPr>
            <w:tcW w:type="dxa" w:w="1044"/>
            <w:shd w:val="clear" w:color="auto" w:fill="1B365D"/>
            <w:tcMar>
              <w:top w:w="42" w:type="dxa"/>
              <w:start w:w="55" w:type="dxa"/>
              <w:bottom w:w="42" w:type="dxa"/>
              <w:end w:w="55" w:type="dxa"/>
            </w:tcMar>
            <w:vAlign w:val="center"/>
          </w:tcPr>
          <w:p>
            <w:pPr>
              <w:spacing w:before="0" w:after="0" w:line="252" w:lineRule="auto"/>
              <w:jc w:val="center"/>
            </w:pPr>
            <w:r/>
            <w:r>
              <w:rPr>
                <w:rFonts w:ascii="Calibri" w:hAnsi="Calibri" w:eastAsia="Calibri"/>
                <w:b/>
                <w:i w:val="0"/>
                <w:color w:val="FFFFFF"/>
                <w:sz w:val="15"/>
              </w:rPr>
              <w:t>Ranguri Y (P0, P1, P2)</w:t>
            </w:r>
          </w:p>
        </w:tc>
        <w:tc>
          <w:tcPr>
            <w:tcW w:type="dxa" w:w="58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Σ d²</w:t>
            </w:r>
          </w:p>
        </w:tc>
        <w:tc>
          <w:tcPr>
            <w:tcW w:type="dxa" w:w="638"/>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6·Σ d²</w:t>
            </w:r>
          </w:p>
        </w:tc>
        <w:tc>
          <w:tcPr>
            <w:tcW w:type="dxa" w:w="812"/>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Spearman (r_s)</w:t>
            </w:r>
          </w:p>
        </w:tc>
        <w:tc>
          <w:tcPr>
            <w:tcW w:type="dxa" w:w="870"/>
            <w:shd w:val="clear" w:color="auto" w:fill="1B365D"/>
            <w:tcMar>
              <w:top w:w="42" w:type="dxa"/>
              <w:start w:w="55" w:type="dxa"/>
              <w:bottom w:w="42" w:type="dxa"/>
              <w:end w:w="55" w:type="dxa"/>
            </w:tcMar>
            <w:vAlign w:val="center"/>
          </w:tcPr>
          <w:p>
            <w:pPr>
              <w:spacing w:before="0" w:after="0" w:line="252" w:lineRule="auto"/>
              <w:jc w:val="right"/>
            </w:pPr>
            <w:r/>
            <w:r>
              <w:rPr>
                <w:rFonts w:ascii="Calibri" w:hAnsi="Calibri" w:eastAsia="Calibri"/>
                <w:b/>
                <w:i w:val="0"/>
                <w:color w:val="FFFFFF"/>
                <w:sz w:val="15"/>
              </w:rPr>
              <w:t>Pearson (r)</w:t>
            </w:r>
          </w:p>
        </w:tc>
        <w:tc>
          <w:tcPr>
            <w:tcW w:type="dxa" w:w="1334"/>
            <w:shd w:val="clear" w:color="auto" w:fill="1B365D"/>
            <w:tcMar>
              <w:top w:w="42" w:type="dxa"/>
              <w:start w:w="55" w:type="dxa"/>
              <w:bottom w:w="42" w:type="dxa"/>
              <w:end w:w="55" w:type="dxa"/>
            </w:tcMar>
            <w:vAlign w:val="center"/>
          </w:tcPr>
          <w:p>
            <w:pPr>
              <w:spacing w:before="0" w:after="0" w:line="252" w:lineRule="auto"/>
              <w:jc w:val="left"/>
            </w:pPr>
            <w:r/>
            <w:r>
              <w:rPr>
                <w:rFonts w:ascii="Calibri" w:hAnsi="Calibri" w:eastAsia="Calibri"/>
                <w:b/>
                <w:i w:val="0"/>
                <w:color w:val="FFFFFF"/>
                <w:sz w:val="15"/>
              </w:rPr>
              <w:t>Intensitate Corelație</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01</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Activele imobilizate și Cifra de afaceri</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0,9698</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02</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Activele circulante și Cifra de afaceri</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0,9710</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03</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Lichiditatea generală și Solvabilitatea generală</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0,9982</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04</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Lichiditatea rapidă și Lichiditatea generală</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0,9984</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05</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Lichiditatea imediată și Lichiditatea rapidă</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(3, 1, 2)</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36</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-0,8755</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06</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Fondul de rulment și Necesarul de fond de rulment</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0,9808</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07</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Fondul de rulment și Trezoreria netă</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(3, 1, 2)</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6</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36</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-0,9134</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08</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Activele imobilizate și Capitalurile permanente</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0,9971</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09</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Activele circulante și Datoriile de exploatare</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0,9671</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10</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Capitaluri proprii și Active imobilizate</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0,9974</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11</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Capitaluri proprii și Capitaluri permanente</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1,0000</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12</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Capitaluri proprii și Datorii pe termen lung</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0,9998</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13</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Capitaluri proprii și Datorii de exploatare</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0,9475</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14</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Capitaluri permanente și Datorii de exploatare</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0,9463</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15</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Datorii pe termen lung și Datorii de exploatare</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0,9404</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16</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Valoarea adăugată și Excedentul brut de exploatare</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0,9998</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17</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Excedentul brut de exploatare și Rezultatul exploatării</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0,9997</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18</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Rezultatul exploatării și Rezultatul curent/brut</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0,9998</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19</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Cifra de afaceri și Riscul de insolvență Altman</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1,00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0,9999</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20</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Datorii totale și Riscul de insolvență Altman</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0,9356</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21</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Fondul de rulment și Riscul de insolvență Altman</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0,9907</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22</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Valoarea adăugată și Riscul de insolvență Conan-Holder</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0,9549</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23</w:t>
            </w:r>
          </w:p>
        </w:tc>
        <w:tc>
          <w:tcPr>
            <w:tcW w:type="dxa" w:w="3306"/>
            <w:shd w:val="clear" w:color="auto" w:fill="FFFFFF"/>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Cifra de afaceri și Riscul de insolvență Conan-Holder</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1044"/>
            <w:shd w:val="clear" w:color="auto" w:fill="FFFFFF"/>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FFFFF"/>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0,9517</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r>
        <w:trPr>
          <w:cantSplit/>
        </w:trPr>
        <w:tc>
          <w:tcPr>
            <w:tcW w:type="dxa" w:w="46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24</w:t>
            </w:r>
          </w:p>
        </w:tc>
        <w:tc>
          <w:tcPr>
            <w:tcW w:type="dxa" w:w="3306"/>
            <w:shd w:val="clear" w:color="auto" w:fill="F8FAFC"/>
            <w:tcMar>
              <w:top w:w="30" w:type="dxa"/>
              <w:start w:w="50" w:type="dxa"/>
              <w:bottom w:w="30" w:type="dxa"/>
              <w:end w:w="50" w:type="dxa"/>
            </w:tcMar>
            <w:vAlign w:val="center"/>
          </w:tcPr>
          <w:p>
            <w:pPr>
              <w:spacing w:before="0" w:after="0" w:line="252" w:lineRule="auto"/>
              <w:jc w:val="left"/>
            </w:pPr>
            <w:r/>
            <w:r>
              <w:rPr>
                <w:rFonts w:ascii="Calibri" w:hAnsi="Calibri" w:eastAsia="Calibri"/>
                <w:b w:val="0"/>
                <w:i w:val="0"/>
                <w:color w:val="1E293B"/>
                <w:sz w:val="15"/>
              </w:rPr>
              <w:t>Cheltuielile cu personalul și Riscul de insolvență Conan-Holder</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(1, 3, 2)</w:t>
            </w:r>
          </w:p>
        </w:tc>
        <w:tc>
          <w:tcPr>
            <w:tcW w:type="dxa" w:w="1044"/>
            <w:shd w:val="clear" w:color="auto" w:fill="F8FAFC"/>
            <w:tcMar>
              <w:top w:w="30" w:type="dxa"/>
              <w:start w:w="50" w:type="dxa"/>
              <w:bottom w:w="30" w:type="dxa"/>
              <w:end w:w="50" w:type="dxa"/>
            </w:tcMar>
            <w:vAlign w:val="center"/>
          </w:tcPr>
          <w:p>
            <w:pPr>
              <w:spacing w:before="0" w:after="0" w:line="252" w:lineRule="auto"/>
              <w:jc w:val="center"/>
            </w:pPr>
            <w:r/>
            <w:r>
              <w:rPr>
                <w:rFonts w:ascii="Calibri" w:hAnsi="Calibri" w:eastAsia="Calibri"/>
                <w:b w:val="0"/>
                <w:i w:val="0"/>
                <w:color w:val="1E293B"/>
                <w:sz w:val="15"/>
              </w:rPr>
              <w:t>(1, 2, 3)</w:t>
            </w:r>
          </w:p>
        </w:tc>
        <w:tc>
          <w:tcPr>
            <w:tcW w:type="dxa" w:w="58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2</w:t>
            </w:r>
          </w:p>
        </w:tc>
        <w:tc>
          <w:tcPr>
            <w:tcW w:type="dxa" w:w="638"/>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12</w:t>
            </w:r>
          </w:p>
        </w:tc>
        <w:tc>
          <w:tcPr>
            <w:tcW w:type="dxa" w:w="812"/>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0,50</w:t>
            </w:r>
          </w:p>
        </w:tc>
        <w:tc>
          <w:tcPr>
            <w:tcW w:type="dxa" w:w="870"/>
            <w:shd w:val="clear" w:color="auto" w:fill="F8FAFC"/>
            <w:tcMar>
              <w:top w:w="30" w:type="dxa"/>
              <w:start w:w="50" w:type="dxa"/>
              <w:bottom w:w="30" w:type="dxa"/>
              <w:end w:w="50" w:type="dxa"/>
            </w:tcMar>
            <w:vAlign w:val="center"/>
          </w:tcPr>
          <w:p>
            <w:pPr>
              <w:spacing w:before="0" w:after="0" w:line="252" w:lineRule="auto"/>
              <w:jc w:val="right"/>
            </w:pPr>
            <w:r/>
            <w:r>
              <w:rPr>
                <w:rFonts w:ascii="Calibri" w:hAnsi="Calibri" w:eastAsia="Calibri"/>
                <w:b w:val="0"/>
                <w:i w:val="0"/>
                <w:color w:val="1E293B"/>
                <w:sz w:val="15"/>
              </w:rPr>
              <w:t>0,9522</w:t>
            </w:r>
          </w:p>
        </w:tc>
        <w:tc>
          <w:tcPr>
            <w:tcW w:type="dxa" w:w="1334"/>
            <w:shd w:val="clear" w:color="auto" w:fill="DCFCE7"/>
            <w:tcMar>
              <w:top w:w="30" w:type="dxa"/>
              <w:start w:w="50" w:type="dxa"/>
              <w:bottom w:w="30" w:type="dxa"/>
              <w:end w:w="50" w:type="dxa"/>
            </w:tcMar>
            <w:vAlign w:val="center"/>
          </w:tcPr>
          <w:p>
            <w:pPr>
              <w:spacing w:before="0" w:after="0" w:line="252" w:lineRule="auto"/>
              <w:jc w:val="left"/>
            </w:pPr>
            <w:r/>
            <w:r>
              <w:rPr>
                <w:rFonts w:ascii="Calibri" w:hAnsi="Calibri" w:eastAsia="Calibri"/>
                <w:b/>
                <w:i w:val="0"/>
                <w:color w:val="166534"/>
                <w:sz w:val="15"/>
              </w:rPr>
              <w:t>Corelație optimă</w:t>
            </w:r>
          </w:p>
        </w:tc>
      </w:tr>
    </w:tbl>
    <w:p>
      <w:pPr>
        <w:spacing w:before="20" w:after="50" w:line="269" w:lineRule="auto"/>
        <w:jc w:val="both"/>
      </w:pPr>
      <w:r>
        <w:rPr>
          <w:rFonts w:ascii="Calibri" w:hAnsi="Calibri" w:eastAsia="Calibri"/>
          <w:b w:val="0"/>
          <w:i w:val="0"/>
          <w:color w:val="1E293B"/>
          <w:sz w:val="18"/>
        </w:rPr>
        <w:t>Sinteză statistică: Din totalul celor 24 de perechi de indicatori evaluate pe seria celor trei perioade de raportare (n = 3), 24 perechi (100,00%) obțin calificativul «Corelație optimă» (|r| &gt;= 0,75), iar 0 perechi obțin «Corelație bună». Cele mai puternice legături directe se înregistrează între «Capitaluri proprii și Capitaluri permanente» (r = 1,0000, r_s = 1,00) și «Cifra de afaceri și Riscul de insolvență Altman» (r = 0,9999), în timp ce cea mai pronunțată relație inversă apare la perechea «Fondul de rulment și Trezoreria netă» (r = -0,9134, r_s = -0,50), reflectând coerența evoluțiilor patrimoniale și de performanță.</w:t>
      </w:r>
    </w:p>
    <w:p>
      <w:pPr>
        <w:keepNext/>
        <w:spacing w:before="130" w:after="50"/>
        <w:pBdr>
          <w:bottom w:val="single" w:sz="8" w:space="2" w:color="1B365D"/>
        </w:pBdr>
      </w:pPr>
      <w:r>
        <w:rPr>
          <w:rFonts w:ascii="Calibri" w:hAnsi="Calibri" w:eastAsia="Calibri"/>
          <w:b/>
          <w:i w:val="0"/>
          <w:color w:val="1B365D"/>
          <w:sz w:val="21"/>
        </w:rPr>
        <w:t>21. Sinteza Diagnosticului Global și Recomandări Manageriale</w:t>
      </w:r>
    </w:p>
    <w:p>
      <w:pPr>
        <w:spacing w:before="20" w:after="40" w:line="264" w:lineRule="auto"/>
        <w:ind w:left="227"/>
        <w:jc w:val="both"/>
      </w:pPr>
      <w:r>
        <w:rPr>
          <w:rFonts w:ascii="Calibri" w:hAnsi="Calibri" w:eastAsia="Calibri"/>
          <w:b/>
          <w:i w:val="0"/>
          <w:color w:val="1B365D"/>
          <w:sz w:val="18"/>
        </w:rPr>
        <w:t xml:space="preserve">▪ 1. Poziție patrimonială și echilibru financiar: </w:t>
      </w:r>
      <w:r>
        <w:rPr>
          <w:rFonts w:ascii="Calibri" w:hAnsi="Calibri" w:eastAsia="Calibri"/>
          <w:b w:val="0"/>
          <w:i w:val="0"/>
          <w:color w:val="1E293B"/>
          <w:sz w:val="18"/>
        </w:rPr>
        <w:t>Pe ansamblul celor trei perioade de raportare, pe ansamblul celor trei perioade de raportare, capitalurile proprii se reduce progresiv cu -48,95%, trecând de la 344.152,05 lei (perioada 0) la 198.640,87 lei (perioada 1) și 175.693,97 lei (perioada 2), acoperind activele imobilizate nete (1.162.736,07 lei în perioada de raportare 2) în proporție de 15,11% și generând în perioada de raportare 2 un Fond de Rulment Patrimonial de -951.628,52 lei, un Fond de Rulment Propriu de -987.042,10 lei și o Trezorerie Netă de 259.716,77 lei.</w:t>
      </w:r>
    </w:p>
    <w:p>
      <w:pPr>
        <w:spacing w:before="20" w:after="40" w:line="264" w:lineRule="auto"/>
        <w:ind w:left="227"/>
        <w:jc w:val="both"/>
      </w:pPr>
      <w:r>
        <w:rPr>
          <w:rFonts w:ascii="Calibri" w:hAnsi="Calibri" w:eastAsia="Calibri"/>
          <w:b/>
          <w:i w:val="0"/>
          <w:color w:val="1B365D"/>
          <w:sz w:val="18"/>
        </w:rPr>
        <w:t xml:space="preserve">▪ 2. Lichiditate, solvabilitate și capacitate de îndatorare bancară: </w:t>
      </w:r>
      <w:r>
        <w:rPr>
          <w:rFonts w:ascii="Calibri" w:hAnsi="Calibri" w:eastAsia="Calibri"/>
          <w:b w:val="0"/>
          <w:i w:val="0"/>
          <w:color w:val="1E293B"/>
          <w:sz w:val="18"/>
        </w:rPr>
        <w:t>Capacitatea de plată în perioada de raportare 2 este caracterizată de o lichiditate curentă de 29,90%, o lichiditate rapidă de 22,97% și o lichiditate imediată de 19,13% (lichiditate imediată efectivă de 19,13%), dublată de o Solvabilitate Generală de 112,61% și un efect de îndatorare de -12,19% (În perioada de raportare 2, îndatorarea generează EFECT DE MĂCIUCĂ negativ asupra întreprinderii (Re &lt; Rd)).</w:t>
      </w:r>
    </w:p>
    <w:p>
      <w:pPr>
        <w:spacing w:before="20" w:after="40" w:line="264" w:lineRule="auto"/>
        <w:ind w:left="227"/>
        <w:jc w:val="both"/>
      </w:pPr>
      <w:r>
        <w:rPr>
          <w:rFonts w:ascii="Calibri" w:hAnsi="Calibri" w:eastAsia="Calibri"/>
          <w:b/>
          <w:i w:val="0"/>
          <w:color w:val="1B365D"/>
          <w:sz w:val="18"/>
        </w:rPr>
        <w:t xml:space="preserve">▪ 3. Performanță operațională, autofinanțare și risc de insolvență: </w:t>
      </w:r>
      <w:r>
        <w:rPr>
          <w:rFonts w:ascii="Calibri" w:hAnsi="Calibri" w:eastAsia="Calibri"/>
          <w:b w:val="0"/>
          <w:i w:val="0"/>
          <w:color w:val="1E293B"/>
          <w:sz w:val="18"/>
        </w:rPr>
        <w:t>Performanța acumulată în perioada de raportare 2 se concretizează într-o Cifră de Afaceri Netă de 1.925.736,89 lei, un Excedent Brut de Exploatare (EBE) de 222.102,62 lei, un Profit Net de 88.252,93 lei și o Capacitate de Autofinanțare (CAF deductiv = CAF aditiv) de 162.335,21 lei, în condițiile unor rate de rentabilitate ROA = 5,63%, ROE = 50,23% și ROS = 4,58% și ale unui Scor Altman ajustat de 0,8882.</w:t>
      </w:r>
    </w:p>
    <w:p>
      <w:pPr>
        <w:spacing w:before="20" w:after="40" w:line="264" w:lineRule="auto"/>
        <w:ind w:left="227"/>
        <w:jc w:val="both"/>
      </w:pPr>
      <w:r>
        <w:rPr>
          <w:rFonts w:ascii="Calibri" w:hAnsi="Calibri" w:eastAsia="Calibri"/>
          <w:b/>
          <w:i w:val="0"/>
          <w:color w:val="1B365D"/>
          <w:sz w:val="18"/>
        </w:rPr>
        <w:t xml:space="preserve">▪ 4. Recomandări manageriale adaptate profilului financiar: </w:t>
      </w:r>
      <w:r>
        <w:rPr>
          <w:rFonts w:ascii="Calibri" w:hAnsi="Calibri" w:eastAsia="Calibri"/>
          <w:b w:val="0"/>
          <w:i w:val="0"/>
          <w:color w:val="1E293B"/>
          <w:sz w:val="18"/>
        </w:rPr>
        <w:t>Având în vedere Trezoreria Netă pozitivă (259.716,77 lei) și disponibilitățile bănești de 259.716,77 lei din perioada de raportare 2, se recomandă plasarea excedentului monetar în instrumente purtătoare de dobândă sau rambursarea anticipată parțială a creditului pe termen lung în sold (35.413,58 lei), concomitent cu menținerea duratei de încasare a clienților (1,7 zile) sub durata de plată a furnizorilor (7,8 zile).</w:t>
      </w:r>
    </w:p>
    <w:sectPr w:rsidR="00FC693F" w:rsidRPr="0006063C" w:rsidSect="00034616">
      <w:headerReference w:type="default" r:id="rId9"/>
      <w:footerReference w:type="default" r:id="rId10"/>
      <w:pgSz w:w="11906" w:h="16838"/>
      <w:pgMar w:top="794"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4748B"/>
        <w:sz w:val="16"/>
      </w:rPr>
      <w:t xml:space="preserve">Pagina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64748B"/>
        <w:sz w:val="15"/>
      </w:rPr>
      <w:t>CASA BACIU COLACU S.R.L. (C.I.F. RO47660836)  •  Raport de Analiză a Poziției și Performanțelor Financiare (Septembrie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