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5252A7F6" w:rsidR="00417066" w:rsidRPr="00302BF9" w:rsidRDefault="00302BF9" w:rsidP="00780A12">
      <w:pPr>
        <w:pStyle w:val="Title"/>
      </w:pPr>
      <w:r w:rsidRPr="00302BF9">
        <w:t>dnwTennis</w:t>
      </w:r>
      <w:r w:rsidR="00F16FD0">
        <w:t xml:space="preserve"> – Registration Web Site</w:t>
      </w:r>
    </w:p>
    <w:p w14:paraId="4802576B" w14:textId="1CE06F8D" w:rsidR="00F16FD0" w:rsidRDefault="00F16FD0">
      <w:pPr>
        <w:rPr>
          <w:sz w:val="28"/>
          <w:szCs w:val="28"/>
        </w:rPr>
      </w:pPr>
      <w:r>
        <w:rPr>
          <w:sz w:val="28"/>
          <w:szCs w:val="28"/>
        </w:rPr>
        <w:t>Registration Web Site for the</w:t>
      </w:r>
    </w:p>
    <w:p w14:paraId="5871ECDF" w14:textId="2DB47170" w:rsidR="00302BF9" w:rsidRDefault="00302BF9">
      <w:pPr>
        <w:rPr>
          <w:sz w:val="28"/>
          <w:szCs w:val="28"/>
        </w:rPr>
      </w:pPr>
      <w:r>
        <w:rPr>
          <w:sz w:val="28"/>
          <w:szCs w:val="28"/>
        </w:rPr>
        <w:t xml:space="preserve">camp registration </w:t>
      </w:r>
      <w:r w:rsidR="00780A12">
        <w:rPr>
          <w:sz w:val="28"/>
          <w:szCs w:val="28"/>
        </w:rPr>
        <w:t>system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721FD0A6" w:rsidR="001B7EFD" w:rsidRDefault="00F16FD0">
      <w:r>
        <w:t>The registration web site will be again updated significantly for the 2015 season. The enhancements will be focused on improving and freshening the interface as well as bringing the form to life such that a user who logs in will be able to come back and edit their registrations.</w:t>
      </w:r>
    </w:p>
    <w:p w14:paraId="5A709A63" w14:textId="77777777" w:rsidR="001B7EFD" w:rsidRDefault="001B7EFD"/>
    <w:sdt>
      <w:sdtPr>
        <w:rPr>
          <w:rFonts w:asciiTheme="minorHAnsi" w:eastAsiaTheme="minorEastAsia" w:hAnsiTheme="minorHAnsi" w:cstheme="minorBidi"/>
          <w:b w:val="0"/>
          <w:bCs w:val="0"/>
          <w:color w:val="auto"/>
          <w:sz w:val="24"/>
          <w:szCs w:val="24"/>
        </w:rPr>
        <w:id w:val="600919709"/>
        <w:docPartObj>
          <w:docPartGallery w:val="Table of Contents"/>
          <w:docPartUnique/>
        </w:docPartObj>
      </w:sdtPr>
      <w:sdtEndPr>
        <w:rPr>
          <w:noProof/>
        </w:rPr>
      </w:sdtEndPr>
      <w:sdtContent>
        <w:p w14:paraId="14CF6D0B" w14:textId="05F1EA00" w:rsidR="00780A12" w:rsidRDefault="00780A12">
          <w:pPr>
            <w:pStyle w:val="TOCHeading"/>
          </w:pPr>
          <w:r>
            <w:t>Table of Contents</w:t>
          </w:r>
        </w:p>
        <w:p w14:paraId="10E5CE24" w14:textId="77777777" w:rsidR="00F16FD0"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F16FD0">
            <w:rPr>
              <w:noProof/>
            </w:rPr>
            <w:t>Features Summary</w:t>
          </w:r>
          <w:r w:rsidR="00F16FD0">
            <w:rPr>
              <w:noProof/>
            </w:rPr>
            <w:tab/>
          </w:r>
          <w:r w:rsidR="00F16FD0">
            <w:rPr>
              <w:noProof/>
            </w:rPr>
            <w:fldChar w:fldCharType="begin"/>
          </w:r>
          <w:r w:rsidR="00F16FD0">
            <w:rPr>
              <w:noProof/>
            </w:rPr>
            <w:instrText xml:space="preserve"> PAGEREF _Toc273281630 \h </w:instrText>
          </w:r>
          <w:r w:rsidR="00F16FD0">
            <w:rPr>
              <w:noProof/>
            </w:rPr>
          </w:r>
          <w:r w:rsidR="00F16FD0">
            <w:rPr>
              <w:noProof/>
            </w:rPr>
            <w:fldChar w:fldCharType="separate"/>
          </w:r>
          <w:r w:rsidR="00F16FD0">
            <w:rPr>
              <w:noProof/>
            </w:rPr>
            <w:t>1</w:t>
          </w:r>
          <w:r w:rsidR="00F16FD0">
            <w:rPr>
              <w:noProof/>
            </w:rPr>
            <w:fldChar w:fldCharType="end"/>
          </w:r>
        </w:p>
        <w:p w14:paraId="5B21E423" w14:textId="77777777" w:rsidR="00F16FD0" w:rsidRDefault="00F16FD0">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_Toc273281631 \h </w:instrText>
          </w:r>
          <w:r>
            <w:rPr>
              <w:noProof/>
            </w:rPr>
          </w:r>
          <w:r>
            <w:rPr>
              <w:noProof/>
            </w:rPr>
            <w:fldChar w:fldCharType="separate"/>
          </w:r>
          <w:r>
            <w:rPr>
              <w:noProof/>
            </w:rPr>
            <w:t>1</w:t>
          </w:r>
          <w:r>
            <w:rPr>
              <w:noProof/>
            </w:rPr>
            <w:fldChar w:fldCharType="end"/>
          </w:r>
        </w:p>
        <w:p w14:paraId="3E3A013C" w14:textId="77777777" w:rsidR="00F16FD0" w:rsidRDefault="00F16FD0">
          <w:pPr>
            <w:pStyle w:val="TOC1"/>
            <w:tabs>
              <w:tab w:val="right" w:leader="dot" w:pos="8630"/>
            </w:tabs>
            <w:rPr>
              <w:b w:val="0"/>
              <w:noProof/>
              <w:lang w:eastAsia="ja-JP"/>
            </w:rPr>
          </w:pPr>
          <w:r>
            <w:rPr>
              <w:noProof/>
            </w:rPr>
            <w:t>Logins</w:t>
          </w:r>
          <w:r>
            <w:rPr>
              <w:noProof/>
            </w:rPr>
            <w:tab/>
          </w:r>
          <w:r>
            <w:rPr>
              <w:noProof/>
            </w:rPr>
            <w:fldChar w:fldCharType="begin"/>
          </w:r>
          <w:r>
            <w:rPr>
              <w:noProof/>
            </w:rPr>
            <w:instrText xml:space="preserve"> PAGEREF _Toc273281632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0" w:name="_Toc273281630"/>
      <w:r>
        <w:t>Features Summary</w:t>
      </w:r>
      <w:bookmarkEnd w:id="0"/>
    </w:p>
    <w:p w14:paraId="176CE954" w14:textId="07E59CCE" w:rsidR="006B79AC" w:rsidRDefault="006B79AC" w:rsidP="00F16FD0">
      <w:pPr>
        <w:pStyle w:val="ListParagraph"/>
        <w:numPr>
          <w:ilvl w:val="0"/>
          <w:numId w:val="5"/>
        </w:numPr>
      </w:pPr>
      <w:r>
        <w:t xml:space="preserve">Optional email </w:t>
      </w:r>
      <w:r w:rsidR="00AE3289">
        <w:t xml:space="preserve">entry </w:t>
      </w:r>
      <w:r>
        <w:t>for each camper</w:t>
      </w:r>
    </w:p>
    <w:p w14:paraId="65A615EE" w14:textId="2FA44705" w:rsidR="00F16FD0" w:rsidRDefault="00F16FD0" w:rsidP="00F16FD0">
      <w:pPr>
        <w:pStyle w:val="ListParagraph"/>
        <w:numPr>
          <w:ilvl w:val="0"/>
          <w:numId w:val="5"/>
        </w:numPr>
      </w:pPr>
      <w:r>
        <w:t>Memory of past camper data so a user can select instead of typing it all in</w:t>
      </w:r>
    </w:p>
    <w:p w14:paraId="34A83FE8" w14:textId="35C4B740" w:rsidR="00B82792" w:rsidRDefault="00B82792" w:rsidP="00F16FD0">
      <w:pPr>
        <w:pStyle w:val="ListParagraph"/>
        <w:numPr>
          <w:ilvl w:val="0"/>
          <w:numId w:val="5"/>
        </w:numPr>
      </w:pPr>
      <w:r>
        <w:t xml:space="preserve">Users can modify </w:t>
      </w:r>
      <w:r w:rsidR="00AE3289">
        <w:t>or delete an existing registration</w:t>
      </w:r>
    </w:p>
    <w:p w14:paraId="319169FF" w14:textId="13AB7B5C" w:rsidR="00B82792" w:rsidRDefault="006B79AC" w:rsidP="00F16FD0">
      <w:pPr>
        <w:pStyle w:val="ListParagraph"/>
        <w:numPr>
          <w:ilvl w:val="0"/>
          <w:numId w:val="5"/>
        </w:numPr>
      </w:pPr>
      <w:r>
        <w:t>Confirmation email needs to be prettied up</w:t>
      </w:r>
    </w:p>
    <w:p w14:paraId="2ECEA531" w14:textId="6244E3D7" w:rsidR="00441A78" w:rsidRDefault="00441A78" w:rsidP="00441A78">
      <w:pPr>
        <w:pStyle w:val="ListParagraph"/>
        <w:numPr>
          <w:ilvl w:val="1"/>
          <w:numId w:val="5"/>
        </w:numPr>
      </w:pPr>
      <w:r>
        <w:t xml:space="preserve">Add </w:t>
      </w:r>
      <w:r w:rsidR="00AE3289">
        <w:t xml:space="preserve">a link to the </w:t>
      </w:r>
      <w:r>
        <w:t>reservation ID to email so user can come back later and edit</w:t>
      </w:r>
    </w:p>
    <w:p w14:paraId="56B6F0CF" w14:textId="434117E1" w:rsidR="00AE3289" w:rsidRDefault="00AE3289" w:rsidP="00AE3289">
      <w:pPr>
        <w:pStyle w:val="ListParagraph"/>
        <w:numPr>
          <w:ilvl w:val="0"/>
          <w:numId w:val="5"/>
        </w:numPr>
      </w:pPr>
      <w:r>
        <w:t>What should confirmation email do when reservation is modified or deleted?</w:t>
      </w:r>
    </w:p>
    <w:p w14:paraId="1C70AF0D" w14:textId="332A2607" w:rsidR="006D0F99" w:rsidRDefault="006D0F99" w:rsidP="00AE3289">
      <w:pPr>
        <w:pStyle w:val="ListParagraph"/>
        <w:numPr>
          <w:ilvl w:val="0"/>
          <w:numId w:val="5"/>
        </w:numPr>
      </w:pPr>
      <w:r>
        <w:t>Logging</w:t>
      </w:r>
    </w:p>
    <w:p w14:paraId="29F83C32" w14:textId="54002D18" w:rsidR="006D0F99" w:rsidRDefault="006D0F99" w:rsidP="006D0F99">
      <w:pPr>
        <w:pStyle w:val="ListParagraph"/>
        <w:numPr>
          <w:ilvl w:val="1"/>
          <w:numId w:val="5"/>
        </w:numPr>
      </w:pPr>
      <w:r>
        <w:t>Start tracking when users start a form, when one is abandoned…</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1" w:name="_Toc273281631"/>
      <w:r>
        <w:t>ReWrite</w:t>
      </w:r>
      <w:bookmarkEnd w:id="1"/>
    </w:p>
    <w:p w14:paraId="30037292" w14:textId="5F3B7EA0" w:rsidR="00F25693" w:rsidRDefault="007D644C">
      <w:r>
        <w:t xml:space="preserve">I have tried to come up with some good reasons for the rewrite but they are all made up. The real reason I am rewriting this is because I want to write a complete </w:t>
      </w:r>
      <w:r>
        <w:lastRenderedPageBreak/>
        <w:t xml:space="preserve">application in GO using mongoDB. So there – I said it. The original selection of PHP had more to do with what was supported at Dreamhost where the site is hosted. </w:t>
      </w:r>
    </w:p>
    <w:p w14:paraId="69C3D34B" w14:textId="77777777" w:rsidR="00F25693" w:rsidRDefault="00F25693"/>
    <w:p w14:paraId="2CDFA0AE" w14:textId="5B6D6460" w:rsidR="001B7EFD" w:rsidRDefault="007D644C">
      <w:r>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3E86B573" w14:textId="2B176C53" w:rsidR="00B82792" w:rsidRDefault="00F25693" w:rsidP="00F16FD0">
      <w:pPr>
        <w:pStyle w:val="ListParagraph"/>
        <w:numPr>
          <w:ilvl w:val="0"/>
          <w:numId w:val="3"/>
        </w:numPr>
      </w:pPr>
      <w:r>
        <w:t>Bootstrap – The Twitter CSS Package</w:t>
      </w:r>
    </w:p>
    <w:p w14:paraId="4F3D0868" w14:textId="427A1F38" w:rsidR="006B79AC" w:rsidRDefault="00AE3289" w:rsidP="00AE3289">
      <w:pPr>
        <w:pStyle w:val="Heading1"/>
      </w:pPr>
      <w:r>
        <w:t>Users Modification of Reservations</w:t>
      </w:r>
    </w:p>
    <w:p w14:paraId="29627DA0" w14:textId="1EC5370B" w:rsidR="00AE3289" w:rsidRPr="00AE3289" w:rsidRDefault="00AE3289" w:rsidP="00AE3289">
      <w:r>
        <w:t xml:space="preserve">The big change for the 2015 version is the ability for a user to edit their own reservations </w:t>
      </w:r>
      <w:r w:rsidR="006D0F99">
        <w:t xml:space="preserve">without having to login to anything. This will be handled by having the software place a parameterized URL as a link in the confirmation email that can be clicked on to edit the reservation. </w:t>
      </w:r>
      <w:hyperlink r:id="rId7" w:history="1">
        <w:r w:rsidR="006D0F99" w:rsidRPr="000E4B3A">
          <w:rPr>
            <w:rStyle w:val="Hyperlink"/>
          </w:rPr>
          <w:t>http://dnwtennis.com?resid=xxxxx</w:t>
        </w:r>
      </w:hyperlink>
      <w:r w:rsidR="006D0F99">
        <w:t xml:space="preserve"> where xxxxx is the reservatio</w:t>
      </w:r>
      <w:r w:rsidR="00E10D78">
        <w:t>n id. A new reservation will simply go to http://</w:t>
      </w:r>
      <w:bookmarkStart w:id="2" w:name="_GoBack"/>
      <w:bookmarkEnd w:id="2"/>
      <w:r w:rsidR="00E10D78">
        <w:t>dnwtennis.com</w:t>
      </w:r>
    </w:p>
    <w:p w14:paraId="73786CF9" w14:textId="77777777" w:rsidR="006B79AC" w:rsidRDefault="006B79AC"/>
    <w:p w14:paraId="3BF65756" w14:textId="77777777" w:rsidR="006B79AC" w:rsidRDefault="006B79AC">
      <w:r>
        <w:br w:type="page"/>
      </w:r>
    </w:p>
    <w:p w14:paraId="74815455" w14:textId="208D35C5" w:rsidR="006B79AC" w:rsidRDefault="006B79AC">
      <w:r>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THINK HERE – For the DNW camps the registration pages change as the registration deadline comes and goes but participants are allowed to continue signing up with a required confirmation by the camp coordinator. I wonder if for the dnw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 xml:space="preserve">After limit is reached new entries go on the waitlist – Case where camp has (n) spaces, Group (a) has (n+1) people and group (b) has (n) </w:t>
      </w:r>
      <w:r w:rsidR="008456AB">
        <w:t xml:space="preserve"> Group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MySql </w:t>
            </w:r>
            <w:r>
              <w:sym w:font="Wingdings" w:char="F0E0"/>
            </w:r>
            <w:r>
              <w:t xml:space="preserve"> MongoDB</w:t>
            </w:r>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41A78"/>
    <w:rsid w:val="0048188B"/>
    <w:rsid w:val="00485038"/>
    <w:rsid w:val="004A57F0"/>
    <w:rsid w:val="005645C8"/>
    <w:rsid w:val="00585CAD"/>
    <w:rsid w:val="005B63BA"/>
    <w:rsid w:val="005C306F"/>
    <w:rsid w:val="006B79AC"/>
    <w:rsid w:val="006D0F99"/>
    <w:rsid w:val="00780A12"/>
    <w:rsid w:val="007D644C"/>
    <w:rsid w:val="008456AB"/>
    <w:rsid w:val="00887BD9"/>
    <w:rsid w:val="008F4948"/>
    <w:rsid w:val="009A0D09"/>
    <w:rsid w:val="00AE3289"/>
    <w:rsid w:val="00B43153"/>
    <w:rsid w:val="00B82792"/>
    <w:rsid w:val="00BC261B"/>
    <w:rsid w:val="00CC3108"/>
    <w:rsid w:val="00DA35F9"/>
    <w:rsid w:val="00E10D78"/>
    <w:rsid w:val="00E2305F"/>
    <w:rsid w:val="00E233EF"/>
    <w:rsid w:val="00EF502F"/>
    <w:rsid w:val="00F16FD0"/>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D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nwtennis.com?resid=xxxx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CE4C-42A5-6A4A-A1BF-42256AA6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Pages>
  <Words>756</Words>
  <Characters>4313</Characters>
  <Application>Microsoft Macintosh Word</Application>
  <DocSecurity>0</DocSecurity>
  <Lines>35</Lines>
  <Paragraphs>10</Paragraphs>
  <ScaleCrop>false</ScaleCrop>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Tom Lennon</cp:lastModifiedBy>
  <cp:revision>15</cp:revision>
  <dcterms:created xsi:type="dcterms:W3CDTF">2014-06-01T22:07:00Z</dcterms:created>
  <dcterms:modified xsi:type="dcterms:W3CDTF">2014-09-26T17:28:00Z</dcterms:modified>
</cp:coreProperties>
</file>