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ADA3F" w14:textId="7A662F7C" w:rsidR="00D9529F" w:rsidRPr="00D9529F" w:rsidRDefault="00D9529F" w:rsidP="00D9529F">
      <w:pPr>
        <w:pStyle w:val="Heading1"/>
      </w:pPr>
      <w:r w:rsidRPr="00D9529F">
        <w:t xml:space="preserve">Analysing NYC </w:t>
      </w:r>
      <w:proofErr w:type="spellStart"/>
      <w:r w:rsidRPr="00D9529F">
        <w:t>CitiBike</w:t>
      </w:r>
      <w:proofErr w:type="spellEnd"/>
      <w:r w:rsidRPr="00D9529F">
        <w:t xml:space="preserve"> Usage Patterns In 2019</w:t>
      </w:r>
    </w:p>
    <w:p w14:paraId="626C9FF4" w14:textId="77777777" w:rsidR="00901C72" w:rsidRDefault="00901C72" w:rsidP="00D9529F">
      <w:pPr>
        <w:pStyle w:val="Heading2"/>
      </w:pPr>
    </w:p>
    <w:p w14:paraId="2A1C5205" w14:textId="0EE2F928" w:rsidR="007735F1" w:rsidRDefault="00D9529F" w:rsidP="00E1607D">
      <w:pPr>
        <w:pStyle w:val="Heading2"/>
      </w:pPr>
      <w:r w:rsidRPr="00D9529F">
        <w:t>INTRODUCTION (joint, 10</w:t>
      </w:r>
      <w:r w:rsidR="0034149F">
        <w:t xml:space="preserve"> marks</w:t>
      </w:r>
      <w:r w:rsidR="00627A0A">
        <w:t xml:space="preserve"> – </w:t>
      </w:r>
      <w:r w:rsidR="00627A0A" w:rsidRPr="00627A0A">
        <w:rPr>
          <w:i/>
          <w:iCs/>
        </w:rPr>
        <w:t>250 words</w:t>
      </w:r>
      <w:r w:rsidRPr="00D9529F">
        <w:t xml:space="preserve">): Problem definition, background and brief literature review </w:t>
      </w:r>
    </w:p>
    <w:p w14:paraId="3EBF8928" w14:textId="601E7618" w:rsidR="007735F1" w:rsidRDefault="007735F1" w:rsidP="007735F1">
      <w:r w:rsidRPr="007735F1">
        <w:t>Citibike is a docked bike-sharing system in New York City, where users can rent a bike from one station, cycle to their destination, and dock it at another station</w:t>
      </w:r>
      <w:r>
        <w:t xml:space="preserve"> close to their destination. </w:t>
      </w:r>
      <w:r w:rsidRPr="007735F1">
        <w:t>This system generates detailed transaction-level data, freely available for analysis, enabling studies of spatial and temporal usage patterns.</w:t>
      </w:r>
    </w:p>
    <w:p w14:paraId="265AF7BC" w14:textId="793F7E0B" w:rsidR="00762298" w:rsidRDefault="00762298" w:rsidP="00762298">
      <w:r w:rsidRPr="00762298">
        <w:t>Numerous studies have utilized this dataset to analyse usage patterns, revealing two key themes:</w:t>
      </w:r>
    </w:p>
    <w:p w14:paraId="7DE6E016" w14:textId="03610C6C" w:rsidR="00762298" w:rsidRDefault="007735F1" w:rsidP="007735F1">
      <w:pPr>
        <w:pStyle w:val="ListParagraph"/>
        <w:numPr>
          <w:ilvl w:val="0"/>
          <w:numId w:val="5"/>
        </w:numPr>
      </w:pPr>
      <w:r w:rsidRPr="007735F1">
        <w:rPr>
          <w:b/>
          <w:bCs/>
        </w:rPr>
        <w:t>Weather Influence:</w:t>
      </w:r>
      <w:r w:rsidRPr="007735F1">
        <w:t xml:space="preserve"> Citibike usage is highly </w:t>
      </w:r>
      <w:r w:rsidR="00762298">
        <w:t>weather-</w:t>
      </w:r>
      <w:r w:rsidRPr="007735F1">
        <w:t xml:space="preserve">dependent. </w:t>
      </w:r>
      <w:r w:rsidR="00762298" w:rsidRPr="00762298">
        <w:t>Studies (An et al., 2019</w:t>
      </w:r>
      <w:r w:rsidR="00762298">
        <w:rPr>
          <w:rStyle w:val="FootnoteReference"/>
        </w:rPr>
        <w:footnoteReference w:id="1"/>
      </w:r>
      <w:r w:rsidR="00762298" w:rsidRPr="00762298">
        <w:t>; Jiang et al., 2020</w:t>
      </w:r>
      <w:r w:rsidR="00762298">
        <w:rPr>
          <w:rStyle w:val="FootnoteReference"/>
        </w:rPr>
        <w:footnoteReference w:id="2"/>
      </w:r>
      <w:r w:rsidR="00762298" w:rsidRPr="00762298">
        <w:t>) have found that temperature, precipitation, humidity, and wind speed significantly impact trip volume. Hamad, Ma, and Antoniou (2021) observed peak usage during summer, followed by autumn, spring, and winter, indicating strong seasonal trends</w:t>
      </w:r>
      <w:r w:rsidR="00762298">
        <w:t xml:space="preserve">. </w:t>
      </w:r>
    </w:p>
    <w:p w14:paraId="499C3F99" w14:textId="77777777" w:rsidR="007735F1" w:rsidRDefault="007735F1" w:rsidP="007735F1">
      <w:pPr>
        <w:pStyle w:val="ListParagraph"/>
      </w:pPr>
    </w:p>
    <w:p w14:paraId="52FEE1BA" w14:textId="3AE8CBD3" w:rsidR="00762298" w:rsidRDefault="007735F1" w:rsidP="007735F1">
      <w:pPr>
        <w:pStyle w:val="ListParagraph"/>
        <w:numPr>
          <w:ilvl w:val="0"/>
          <w:numId w:val="5"/>
        </w:numPr>
      </w:pPr>
      <w:proofErr w:type="spellStart"/>
      <w:r w:rsidRPr="007735F1">
        <w:rPr>
          <w:b/>
          <w:bCs/>
        </w:rPr>
        <w:t>Spatio</w:t>
      </w:r>
      <w:proofErr w:type="spellEnd"/>
      <w:r w:rsidRPr="007735F1">
        <w:rPr>
          <w:b/>
          <w:bCs/>
        </w:rPr>
        <w:t>-</w:t>
      </w:r>
      <w:r>
        <w:rPr>
          <w:b/>
          <w:bCs/>
        </w:rPr>
        <w:t>t</w:t>
      </w:r>
      <w:r w:rsidRPr="007735F1">
        <w:rPr>
          <w:b/>
          <w:bCs/>
        </w:rPr>
        <w:t>emporal Clusters:</w:t>
      </w:r>
      <w:r w:rsidRPr="007735F1">
        <w:t> </w:t>
      </w:r>
      <w:r w:rsidR="00E1607D" w:rsidRPr="00E1607D">
        <w:t>Liu et al. (2021)</w:t>
      </w:r>
      <w:r w:rsidR="00E1607D" w:rsidRPr="00E1607D">
        <w:rPr>
          <w:rStyle w:val="FootnoteReference"/>
        </w:rPr>
        <w:t xml:space="preserve"> </w:t>
      </w:r>
      <w:r w:rsidR="00E1607D">
        <w:rPr>
          <w:rStyle w:val="FootnoteReference"/>
        </w:rPr>
        <w:footnoteReference w:id="3"/>
      </w:r>
      <w:r w:rsidR="00E1607D" w:rsidRPr="00E1607D">
        <w:t xml:space="preserve"> identified distinct </w:t>
      </w:r>
      <w:r w:rsidR="00762298">
        <w:t xml:space="preserve">usage </w:t>
      </w:r>
      <w:r w:rsidR="00E1607D" w:rsidRPr="00E1607D">
        <w:t>clusters, including leisure-oriented patterns, residential areas with high morning outbound and evening inbound trips, and workplace clusters displaying the reverse trend. Noland, Smart, and Guo (2018)</w:t>
      </w:r>
      <w:r w:rsidR="00E1607D" w:rsidRPr="00E1607D">
        <w:rPr>
          <w:rStyle w:val="FootnoteReference"/>
          <w:color w:val="000000"/>
        </w:rPr>
        <w:t xml:space="preserve"> </w:t>
      </w:r>
      <w:r w:rsidR="00E1607D">
        <w:rPr>
          <w:rStyle w:val="FootnoteReference"/>
          <w:color w:val="000000"/>
        </w:rPr>
        <w:footnoteReference w:id="4"/>
      </w:r>
      <w:r w:rsidR="00E1607D" w:rsidRPr="00E1607D">
        <w:t xml:space="preserve"> </w:t>
      </w:r>
      <w:r w:rsidR="00762298" w:rsidRPr="00E1607D">
        <w:t xml:space="preserve">also </w:t>
      </w:r>
      <w:r w:rsidR="00762298">
        <w:t>identified</w:t>
      </w:r>
      <w:r w:rsidR="00762298" w:rsidRPr="00E1607D">
        <w:t xml:space="preserve"> </w:t>
      </w:r>
      <w:r w:rsidR="00762298">
        <w:t>these</w:t>
      </w:r>
      <w:r w:rsidR="00762298" w:rsidRPr="00E1607D">
        <w:t xml:space="preserve"> weekday peak/off-peak and weekend usag</w:t>
      </w:r>
      <w:r w:rsidR="00762298">
        <w:t>e clusters.</w:t>
      </w:r>
    </w:p>
    <w:p w14:paraId="15CD4CAB" w14:textId="0E4A28AC" w:rsidR="007735F1" w:rsidRPr="007735F1" w:rsidRDefault="007735F1" w:rsidP="007735F1">
      <w:r w:rsidRPr="007735F1">
        <w:t xml:space="preserve">This project builds on these insights by </w:t>
      </w:r>
      <w:r w:rsidR="00762298" w:rsidRPr="007735F1">
        <w:t>analysing</w:t>
      </w:r>
      <w:r w:rsidRPr="007735F1">
        <w:t xml:space="preserve"> Citibike usage across three representative months—summer, autumn, and winter. It examines how spatial and demographic factors, such as population age, housing density, commercial activity, and school-related housing, influence seasonal variations in usage. Regression analysis will </w:t>
      </w:r>
      <w:r w:rsidR="00762298">
        <w:t>assess the significance</w:t>
      </w:r>
      <w:r w:rsidRPr="007735F1">
        <w:t xml:space="preserve"> of these variables, offering a nuanced understanding of Citibike’s role in urban mobility across different times of the year.</w:t>
      </w:r>
    </w:p>
    <w:p w14:paraId="749B9D88" w14:textId="77777777" w:rsidR="007735F1" w:rsidRDefault="007735F1" w:rsidP="00D9529F">
      <w:pPr>
        <w:pStyle w:val="Heading2"/>
      </w:pPr>
    </w:p>
    <w:p w14:paraId="3DA9AACE" w14:textId="3DE77C62" w:rsidR="00D9529F" w:rsidRDefault="00D9529F" w:rsidP="00D9529F">
      <w:pPr>
        <w:pStyle w:val="Heading2"/>
      </w:pPr>
      <w:r w:rsidRPr="00D9529F">
        <w:t>Data description (joint, 10</w:t>
      </w:r>
      <w:r w:rsidR="0034149F">
        <w:t xml:space="preserve"> marks</w:t>
      </w:r>
      <w:r w:rsidR="00627A0A">
        <w:t xml:space="preserve"> – </w:t>
      </w:r>
      <w:r w:rsidR="00627A0A" w:rsidRPr="00627A0A">
        <w:rPr>
          <w:i/>
          <w:iCs/>
        </w:rPr>
        <w:t>250 words</w:t>
      </w:r>
      <w:r w:rsidRPr="00D9529F">
        <w:t xml:space="preserve">): Justify your choice of data and provide sources </w:t>
      </w:r>
    </w:p>
    <w:p w14:paraId="6A049C7A" w14:textId="0F2362CB" w:rsidR="007F29D6" w:rsidRDefault="007F29D6" w:rsidP="007F29D6">
      <w:r w:rsidRPr="007F29D6">
        <w:t xml:space="preserve">This study utilizes </w:t>
      </w:r>
      <w:r w:rsidR="005014E7">
        <w:t>two</w:t>
      </w:r>
      <w:r w:rsidRPr="007F29D6">
        <w:t xml:space="preserve"> primary datasets</w:t>
      </w:r>
      <w:r w:rsidR="007857D8">
        <w:t xml:space="preserve"> – the Citibike </w:t>
      </w:r>
      <w:r w:rsidR="002447AA">
        <w:t xml:space="preserve">transaction data aggregated at census tract level. </w:t>
      </w:r>
      <w:r w:rsidR="00174BD5">
        <w:t xml:space="preserve">The </w:t>
      </w:r>
      <w:r w:rsidR="00D462FA">
        <w:t>property tax dataset supplements the demographic data by providing a distribution of different land uses across the city.</w:t>
      </w:r>
      <w:r w:rsidR="007857D8">
        <w:t xml:space="preserve"> </w:t>
      </w:r>
    </w:p>
    <w:p w14:paraId="6AC4D529" w14:textId="77777777" w:rsidR="00C570C8" w:rsidRPr="00C570C8" w:rsidRDefault="007F29D6" w:rsidP="007F29D6">
      <w:pPr>
        <w:pStyle w:val="ListParagraph"/>
        <w:numPr>
          <w:ilvl w:val="0"/>
          <w:numId w:val="6"/>
        </w:numPr>
      </w:pPr>
      <w:r w:rsidRPr="007F29D6">
        <w:rPr>
          <w:b/>
          <w:bCs/>
        </w:rPr>
        <w:t>Citi Bike System Data</w:t>
      </w:r>
      <w:r>
        <w:rPr>
          <w:rStyle w:val="FootnoteReference"/>
          <w:b/>
          <w:bCs/>
        </w:rPr>
        <w:footnoteReference w:id="5"/>
      </w:r>
      <w:r w:rsidRPr="007F29D6">
        <w:rPr>
          <w:b/>
          <w:bCs/>
        </w:rPr>
        <w:t>:</w:t>
      </w:r>
    </w:p>
    <w:p w14:paraId="3F1504DC" w14:textId="43B43349" w:rsidR="007F29D6" w:rsidRDefault="00C570C8" w:rsidP="00C570C8">
      <w:pPr>
        <w:pStyle w:val="ListParagraph"/>
      </w:pPr>
      <w:r>
        <w:rPr>
          <w:noProof/>
        </w:rPr>
        <w:drawing>
          <wp:inline distT="0" distB="0" distL="0" distR="0" wp14:anchorId="54A2BB38" wp14:editId="32431062">
            <wp:extent cx="3940810" cy="4093845"/>
            <wp:effectExtent l="0" t="0" r="0" b="0"/>
            <wp:docPr id="2090947975" name="Picture 2" descr="A map of a bi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47975" name="Picture 2" descr="A map of a bik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1243"/>
                    <a:stretch/>
                  </pic:blipFill>
                  <pic:spPr bwMode="auto">
                    <a:xfrm>
                      <a:off x="0" y="0"/>
                      <a:ext cx="3940810" cy="4093845"/>
                    </a:xfrm>
                    <a:prstGeom prst="rect">
                      <a:avLst/>
                    </a:prstGeom>
                    <a:noFill/>
                    <a:ln>
                      <a:noFill/>
                    </a:ln>
                    <a:extLst>
                      <a:ext uri="{53640926-AAD7-44D8-BBD7-CCE9431645EC}">
                        <a14:shadowObscured xmlns:a14="http://schemas.microsoft.com/office/drawing/2010/main"/>
                      </a:ext>
                    </a:extLst>
                  </pic:spPr>
                </pic:pic>
              </a:graphicData>
            </a:graphic>
          </wp:inline>
        </w:drawing>
      </w:r>
      <w:r w:rsidR="007F29D6" w:rsidRPr="007F29D6">
        <w:br/>
        <w:t>The Citibike transaction dataset is sourced from Lyft, in collaboration with the NYC Department of Transportation. This dataset provides detailed trip-level information, including trip duration, origin and destination stations, and timestamps. To represent seasonal variations effectively, three months were selected—January (winter), July (summer), and October (autumn)—as they typically exhibit consistent temperature and precipitation within each month, minimizing weather-related fluctuations.</w:t>
      </w:r>
    </w:p>
    <w:p w14:paraId="5E735B70" w14:textId="77777777" w:rsidR="007F29D6" w:rsidRDefault="007F29D6" w:rsidP="007F29D6">
      <w:pPr>
        <w:pStyle w:val="ListParagraph"/>
        <w:keepNext/>
      </w:pPr>
      <w:r>
        <w:rPr>
          <w:noProof/>
        </w:rPr>
        <w:lastRenderedPageBreak/>
        <w:drawing>
          <wp:inline distT="0" distB="0" distL="0" distR="0" wp14:anchorId="1724A681" wp14:editId="4E2D87CC">
            <wp:extent cx="5477510" cy="2793365"/>
            <wp:effectExtent l="0" t="0" r="0" b="635"/>
            <wp:docPr id="1837248732" name="Picture 2" descr="A graph showing the wea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48732" name="Picture 2" descr="A graph showing the weather&#10;&#10;Description automatically generated"/>
                    <pic:cNvPicPr/>
                  </pic:nvPicPr>
                  <pic:blipFill rotWithShape="1">
                    <a:blip r:embed="rId9" cstate="print">
                      <a:extLst>
                        <a:ext uri="{28A0092B-C50C-407E-A947-70E740481C1C}">
                          <a14:useLocalDpi xmlns:a14="http://schemas.microsoft.com/office/drawing/2010/main" val="0"/>
                        </a:ext>
                      </a:extLst>
                    </a:blip>
                    <a:srcRect l="4432"/>
                    <a:stretch/>
                  </pic:blipFill>
                  <pic:spPr bwMode="auto">
                    <a:xfrm>
                      <a:off x="0" y="0"/>
                      <a:ext cx="5477510" cy="2793365"/>
                    </a:xfrm>
                    <a:prstGeom prst="rect">
                      <a:avLst/>
                    </a:prstGeom>
                    <a:ln>
                      <a:noFill/>
                    </a:ln>
                    <a:extLst>
                      <a:ext uri="{53640926-AAD7-44D8-BBD7-CCE9431645EC}">
                        <a14:shadowObscured xmlns:a14="http://schemas.microsoft.com/office/drawing/2010/main"/>
                      </a:ext>
                    </a:extLst>
                  </pic:spPr>
                </pic:pic>
              </a:graphicData>
            </a:graphic>
          </wp:inline>
        </w:drawing>
      </w:r>
    </w:p>
    <w:p w14:paraId="5F3063D9" w14:textId="6C8851EE" w:rsidR="007F29D6" w:rsidRDefault="007F29D6" w:rsidP="007F29D6">
      <w:pPr>
        <w:pStyle w:val="Caption"/>
        <w:ind w:left="720"/>
      </w:pPr>
      <w:r w:rsidRPr="00FD68EE">
        <w:t>Fig</w:t>
      </w:r>
      <w:r w:rsidR="008E2653">
        <w:t>.</w:t>
      </w:r>
      <w:r w:rsidRPr="00FD68EE">
        <w:t xml:space="preserve"> 1: Historical weather data in New York City in 2019. </w:t>
      </w:r>
      <w:r w:rsidR="00F90CA1">
        <w:t xml:space="preserve">The months January, July and October exhibit relatively less fluctuations </w:t>
      </w:r>
      <w:r w:rsidR="00E424C2">
        <w:t xml:space="preserve">and are selected to represent its respective </w:t>
      </w:r>
      <w:r w:rsidR="0083384C">
        <w:t>seasons.</w:t>
      </w:r>
      <w:r w:rsidR="00F90CA1">
        <w:t xml:space="preserve"> </w:t>
      </w:r>
      <w:r w:rsidRPr="00FD68EE">
        <w:t>Data source: Newark Liberty International Airport Weather Station, accessed through</w:t>
      </w:r>
      <w:r w:rsidR="008E2653">
        <w:t xml:space="preserve"> and visualised on</w:t>
      </w:r>
      <w:r w:rsidRPr="00FD68EE">
        <w:t xml:space="preserve"> © WeatherSpark.com</w:t>
      </w:r>
    </w:p>
    <w:p w14:paraId="12B69D70" w14:textId="77777777" w:rsidR="007F29D6" w:rsidRDefault="007F29D6" w:rsidP="007F29D6">
      <w:pPr>
        <w:pStyle w:val="ListParagraph"/>
      </w:pPr>
    </w:p>
    <w:p w14:paraId="351DC7A3" w14:textId="77777777" w:rsidR="0057204E" w:rsidRPr="0057204E" w:rsidRDefault="007F29D6" w:rsidP="007F29D6">
      <w:pPr>
        <w:pStyle w:val="ListParagraph"/>
        <w:numPr>
          <w:ilvl w:val="0"/>
          <w:numId w:val="6"/>
        </w:numPr>
      </w:pPr>
      <w:r w:rsidRPr="007F29D6">
        <w:rPr>
          <w:b/>
          <w:bCs/>
        </w:rPr>
        <w:t>NYC 2020 Census Data</w:t>
      </w:r>
      <w:r>
        <w:rPr>
          <w:rStyle w:val="FootnoteReference"/>
          <w:b/>
          <w:bCs/>
        </w:rPr>
        <w:footnoteReference w:id="6"/>
      </w:r>
      <w:r w:rsidRPr="007F29D6">
        <w:rPr>
          <w:b/>
          <w:bCs/>
        </w:rPr>
        <w:t>:</w:t>
      </w:r>
    </w:p>
    <w:p w14:paraId="48B1429A" w14:textId="595998E4" w:rsidR="007F29D6" w:rsidRDefault="0057204E" w:rsidP="0057204E">
      <w:pPr>
        <w:pStyle w:val="ListParagraph"/>
      </w:pPr>
      <w:r>
        <w:rPr>
          <w:noProof/>
        </w:rPr>
        <w:drawing>
          <wp:inline distT="0" distB="0" distL="0" distR="0" wp14:anchorId="44603356" wp14:editId="4C856485">
            <wp:extent cx="4677410" cy="3619500"/>
            <wp:effectExtent l="0" t="0" r="0" b="0"/>
            <wp:docPr id="1225185006"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85006" name="Picture 1" descr="A map of a city&#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91" t="6203" b="5383"/>
                    <a:stretch/>
                  </pic:blipFill>
                  <pic:spPr bwMode="auto">
                    <a:xfrm>
                      <a:off x="0" y="0"/>
                      <a:ext cx="4677410" cy="3619500"/>
                    </a:xfrm>
                    <a:prstGeom prst="rect">
                      <a:avLst/>
                    </a:prstGeom>
                    <a:noFill/>
                    <a:ln>
                      <a:noFill/>
                    </a:ln>
                    <a:extLst>
                      <a:ext uri="{53640926-AAD7-44D8-BBD7-CCE9431645EC}">
                        <a14:shadowObscured xmlns:a14="http://schemas.microsoft.com/office/drawing/2010/main"/>
                      </a:ext>
                    </a:extLst>
                  </pic:spPr>
                </pic:pic>
              </a:graphicData>
            </a:graphic>
          </wp:inline>
        </w:drawing>
      </w:r>
      <w:r w:rsidR="007F29D6" w:rsidRPr="007F29D6">
        <w:br/>
        <w:t>Demographic data is sourced from the NYC Department of City Planning and the US Census Bureau’s 2020 Census.</w:t>
      </w:r>
      <w:r w:rsidR="007F29D6">
        <w:t xml:space="preserve"> </w:t>
      </w:r>
      <w:r w:rsidR="007F29D6" w:rsidRPr="007F29D6">
        <w:t>A key limitation of the NYC Census dataset is its decennial nature, with the latest edition completed in 2020. Significant demographic shifts, particularly due to the COVID-19 pandemic, may have occurred since, making post-2020 census data less reflective of conditions relevant to Citibike usage.</w:t>
      </w:r>
      <w:r w:rsidR="007F29D6">
        <w:t xml:space="preserve"> </w:t>
      </w:r>
      <w:r w:rsidR="007F29D6" w:rsidRPr="007F29D6">
        <w:t xml:space="preserve">To </w:t>
      </w:r>
      <w:r w:rsidR="007F29D6" w:rsidRPr="007F29D6">
        <w:lastRenderedPageBreak/>
        <w:t>address this, the study pairs 2019 Citibike transaction data with the 2020 Census dataset. This pairing is appropriate as 2019 represents pre-COVID patterns, aligning well with the demographics captured in the latest census. It also enables direct comparison with Liu et al.’s 2019 analysis of Citibike clusters, strengthening the study’s validity.</w:t>
      </w:r>
    </w:p>
    <w:p w14:paraId="7BAAF4B6" w14:textId="40051360" w:rsidR="00E1607D" w:rsidRDefault="007F29D6" w:rsidP="007F29D6">
      <w:pPr>
        <w:pStyle w:val="ListParagraph"/>
        <w:numPr>
          <w:ilvl w:val="0"/>
          <w:numId w:val="6"/>
        </w:numPr>
      </w:pPr>
      <w:r w:rsidRPr="007F29D6">
        <w:rPr>
          <w:b/>
          <w:bCs/>
        </w:rPr>
        <w:t>Property Land Use Data (PLUTO)</w:t>
      </w:r>
      <w:r>
        <w:rPr>
          <w:rStyle w:val="FootnoteReference"/>
          <w:b/>
          <w:bCs/>
        </w:rPr>
        <w:footnoteReference w:id="7"/>
      </w:r>
      <w:r w:rsidRPr="007F29D6">
        <w:rPr>
          <w:b/>
          <w:bCs/>
        </w:rPr>
        <w:t>:</w:t>
      </w:r>
      <w:r w:rsidRPr="007F29D6">
        <w:br/>
        <w:t xml:space="preserve">The PLUTO dataset, maintained by the NYC Department of City Planning, provides extensive land use data at the tax lot level, including details on land use, zoning, and building characteristics. This data is critical for assessing spatial factors like </w:t>
      </w:r>
      <w:r>
        <w:t>office</w:t>
      </w:r>
      <w:r w:rsidRPr="007F29D6">
        <w:t xml:space="preserve"> density and commercial activity, which may influence Citibike usage.</w:t>
      </w:r>
    </w:p>
    <w:p w14:paraId="7B425569" w14:textId="77777777" w:rsidR="007F29D6" w:rsidRDefault="007F29D6" w:rsidP="007F29D6"/>
    <w:p w14:paraId="7B530208" w14:textId="2211FE8E" w:rsidR="00D9529F" w:rsidRDefault="00D9529F" w:rsidP="00D9529F">
      <w:pPr>
        <w:pStyle w:val="Heading2"/>
      </w:pPr>
      <w:r w:rsidRPr="00D9529F">
        <w:t>Exploratory spatial data analysis (joint, 15</w:t>
      </w:r>
      <w:r w:rsidR="0034149F">
        <w:t xml:space="preserve"> marks</w:t>
      </w:r>
      <w:r w:rsidR="00627A0A">
        <w:t xml:space="preserve"> – </w:t>
      </w:r>
      <w:r w:rsidR="00627A0A" w:rsidRPr="00627A0A">
        <w:rPr>
          <w:i/>
          <w:iCs/>
        </w:rPr>
        <w:t>500 words</w:t>
      </w:r>
      <w:r w:rsidRPr="00D9529F">
        <w:t xml:space="preserve">): Summarise the properties of your data </w:t>
      </w:r>
    </w:p>
    <w:p w14:paraId="57D89CB5" w14:textId="7ED08DB9" w:rsidR="00D9529F" w:rsidRPr="00D9529F" w:rsidRDefault="00D9529F">
      <w:r>
        <w:t>&lt;Global Moran for Jan, July, Oct&gt;</w:t>
      </w:r>
    </w:p>
    <w:p w14:paraId="0A7BC465" w14:textId="38AB6BAA" w:rsidR="00D9529F" w:rsidRDefault="00D9529F">
      <w:r>
        <w:t>&lt;Local Moran for Jan, July, Oct&gt;</w:t>
      </w:r>
    </w:p>
    <w:p w14:paraId="492A079F" w14:textId="0C7C3368" w:rsidR="00D9529F" w:rsidRPr="00D9529F" w:rsidRDefault="00D9529F" w:rsidP="00D9529F">
      <w:r>
        <w:t>&lt; Moran clusters (scatterplot) for Jan, July, Oct&gt;</w:t>
      </w:r>
    </w:p>
    <w:p w14:paraId="1913375B" w14:textId="77777777" w:rsidR="00D9529F" w:rsidRDefault="00D9529F"/>
    <w:p w14:paraId="2532DFC4" w14:textId="275F5B37" w:rsidR="00D9529F" w:rsidRDefault="00D9529F" w:rsidP="00901C72">
      <w:pPr>
        <w:pStyle w:val="Heading2"/>
      </w:pPr>
      <w:r w:rsidRPr="00D9529F">
        <w:t>Methodology</w:t>
      </w:r>
      <w:r>
        <w:t xml:space="preserve"> &amp; Results</w:t>
      </w:r>
      <w:r w:rsidRPr="00D9529F">
        <w:t xml:space="preserve"> (individual, </w:t>
      </w:r>
      <w:r>
        <w:t>25</w:t>
      </w:r>
      <w:r w:rsidR="0034149F">
        <w:t xml:space="preserve"> marks</w:t>
      </w:r>
      <w:r w:rsidR="00627A0A">
        <w:t xml:space="preserve"> – </w:t>
      </w:r>
      <w:r w:rsidR="00627A0A" w:rsidRPr="00627A0A">
        <w:rPr>
          <w:i/>
          <w:iCs/>
        </w:rPr>
        <w:t>2500 words</w:t>
      </w:r>
      <w:r w:rsidRPr="00D9529F">
        <w:t xml:space="preserve">) </w:t>
      </w:r>
    </w:p>
    <w:p w14:paraId="24FB1E7D" w14:textId="710F53F7" w:rsidR="002A27DE" w:rsidRDefault="002A27DE" w:rsidP="002A27DE">
      <w:pPr>
        <w:pStyle w:val="Heading3"/>
      </w:pPr>
      <w:r w:rsidRPr="00D9529F">
        <w:t>Methodology</w:t>
      </w:r>
      <w:r>
        <w:t xml:space="preserve"> &amp; Results – Xiao Wei Lim</w:t>
      </w:r>
    </w:p>
    <w:p w14:paraId="28B1CD94" w14:textId="5BA35B87" w:rsidR="00266275" w:rsidRDefault="00D9529F" w:rsidP="00D9529F">
      <w:r>
        <w:t>&lt;Regression for Jan 2019</w:t>
      </w:r>
      <w:r w:rsidR="00627A0A">
        <w:t xml:space="preserve"> /800 words</w:t>
      </w:r>
      <w:r>
        <w:t>&gt;</w:t>
      </w:r>
    </w:p>
    <w:p w14:paraId="0CFDE02C" w14:textId="5307BFE3" w:rsidR="002A27DE" w:rsidRDefault="002A27DE" w:rsidP="002A27DE">
      <w:pPr>
        <w:pStyle w:val="Heading3"/>
      </w:pPr>
      <w:r w:rsidRPr="00D9529F">
        <w:t>Methodology</w:t>
      </w:r>
      <w:r>
        <w:t xml:space="preserve"> &amp; Results – </w:t>
      </w:r>
      <w:proofErr w:type="spellStart"/>
      <w:r>
        <w:t>Ruiyi</w:t>
      </w:r>
      <w:proofErr w:type="spellEnd"/>
      <w:r>
        <w:t xml:space="preserve"> Wu</w:t>
      </w:r>
    </w:p>
    <w:p w14:paraId="4FBFA3EF" w14:textId="700FC97E" w:rsidR="00D9529F" w:rsidRDefault="00D9529F" w:rsidP="00D9529F">
      <w:r>
        <w:t>&lt;Regression for July 2019</w:t>
      </w:r>
      <w:r w:rsidR="00627A0A">
        <w:t xml:space="preserve"> /800 words </w:t>
      </w:r>
      <w:r>
        <w:t>&gt;</w:t>
      </w:r>
    </w:p>
    <w:p w14:paraId="273B92F1" w14:textId="5241F5A7" w:rsidR="002A27DE" w:rsidRPr="00D9529F" w:rsidRDefault="002A27DE" w:rsidP="002A27DE">
      <w:pPr>
        <w:pStyle w:val="Heading3"/>
      </w:pPr>
      <w:r w:rsidRPr="00D9529F">
        <w:t>Methodology</w:t>
      </w:r>
      <w:r>
        <w:t xml:space="preserve"> &amp; Results – </w:t>
      </w:r>
      <w:proofErr w:type="spellStart"/>
      <w:r>
        <w:t>Jiazhuang</w:t>
      </w:r>
      <w:proofErr w:type="spellEnd"/>
      <w:r>
        <w:t xml:space="preserve"> Feng</w:t>
      </w:r>
    </w:p>
    <w:p w14:paraId="1A97E1D7" w14:textId="11E7B9D7" w:rsidR="00D9529F" w:rsidRPr="00D9529F" w:rsidRDefault="00D9529F">
      <w:r>
        <w:t>&lt;Regression for Oct 2019</w:t>
      </w:r>
      <w:r w:rsidR="00627A0A">
        <w:t xml:space="preserve"> /800 words </w:t>
      </w:r>
      <w:r>
        <w:t>&gt;</w:t>
      </w:r>
    </w:p>
    <w:p w14:paraId="29000032" w14:textId="77777777" w:rsidR="00D9529F" w:rsidRDefault="00D9529F"/>
    <w:p w14:paraId="04A41F5C" w14:textId="103B075A" w:rsidR="00D9529F" w:rsidRDefault="00D9529F" w:rsidP="00901C72">
      <w:pPr>
        <w:pStyle w:val="Heading2"/>
      </w:pPr>
      <w:r w:rsidRPr="00D9529F">
        <w:t>Discussion and conclusions (joint, 15</w:t>
      </w:r>
      <w:r w:rsidR="0034149F">
        <w:t xml:space="preserve"> marks</w:t>
      </w:r>
      <w:r w:rsidR="00627A0A">
        <w:t xml:space="preserve"> – </w:t>
      </w:r>
      <w:r w:rsidR="00627A0A" w:rsidRPr="00627A0A">
        <w:rPr>
          <w:i/>
          <w:iCs/>
        </w:rPr>
        <w:t>1000 words</w:t>
      </w:r>
      <w:r w:rsidRPr="00D9529F">
        <w:t xml:space="preserve">): Combine and discuss results here (e.g. for final site selection, or to discuss the relative merits of approaches). Include limitations and future work </w:t>
      </w:r>
    </w:p>
    <w:p w14:paraId="1643944A" w14:textId="3D11EEA8" w:rsidR="00D9529F" w:rsidRDefault="00D9529F">
      <w:r>
        <w:t xml:space="preserve">&lt;Combined discussion for all regression – </w:t>
      </w:r>
      <w:proofErr w:type="gramStart"/>
      <w:r>
        <w:t>compare</w:t>
      </w:r>
      <w:proofErr w:type="gramEnd"/>
      <w:r>
        <w:t xml:space="preserve"> GWR coefficients&gt;</w:t>
      </w:r>
    </w:p>
    <w:p w14:paraId="4E8283F9" w14:textId="327A2D9F" w:rsidR="00901C72" w:rsidRDefault="00901C72">
      <w:r>
        <w:t>&lt;Limitations &amp; Future Work&gt;</w:t>
      </w:r>
    </w:p>
    <w:p w14:paraId="514553E0" w14:textId="77777777" w:rsidR="00901C72" w:rsidRPr="00D9529F" w:rsidRDefault="00901C72"/>
    <w:p w14:paraId="552591A3" w14:textId="550D76EE" w:rsidR="00041A90" w:rsidRPr="00D9529F" w:rsidRDefault="00901C72" w:rsidP="00901C72">
      <w:pPr>
        <w:pStyle w:val="Heading2"/>
      </w:pPr>
      <w:r>
        <w:lastRenderedPageBreak/>
        <w:t xml:space="preserve">(remember: </w:t>
      </w:r>
      <w:r w:rsidR="00D9529F" w:rsidRPr="00D9529F">
        <w:t>Presentation (Joint, 10</w:t>
      </w:r>
      <w:r w:rsidR="0034149F">
        <w:t xml:space="preserve"> marks</w:t>
      </w:r>
      <w:r w:rsidR="00D9529F" w:rsidRPr="00D9529F">
        <w:t>, individual, 5</w:t>
      </w:r>
      <w:r w:rsidR="0034149F">
        <w:t xml:space="preserve"> marks</w:t>
      </w:r>
      <w:r w:rsidR="00D9529F" w:rsidRPr="00D9529F">
        <w:t>): Quality of presentation (maps, tables, figures), report structure, use of markdown.</w:t>
      </w:r>
      <w:r>
        <w:t>)</w:t>
      </w:r>
    </w:p>
    <w:p w14:paraId="6C331CB6" w14:textId="77777777" w:rsidR="00D9529F" w:rsidRPr="00D9529F" w:rsidRDefault="00D9529F"/>
    <w:sectPr w:rsidR="00D9529F" w:rsidRPr="00D9529F" w:rsidSect="00E1607D">
      <w:pgSz w:w="11906" w:h="16838"/>
      <w:pgMar w:top="102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6837A" w14:textId="77777777" w:rsidR="005C162D" w:rsidRDefault="005C162D" w:rsidP="0034149F">
      <w:pPr>
        <w:spacing w:after="0" w:line="240" w:lineRule="auto"/>
      </w:pPr>
      <w:r>
        <w:separator/>
      </w:r>
    </w:p>
  </w:endnote>
  <w:endnote w:type="continuationSeparator" w:id="0">
    <w:p w14:paraId="21BA6BA8" w14:textId="77777777" w:rsidR="005C162D" w:rsidRDefault="005C162D" w:rsidP="00341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F82AB" w14:textId="77777777" w:rsidR="005C162D" w:rsidRDefault="005C162D" w:rsidP="0034149F">
      <w:pPr>
        <w:spacing w:after="0" w:line="240" w:lineRule="auto"/>
      </w:pPr>
      <w:r>
        <w:separator/>
      </w:r>
    </w:p>
  </w:footnote>
  <w:footnote w:type="continuationSeparator" w:id="0">
    <w:p w14:paraId="79BE9B36" w14:textId="77777777" w:rsidR="005C162D" w:rsidRDefault="005C162D" w:rsidP="0034149F">
      <w:pPr>
        <w:spacing w:after="0" w:line="240" w:lineRule="auto"/>
      </w:pPr>
      <w:r>
        <w:continuationSeparator/>
      </w:r>
    </w:p>
  </w:footnote>
  <w:footnote w:id="1">
    <w:p w14:paraId="1910B9EE" w14:textId="77777777" w:rsidR="00762298" w:rsidRPr="00B81824" w:rsidRDefault="00762298" w:rsidP="00762298">
      <w:pPr>
        <w:pStyle w:val="FootnoteText"/>
      </w:pPr>
      <w:r>
        <w:rPr>
          <w:rStyle w:val="FootnoteReference"/>
        </w:rPr>
        <w:footnoteRef/>
      </w:r>
      <w:r>
        <w:t xml:space="preserve"> </w:t>
      </w:r>
      <w:r w:rsidRPr="00B81824">
        <w:t xml:space="preserve">An, R., </w:t>
      </w:r>
      <w:proofErr w:type="spellStart"/>
      <w:r w:rsidRPr="00B81824">
        <w:t>Zahnow</w:t>
      </w:r>
      <w:proofErr w:type="spellEnd"/>
      <w:r w:rsidRPr="00B81824">
        <w:t xml:space="preserve">, R., </w:t>
      </w:r>
      <w:proofErr w:type="spellStart"/>
      <w:r w:rsidRPr="00B81824">
        <w:t>Pojani</w:t>
      </w:r>
      <w:proofErr w:type="spellEnd"/>
      <w:r w:rsidRPr="00B81824">
        <w:t>, D. and Corcoran, J. (2019). Weather and cycling in New York: The case of Citibike. </w:t>
      </w:r>
      <w:r w:rsidRPr="00B81824">
        <w:rPr>
          <w:i/>
          <w:iCs/>
        </w:rPr>
        <w:t>Journal of Transport Geography</w:t>
      </w:r>
      <w:r w:rsidRPr="00B81824">
        <w:t xml:space="preserve">, 77(2019), pp.97–112. </w:t>
      </w:r>
      <w:proofErr w:type="spellStart"/>
      <w:proofErr w:type="gramStart"/>
      <w:r w:rsidRPr="00B81824">
        <w:t>doi:https</w:t>
      </w:r>
      <w:proofErr w:type="spellEnd"/>
      <w:r w:rsidRPr="00B81824">
        <w:t>://doi.org/10.1016/j.jtrangeo.2019.04.016</w:t>
      </w:r>
      <w:proofErr w:type="gramEnd"/>
      <w:r w:rsidRPr="00B81824">
        <w:t>.</w:t>
      </w:r>
    </w:p>
  </w:footnote>
  <w:footnote w:id="2">
    <w:p w14:paraId="6921D2B7" w14:textId="77777777" w:rsidR="00762298" w:rsidRPr="0087396F" w:rsidRDefault="00762298" w:rsidP="00762298">
      <w:pPr>
        <w:pStyle w:val="FootnoteText"/>
      </w:pPr>
      <w:r>
        <w:rPr>
          <w:rStyle w:val="FootnoteReference"/>
        </w:rPr>
        <w:footnoteRef/>
      </w:r>
      <w:r>
        <w:t xml:space="preserve"> </w:t>
      </w:r>
      <w:r w:rsidRPr="0087396F">
        <w:t>Jiang, G., Zhang, R., Qu, X. and Zhao, D. (2020). A Dynamic Model Averaging for the Discovery of Time-Varying Weather-Cycling Patterns. </w:t>
      </w:r>
      <w:r w:rsidRPr="0087396F">
        <w:rPr>
          <w:i/>
          <w:iCs/>
        </w:rPr>
        <w:t>IEEE Transactions on Intelligent Transportation Systems</w:t>
      </w:r>
      <w:r w:rsidRPr="0087396F">
        <w:t xml:space="preserve">, 22(5), pp.2786–2796. </w:t>
      </w:r>
      <w:proofErr w:type="spellStart"/>
      <w:proofErr w:type="gramStart"/>
      <w:r w:rsidRPr="0087396F">
        <w:t>doi:https</w:t>
      </w:r>
      <w:proofErr w:type="spellEnd"/>
      <w:r w:rsidRPr="0087396F">
        <w:t>://doi.org/10.1109/tits.2020.2974930</w:t>
      </w:r>
      <w:proofErr w:type="gramEnd"/>
      <w:r w:rsidRPr="0087396F">
        <w:t>.</w:t>
      </w:r>
    </w:p>
  </w:footnote>
  <w:footnote w:id="3">
    <w:p w14:paraId="66B65623" w14:textId="77777777" w:rsidR="00E1607D" w:rsidRPr="006B0A79" w:rsidRDefault="00E1607D" w:rsidP="00E1607D">
      <w:pPr>
        <w:pStyle w:val="FootnoteText"/>
      </w:pPr>
      <w:r>
        <w:rPr>
          <w:rStyle w:val="FootnoteReference"/>
        </w:rPr>
        <w:footnoteRef/>
      </w:r>
      <w:r>
        <w:t xml:space="preserve"> </w:t>
      </w:r>
      <w:r w:rsidRPr="00D64C9A">
        <w:t>Liu, Y., Chen, M., Arribas-bel, D. and Singleton, A. (2021). Profiling the Dynamic Pattern of Bike-sharing Stations: a case study of Citi Bike in New York City. </w:t>
      </w:r>
      <w:r w:rsidRPr="00D64C9A">
        <w:rPr>
          <w:i/>
          <w:iCs/>
        </w:rPr>
        <w:t>Proceedings of the 29th Annual GIS Research UK Conference (GISRUK</w:t>
      </w:r>
      <w:proofErr w:type="gramStart"/>
      <w:r w:rsidRPr="00D64C9A">
        <w:rPr>
          <w:i/>
          <w:iCs/>
        </w:rPr>
        <w:t>).</w:t>
      </w:r>
      <w:proofErr w:type="spellStart"/>
      <w:r w:rsidRPr="00D64C9A">
        <w:t>doi</w:t>
      </w:r>
      <w:proofErr w:type="gramEnd"/>
      <w:r w:rsidRPr="00D64C9A">
        <w:t>:https</w:t>
      </w:r>
      <w:proofErr w:type="spellEnd"/>
      <w:r w:rsidRPr="00D64C9A">
        <w:t>://doi.org/10.5281/zenodo.4665706.</w:t>
      </w:r>
    </w:p>
  </w:footnote>
  <w:footnote w:id="4">
    <w:p w14:paraId="4131FB62" w14:textId="77777777" w:rsidR="00E1607D" w:rsidRPr="00D64C9A" w:rsidRDefault="00E1607D" w:rsidP="00E1607D">
      <w:pPr>
        <w:pStyle w:val="FootnoteText"/>
      </w:pPr>
      <w:r>
        <w:rPr>
          <w:rStyle w:val="FootnoteReference"/>
        </w:rPr>
        <w:footnoteRef/>
      </w:r>
      <w:r>
        <w:t xml:space="preserve"> </w:t>
      </w:r>
      <w:r w:rsidRPr="00D64C9A">
        <w:t xml:space="preserve">Noland, R.B., Smart, M.J. and Guo, Z. (2018). </w:t>
      </w:r>
      <w:proofErr w:type="spellStart"/>
      <w:r w:rsidRPr="00D64C9A">
        <w:t>Bikesharing</w:t>
      </w:r>
      <w:proofErr w:type="spellEnd"/>
      <w:r w:rsidRPr="00D64C9A">
        <w:t xml:space="preserve"> Trip Patterns in New York City: Associations with Land Use, Subways, and Bicycle Lanes. </w:t>
      </w:r>
      <w:r w:rsidRPr="00D64C9A">
        <w:rPr>
          <w:i/>
          <w:iCs/>
        </w:rPr>
        <w:t>International Journal of Sustainable Transportation</w:t>
      </w:r>
      <w:r w:rsidRPr="00D64C9A">
        <w:t xml:space="preserve">, 13(9), pp.664–674. </w:t>
      </w:r>
      <w:proofErr w:type="spellStart"/>
      <w:proofErr w:type="gramStart"/>
      <w:r w:rsidRPr="00D64C9A">
        <w:t>doi:https</w:t>
      </w:r>
      <w:proofErr w:type="spellEnd"/>
      <w:r w:rsidRPr="00D64C9A">
        <w:t>://doi.org/10.1080/15568318.2018.1501520</w:t>
      </w:r>
      <w:proofErr w:type="gramEnd"/>
      <w:r w:rsidRPr="00D64C9A">
        <w:t>.</w:t>
      </w:r>
    </w:p>
    <w:p w14:paraId="3585B658" w14:textId="77777777" w:rsidR="00E1607D" w:rsidRPr="00D64C9A" w:rsidRDefault="00E1607D" w:rsidP="00E1607D">
      <w:pPr>
        <w:pStyle w:val="FootnoteText"/>
        <w:rPr>
          <w:lang w:val="en-US"/>
        </w:rPr>
      </w:pPr>
    </w:p>
  </w:footnote>
  <w:footnote w:id="5">
    <w:p w14:paraId="42561D4F" w14:textId="4046B8E5" w:rsidR="007F29D6" w:rsidRPr="007F29D6" w:rsidRDefault="007F29D6">
      <w:pPr>
        <w:pStyle w:val="FootnoteText"/>
      </w:pPr>
      <w:r>
        <w:rPr>
          <w:rStyle w:val="FootnoteReference"/>
        </w:rPr>
        <w:footnoteRef/>
      </w:r>
      <w:r>
        <w:t xml:space="preserve"> </w:t>
      </w:r>
      <w:r w:rsidRPr="007F29D6">
        <w:t>Citibike/Lyft and NYC Department of Transportation (2025). </w:t>
      </w:r>
      <w:r w:rsidRPr="007F29D6">
        <w:rPr>
          <w:i/>
          <w:iCs/>
        </w:rPr>
        <w:t>Citi Bike System Data | Citi Bike NYC</w:t>
      </w:r>
      <w:r w:rsidRPr="007F29D6">
        <w:t>. [online] citibikenyc.com. Available at: https://citibikenyc.com/system-data [Accessed 14 Jan. 2025].</w:t>
      </w:r>
    </w:p>
  </w:footnote>
  <w:footnote w:id="6">
    <w:p w14:paraId="50A6A07D" w14:textId="1670A5B4" w:rsidR="007F29D6" w:rsidRPr="007F29D6" w:rsidRDefault="007F29D6">
      <w:pPr>
        <w:pStyle w:val="FootnoteText"/>
      </w:pPr>
      <w:r>
        <w:rPr>
          <w:rStyle w:val="FootnoteReference"/>
        </w:rPr>
        <w:footnoteRef/>
      </w:r>
      <w:r>
        <w:t xml:space="preserve"> </w:t>
      </w:r>
      <w:r w:rsidRPr="007F29D6">
        <w:t>NYC Department of City Planning (2025). </w:t>
      </w:r>
      <w:r w:rsidRPr="007F29D6">
        <w:rPr>
          <w:i/>
          <w:iCs/>
        </w:rPr>
        <w:t>2020 Census -DCP</w:t>
      </w:r>
      <w:r w:rsidRPr="007F29D6">
        <w:t>. [online] www.nyc.gov. Available at: https://www.nyc.gov/site/planning/planning-level/nyc-population/2020-census.page [Accessed 14 Jan. 2025].</w:t>
      </w:r>
    </w:p>
  </w:footnote>
  <w:footnote w:id="7">
    <w:p w14:paraId="6B0D2AC7" w14:textId="77777777" w:rsidR="007F29D6" w:rsidRPr="007F29D6" w:rsidRDefault="007F29D6" w:rsidP="007F29D6">
      <w:pPr>
        <w:pStyle w:val="FootnoteText"/>
      </w:pPr>
      <w:r>
        <w:rPr>
          <w:rStyle w:val="FootnoteReference"/>
        </w:rPr>
        <w:footnoteRef/>
      </w:r>
      <w:r>
        <w:t xml:space="preserve"> </w:t>
      </w:r>
      <w:r w:rsidRPr="007F29D6">
        <w:t>NYC Department of City Planning (2025). </w:t>
      </w:r>
      <w:r w:rsidRPr="007F29D6">
        <w:rPr>
          <w:i/>
          <w:iCs/>
        </w:rPr>
        <w:t xml:space="preserve">PLUTO and </w:t>
      </w:r>
      <w:proofErr w:type="spellStart"/>
      <w:r w:rsidRPr="007F29D6">
        <w:rPr>
          <w:i/>
          <w:iCs/>
        </w:rPr>
        <w:t>MapPLUTO</w:t>
      </w:r>
      <w:proofErr w:type="spellEnd"/>
      <w:r w:rsidRPr="007F29D6">
        <w:t>. [online] www.nyc.gov. Available at: https://www.nyc.gov/site/planning/data-maps/open-data/dwn-pluto-mappluto.page [Accessed 14 Jan. 2025].</w:t>
      </w:r>
    </w:p>
    <w:p w14:paraId="1DC51E2C" w14:textId="732F0EBA" w:rsidR="007F29D6" w:rsidRPr="007F29D6" w:rsidRDefault="007F29D6">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F0956"/>
    <w:multiLevelType w:val="hybridMultilevel"/>
    <w:tmpl w:val="3826615A"/>
    <w:lvl w:ilvl="0" w:tplc="148EF1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E611D7"/>
    <w:multiLevelType w:val="hybridMultilevel"/>
    <w:tmpl w:val="40405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61091"/>
    <w:multiLevelType w:val="hybridMultilevel"/>
    <w:tmpl w:val="EAEA9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D67C2"/>
    <w:multiLevelType w:val="hybridMultilevel"/>
    <w:tmpl w:val="43CA12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E35914"/>
    <w:multiLevelType w:val="hybridMultilevel"/>
    <w:tmpl w:val="4056A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AA0599"/>
    <w:multiLevelType w:val="multilevel"/>
    <w:tmpl w:val="DF0E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82064">
    <w:abstractNumId w:val="0"/>
  </w:num>
  <w:num w:numId="2" w16cid:durableId="964120131">
    <w:abstractNumId w:val="3"/>
  </w:num>
  <w:num w:numId="3" w16cid:durableId="556092990">
    <w:abstractNumId w:val="4"/>
  </w:num>
  <w:num w:numId="4" w16cid:durableId="294530269">
    <w:abstractNumId w:val="5"/>
  </w:num>
  <w:num w:numId="5" w16cid:durableId="1504278195">
    <w:abstractNumId w:val="2"/>
  </w:num>
  <w:num w:numId="6" w16cid:durableId="830608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9F"/>
    <w:rsid w:val="00041A90"/>
    <w:rsid w:val="00094EC1"/>
    <w:rsid w:val="00100BCE"/>
    <w:rsid w:val="00104430"/>
    <w:rsid w:val="00174BD5"/>
    <w:rsid w:val="001877AF"/>
    <w:rsid w:val="00215E35"/>
    <w:rsid w:val="0022281D"/>
    <w:rsid w:val="002447AA"/>
    <w:rsid w:val="00266275"/>
    <w:rsid w:val="00291DC5"/>
    <w:rsid w:val="002A27DE"/>
    <w:rsid w:val="002A33DB"/>
    <w:rsid w:val="002F62ED"/>
    <w:rsid w:val="0034149F"/>
    <w:rsid w:val="00371141"/>
    <w:rsid w:val="00397202"/>
    <w:rsid w:val="003976CD"/>
    <w:rsid w:val="0045535C"/>
    <w:rsid w:val="005014E7"/>
    <w:rsid w:val="0057204E"/>
    <w:rsid w:val="005C162D"/>
    <w:rsid w:val="00627A0A"/>
    <w:rsid w:val="00643D24"/>
    <w:rsid w:val="00665988"/>
    <w:rsid w:val="00666BCB"/>
    <w:rsid w:val="006B0A79"/>
    <w:rsid w:val="00762298"/>
    <w:rsid w:val="007735F1"/>
    <w:rsid w:val="007857D8"/>
    <w:rsid w:val="007B308F"/>
    <w:rsid w:val="007F29D6"/>
    <w:rsid w:val="0083384C"/>
    <w:rsid w:val="0087396F"/>
    <w:rsid w:val="008E2653"/>
    <w:rsid w:val="008E4C81"/>
    <w:rsid w:val="00901C72"/>
    <w:rsid w:val="00914BBB"/>
    <w:rsid w:val="00964CB0"/>
    <w:rsid w:val="009F089E"/>
    <w:rsid w:val="00A317E0"/>
    <w:rsid w:val="00A54223"/>
    <w:rsid w:val="00AB7717"/>
    <w:rsid w:val="00AC1700"/>
    <w:rsid w:val="00B81824"/>
    <w:rsid w:val="00BB000E"/>
    <w:rsid w:val="00C570C8"/>
    <w:rsid w:val="00D462FA"/>
    <w:rsid w:val="00D6229A"/>
    <w:rsid w:val="00D64C9A"/>
    <w:rsid w:val="00D77380"/>
    <w:rsid w:val="00D9529F"/>
    <w:rsid w:val="00E13B87"/>
    <w:rsid w:val="00E15DE8"/>
    <w:rsid w:val="00E1607D"/>
    <w:rsid w:val="00E424C2"/>
    <w:rsid w:val="00F36989"/>
    <w:rsid w:val="00F90CA1"/>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A00A"/>
  <w15:chartTrackingRefBased/>
  <w15:docId w15:val="{6EAEB742-1A7B-FC4F-8A4F-3ACC6EC1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9D6"/>
    <w:rPr>
      <w:rFonts w:ascii="Arial" w:hAnsi="Arial"/>
      <w:sz w:val="22"/>
    </w:rPr>
  </w:style>
  <w:style w:type="paragraph" w:styleId="Heading1">
    <w:name w:val="heading 1"/>
    <w:basedOn w:val="Normal"/>
    <w:next w:val="Normal"/>
    <w:link w:val="Heading1Char"/>
    <w:uiPriority w:val="9"/>
    <w:qFormat/>
    <w:rsid w:val="00901C72"/>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901C72"/>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D95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72"/>
    <w:rPr>
      <w:rFonts w:ascii="Arial" w:eastAsiaTheme="majorEastAsia" w:hAnsi="Arial" w:cstheme="majorBidi"/>
      <w:b/>
      <w:color w:val="000000" w:themeColor="text1"/>
      <w:sz w:val="40"/>
      <w:szCs w:val="40"/>
    </w:rPr>
  </w:style>
  <w:style w:type="character" w:customStyle="1" w:styleId="Heading2Char">
    <w:name w:val="Heading 2 Char"/>
    <w:basedOn w:val="DefaultParagraphFont"/>
    <w:link w:val="Heading2"/>
    <w:uiPriority w:val="9"/>
    <w:rsid w:val="00901C72"/>
    <w:rPr>
      <w:rFonts w:ascii="Arial" w:eastAsiaTheme="majorEastAsia" w:hAnsi="Arial" w:cstheme="majorBidi"/>
      <w:b/>
      <w:color w:val="000000" w:themeColor="text1"/>
      <w:sz w:val="28"/>
      <w:szCs w:val="32"/>
    </w:rPr>
  </w:style>
  <w:style w:type="character" w:customStyle="1" w:styleId="Heading3Char">
    <w:name w:val="Heading 3 Char"/>
    <w:basedOn w:val="DefaultParagraphFont"/>
    <w:link w:val="Heading3"/>
    <w:uiPriority w:val="9"/>
    <w:rsid w:val="00D95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29F"/>
    <w:rPr>
      <w:rFonts w:eastAsiaTheme="majorEastAsia" w:cstheme="majorBidi"/>
      <w:color w:val="272727" w:themeColor="text1" w:themeTint="D8"/>
    </w:rPr>
  </w:style>
  <w:style w:type="paragraph" w:styleId="Title">
    <w:name w:val="Title"/>
    <w:basedOn w:val="Normal"/>
    <w:next w:val="Normal"/>
    <w:link w:val="TitleChar"/>
    <w:uiPriority w:val="10"/>
    <w:qFormat/>
    <w:rsid w:val="00D95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29F"/>
    <w:pPr>
      <w:spacing w:before="160"/>
      <w:jc w:val="center"/>
    </w:pPr>
    <w:rPr>
      <w:i/>
      <w:iCs/>
      <w:color w:val="404040" w:themeColor="text1" w:themeTint="BF"/>
    </w:rPr>
  </w:style>
  <w:style w:type="character" w:customStyle="1" w:styleId="QuoteChar">
    <w:name w:val="Quote Char"/>
    <w:basedOn w:val="DefaultParagraphFont"/>
    <w:link w:val="Quote"/>
    <w:uiPriority w:val="29"/>
    <w:rsid w:val="00D9529F"/>
    <w:rPr>
      <w:i/>
      <w:iCs/>
      <w:color w:val="404040" w:themeColor="text1" w:themeTint="BF"/>
    </w:rPr>
  </w:style>
  <w:style w:type="paragraph" w:styleId="ListParagraph">
    <w:name w:val="List Paragraph"/>
    <w:basedOn w:val="Normal"/>
    <w:uiPriority w:val="34"/>
    <w:qFormat/>
    <w:rsid w:val="00D9529F"/>
    <w:pPr>
      <w:ind w:left="720"/>
      <w:contextualSpacing/>
    </w:pPr>
  </w:style>
  <w:style w:type="character" w:styleId="IntenseEmphasis">
    <w:name w:val="Intense Emphasis"/>
    <w:basedOn w:val="DefaultParagraphFont"/>
    <w:uiPriority w:val="21"/>
    <w:qFormat/>
    <w:rsid w:val="00D9529F"/>
    <w:rPr>
      <w:i/>
      <w:iCs/>
      <w:color w:val="0F4761" w:themeColor="accent1" w:themeShade="BF"/>
    </w:rPr>
  </w:style>
  <w:style w:type="paragraph" w:styleId="IntenseQuote">
    <w:name w:val="Intense Quote"/>
    <w:basedOn w:val="Normal"/>
    <w:next w:val="Normal"/>
    <w:link w:val="IntenseQuoteChar"/>
    <w:uiPriority w:val="30"/>
    <w:qFormat/>
    <w:rsid w:val="00D95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29F"/>
    <w:rPr>
      <w:i/>
      <w:iCs/>
      <w:color w:val="0F4761" w:themeColor="accent1" w:themeShade="BF"/>
    </w:rPr>
  </w:style>
  <w:style w:type="character" w:styleId="IntenseReference">
    <w:name w:val="Intense Reference"/>
    <w:basedOn w:val="DefaultParagraphFont"/>
    <w:uiPriority w:val="32"/>
    <w:qFormat/>
    <w:rsid w:val="00D9529F"/>
    <w:rPr>
      <w:b/>
      <w:bCs/>
      <w:smallCaps/>
      <w:color w:val="0F4761" w:themeColor="accent1" w:themeShade="BF"/>
      <w:spacing w:val="5"/>
    </w:rPr>
  </w:style>
  <w:style w:type="paragraph" w:customStyle="1" w:styleId="p1">
    <w:name w:val="p1"/>
    <w:basedOn w:val="Normal"/>
    <w:rsid w:val="00914BBB"/>
    <w:pPr>
      <w:spacing w:after="0" w:line="240" w:lineRule="auto"/>
    </w:pPr>
    <w:rPr>
      <w:rFonts w:ascii="Helvetica" w:eastAsia="Times New Roman" w:hAnsi="Helvetica" w:cs="Times New Roman"/>
      <w:color w:val="000000"/>
      <w:kern w:val="0"/>
      <w:sz w:val="18"/>
      <w:szCs w:val="18"/>
      <w:lang w:eastAsia="en-GB"/>
      <w14:ligatures w14:val="none"/>
    </w:rPr>
  </w:style>
  <w:style w:type="character" w:customStyle="1" w:styleId="s1">
    <w:name w:val="s1"/>
    <w:basedOn w:val="DefaultParagraphFont"/>
    <w:rsid w:val="00914BBB"/>
    <w:rPr>
      <w:rFonts w:ascii="Arial" w:hAnsi="Arial" w:cs="Arial" w:hint="default"/>
      <w:sz w:val="18"/>
      <w:szCs w:val="18"/>
    </w:rPr>
  </w:style>
  <w:style w:type="paragraph" w:styleId="FootnoteText">
    <w:name w:val="footnote text"/>
    <w:basedOn w:val="Normal"/>
    <w:link w:val="FootnoteTextChar"/>
    <w:uiPriority w:val="99"/>
    <w:semiHidden/>
    <w:unhideWhenUsed/>
    <w:rsid w:val="00341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49F"/>
    <w:rPr>
      <w:rFonts w:ascii="Arial" w:hAnsi="Arial"/>
      <w:sz w:val="20"/>
      <w:szCs w:val="20"/>
    </w:rPr>
  </w:style>
  <w:style w:type="character" w:styleId="FootnoteReference">
    <w:name w:val="footnote reference"/>
    <w:basedOn w:val="DefaultParagraphFont"/>
    <w:uiPriority w:val="99"/>
    <w:semiHidden/>
    <w:unhideWhenUsed/>
    <w:rsid w:val="0034149F"/>
    <w:rPr>
      <w:vertAlign w:val="superscript"/>
    </w:rPr>
  </w:style>
  <w:style w:type="paragraph" w:styleId="NormalWeb">
    <w:name w:val="Normal (Web)"/>
    <w:basedOn w:val="Normal"/>
    <w:uiPriority w:val="99"/>
    <w:semiHidden/>
    <w:unhideWhenUsed/>
    <w:rsid w:val="0034149F"/>
    <w:rPr>
      <w:rFonts w:ascii="Times New Roman" w:hAnsi="Times New Roman" w:cs="Times New Roman"/>
      <w:sz w:val="24"/>
    </w:rPr>
  </w:style>
  <w:style w:type="paragraph" w:styleId="Caption">
    <w:name w:val="caption"/>
    <w:basedOn w:val="Normal"/>
    <w:next w:val="Normal"/>
    <w:uiPriority w:val="35"/>
    <w:unhideWhenUsed/>
    <w:qFormat/>
    <w:rsid w:val="00E1607D"/>
    <w:pPr>
      <w:spacing w:after="200" w:line="240" w:lineRule="auto"/>
    </w:pPr>
    <w:rPr>
      <w:i/>
      <w:iCs/>
      <w:color w:val="0E2841" w:themeColor="text2"/>
      <w:sz w:val="18"/>
      <w:szCs w:val="18"/>
    </w:rPr>
  </w:style>
  <w:style w:type="character" w:styleId="Hyperlink">
    <w:name w:val="Hyperlink"/>
    <w:basedOn w:val="DefaultParagraphFont"/>
    <w:uiPriority w:val="99"/>
    <w:semiHidden/>
    <w:unhideWhenUsed/>
    <w:rsid w:val="00762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46298">
      <w:bodyDiv w:val="1"/>
      <w:marLeft w:val="0"/>
      <w:marRight w:val="0"/>
      <w:marTop w:val="0"/>
      <w:marBottom w:val="0"/>
      <w:divBdr>
        <w:top w:val="none" w:sz="0" w:space="0" w:color="auto"/>
        <w:left w:val="none" w:sz="0" w:space="0" w:color="auto"/>
        <w:bottom w:val="none" w:sz="0" w:space="0" w:color="auto"/>
        <w:right w:val="none" w:sz="0" w:space="0" w:color="auto"/>
      </w:divBdr>
    </w:div>
    <w:div w:id="123668794">
      <w:bodyDiv w:val="1"/>
      <w:marLeft w:val="0"/>
      <w:marRight w:val="0"/>
      <w:marTop w:val="0"/>
      <w:marBottom w:val="0"/>
      <w:divBdr>
        <w:top w:val="none" w:sz="0" w:space="0" w:color="auto"/>
        <w:left w:val="none" w:sz="0" w:space="0" w:color="auto"/>
        <w:bottom w:val="none" w:sz="0" w:space="0" w:color="auto"/>
        <w:right w:val="none" w:sz="0" w:space="0" w:color="auto"/>
      </w:divBdr>
      <w:divsChild>
        <w:div w:id="48959279">
          <w:marLeft w:val="0"/>
          <w:marRight w:val="0"/>
          <w:marTop w:val="0"/>
          <w:marBottom w:val="0"/>
          <w:divBdr>
            <w:top w:val="none" w:sz="0" w:space="0" w:color="auto"/>
            <w:left w:val="none" w:sz="0" w:space="0" w:color="auto"/>
            <w:bottom w:val="none" w:sz="0" w:space="0" w:color="auto"/>
            <w:right w:val="none" w:sz="0" w:space="0" w:color="auto"/>
          </w:divBdr>
        </w:div>
      </w:divsChild>
    </w:div>
    <w:div w:id="160044063">
      <w:bodyDiv w:val="1"/>
      <w:marLeft w:val="0"/>
      <w:marRight w:val="0"/>
      <w:marTop w:val="0"/>
      <w:marBottom w:val="0"/>
      <w:divBdr>
        <w:top w:val="none" w:sz="0" w:space="0" w:color="auto"/>
        <w:left w:val="none" w:sz="0" w:space="0" w:color="auto"/>
        <w:bottom w:val="none" w:sz="0" w:space="0" w:color="auto"/>
        <w:right w:val="none" w:sz="0" w:space="0" w:color="auto"/>
      </w:divBdr>
      <w:divsChild>
        <w:div w:id="851995475">
          <w:marLeft w:val="0"/>
          <w:marRight w:val="0"/>
          <w:marTop w:val="0"/>
          <w:marBottom w:val="0"/>
          <w:divBdr>
            <w:top w:val="none" w:sz="0" w:space="0" w:color="auto"/>
            <w:left w:val="none" w:sz="0" w:space="0" w:color="auto"/>
            <w:bottom w:val="none" w:sz="0" w:space="0" w:color="auto"/>
            <w:right w:val="none" w:sz="0" w:space="0" w:color="auto"/>
          </w:divBdr>
        </w:div>
      </w:divsChild>
    </w:div>
    <w:div w:id="199631738">
      <w:bodyDiv w:val="1"/>
      <w:marLeft w:val="0"/>
      <w:marRight w:val="0"/>
      <w:marTop w:val="0"/>
      <w:marBottom w:val="0"/>
      <w:divBdr>
        <w:top w:val="none" w:sz="0" w:space="0" w:color="auto"/>
        <w:left w:val="none" w:sz="0" w:space="0" w:color="auto"/>
        <w:bottom w:val="none" w:sz="0" w:space="0" w:color="auto"/>
        <w:right w:val="none" w:sz="0" w:space="0" w:color="auto"/>
      </w:divBdr>
    </w:div>
    <w:div w:id="411388784">
      <w:bodyDiv w:val="1"/>
      <w:marLeft w:val="0"/>
      <w:marRight w:val="0"/>
      <w:marTop w:val="0"/>
      <w:marBottom w:val="0"/>
      <w:divBdr>
        <w:top w:val="none" w:sz="0" w:space="0" w:color="auto"/>
        <w:left w:val="none" w:sz="0" w:space="0" w:color="auto"/>
        <w:bottom w:val="none" w:sz="0" w:space="0" w:color="auto"/>
        <w:right w:val="none" w:sz="0" w:space="0" w:color="auto"/>
      </w:divBdr>
      <w:divsChild>
        <w:div w:id="1431659251">
          <w:marLeft w:val="0"/>
          <w:marRight w:val="0"/>
          <w:marTop w:val="0"/>
          <w:marBottom w:val="0"/>
          <w:divBdr>
            <w:top w:val="none" w:sz="0" w:space="0" w:color="auto"/>
            <w:left w:val="none" w:sz="0" w:space="0" w:color="auto"/>
            <w:bottom w:val="none" w:sz="0" w:space="0" w:color="auto"/>
            <w:right w:val="none" w:sz="0" w:space="0" w:color="auto"/>
          </w:divBdr>
        </w:div>
      </w:divsChild>
    </w:div>
    <w:div w:id="510221245">
      <w:bodyDiv w:val="1"/>
      <w:marLeft w:val="0"/>
      <w:marRight w:val="0"/>
      <w:marTop w:val="0"/>
      <w:marBottom w:val="0"/>
      <w:divBdr>
        <w:top w:val="none" w:sz="0" w:space="0" w:color="auto"/>
        <w:left w:val="none" w:sz="0" w:space="0" w:color="auto"/>
        <w:bottom w:val="none" w:sz="0" w:space="0" w:color="auto"/>
        <w:right w:val="none" w:sz="0" w:space="0" w:color="auto"/>
      </w:divBdr>
    </w:div>
    <w:div w:id="633943873">
      <w:bodyDiv w:val="1"/>
      <w:marLeft w:val="0"/>
      <w:marRight w:val="0"/>
      <w:marTop w:val="0"/>
      <w:marBottom w:val="0"/>
      <w:divBdr>
        <w:top w:val="none" w:sz="0" w:space="0" w:color="auto"/>
        <w:left w:val="none" w:sz="0" w:space="0" w:color="auto"/>
        <w:bottom w:val="none" w:sz="0" w:space="0" w:color="auto"/>
        <w:right w:val="none" w:sz="0" w:space="0" w:color="auto"/>
      </w:divBdr>
    </w:div>
    <w:div w:id="662977501">
      <w:bodyDiv w:val="1"/>
      <w:marLeft w:val="0"/>
      <w:marRight w:val="0"/>
      <w:marTop w:val="0"/>
      <w:marBottom w:val="0"/>
      <w:divBdr>
        <w:top w:val="none" w:sz="0" w:space="0" w:color="auto"/>
        <w:left w:val="none" w:sz="0" w:space="0" w:color="auto"/>
        <w:bottom w:val="none" w:sz="0" w:space="0" w:color="auto"/>
        <w:right w:val="none" w:sz="0" w:space="0" w:color="auto"/>
      </w:divBdr>
      <w:divsChild>
        <w:div w:id="1503083035">
          <w:marLeft w:val="0"/>
          <w:marRight w:val="0"/>
          <w:marTop w:val="0"/>
          <w:marBottom w:val="0"/>
          <w:divBdr>
            <w:top w:val="none" w:sz="0" w:space="0" w:color="auto"/>
            <w:left w:val="none" w:sz="0" w:space="0" w:color="auto"/>
            <w:bottom w:val="none" w:sz="0" w:space="0" w:color="auto"/>
            <w:right w:val="none" w:sz="0" w:space="0" w:color="auto"/>
          </w:divBdr>
        </w:div>
      </w:divsChild>
    </w:div>
    <w:div w:id="691759725">
      <w:bodyDiv w:val="1"/>
      <w:marLeft w:val="0"/>
      <w:marRight w:val="0"/>
      <w:marTop w:val="0"/>
      <w:marBottom w:val="0"/>
      <w:divBdr>
        <w:top w:val="none" w:sz="0" w:space="0" w:color="auto"/>
        <w:left w:val="none" w:sz="0" w:space="0" w:color="auto"/>
        <w:bottom w:val="none" w:sz="0" w:space="0" w:color="auto"/>
        <w:right w:val="none" w:sz="0" w:space="0" w:color="auto"/>
      </w:divBdr>
    </w:div>
    <w:div w:id="795417858">
      <w:bodyDiv w:val="1"/>
      <w:marLeft w:val="0"/>
      <w:marRight w:val="0"/>
      <w:marTop w:val="0"/>
      <w:marBottom w:val="0"/>
      <w:divBdr>
        <w:top w:val="none" w:sz="0" w:space="0" w:color="auto"/>
        <w:left w:val="none" w:sz="0" w:space="0" w:color="auto"/>
        <w:bottom w:val="none" w:sz="0" w:space="0" w:color="auto"/>
        <w:right w:val="none" w:sz="0" w:space="0" w:color="auto"/>
      </w:divBdr>
      <w:divsChild>
        <w:div w:id="1098138626">
          <w:marLeft w:val="0"/>
          <w:marRight w:val="0"/>
          <w:marTop w:val="0"/>
          <w:marBottom w:val="0"/>
          <w:divBdr>
            <w:top w:val="none" w:sz="0" w:space="0" w:color="auto"/>
            <w:left w:val="none" w:sz="0" w:space="0" w:color="auto"/>
            <w:bottom w:val="none" w:sz="0" w:space="0" w:color="auto"/>
            <w:right w:val="none" w:sz="0" w:space="0" w:color="auto"/>
          </w:divBdr>
        </w:div>
      </w:divsChild>
    </w:div>
    <w:div w:id="896816415">
      <w:bodyDiv w:val="1"/>
      <w:marLeft w:val="0"/>
      <w:marRight w:val="0"/>
      <w:marTop w:val="0"/>
      <w:marBottom w:val="0"/>
      <w:divBdr>
        <w:top w:val="none" w:sz="0" w:space="0" w:color="auto"/>
        <w:left w:val="none" w:sz="0" w:space="0" w:color="auto"/>
        <w:bottom w:val="none" w:sz="0" w:space="0" w:color="auto"/>
        <w:right w:val="none" w:sz="0" w:space="0" w:color="auto"/>
      </w:divBdr>
    </w:div>
    <w:div w:id="1025131808">
      <w:bodyDiv w:val="1"/>
      <w:marLeft w:val="0"/>
      <w:marRight w:val="0"/>
      <w:marTop w:val="0"/>
      <w:marBottom w:val="0"/>
      <w:divBdr>
        <w:top w:val="none" w:sz="0" w:space="0" w:color="auto"/>
        <w:left w:val="none" w:sz="0" w:space="0" w:color="auto"/>
        <w:bottom w:val="none" w:sz="0" w:space="0" w:color="auto"/>
        <w:right w:val="none" w:sz="0" w:space="0" w:color="auto"/>
      </w:divBdr>
    </w:div>
    <w:div w:id="1091001944">
      <w:bodyDiv w:val="1"/>
      <w:marLeft w:val="0"/>
      <w:marRight w:val="0"/>
      <w:marTop w:val="0"/>
      <w:marBottom w:val="0"/>
      <w:divBdr>
        <w:top w:val="none" w:sz="0" w:space="0" w:color="auto"/>
        <w:left w:val="none" w:sz="0" w:space="0" w:color="auto"/>
        <w:bottom w:val="none" w:sz="0" w:space="0" w:color="auto"/>
        <w:right w:val="none" w:sz="0" w:space="0" w:color="auto"/>
      </w:divBdr>
      <w:divsChild>
        <w:div w:id="1838156662">
          <w:marLeft w:val="0"/>
          <w:marRight w:val="0"/>
          <w:marTop w:val="0"/>
          <w:marBottom w:val="0"/>
          <w:divBdr>
            <w:top w:val="none" w:sz="0" w:space="0" w:color="auto"/>
            <w:left w:val="none" w:sz="0" w:space="0" w:color="auto"/>
            <w:bottom w:val="none" w:sz="0" w:space="0" w:color="auto"/>
            <w:right w:val="none" w:sz="0" w:space="0" w:color="auto"/>
          </w:divBdr>
        </w:div>
      </w:divsChild>
    </w:div>
    <w:div w:id="1198813066">
      <w:bodyDiv w:val="1"/>
      <w:marLeft w:val="0"/>
      <w:marRight w:val="0"/>
      <w:marTop w:val="0"/>
      <w:marBottom w:val="0"/>
      <w:divBdr>
        <w:top w:val="none" w:sz="0" w:space="0" w:color="auto"/>
        <w:left w:val="none" w:sz="0" w:space="0" w:color="auto"/>
        <w:bottom w:val="none" w:sz="0" w:space="0" w:color="auto"/>
        <w:right w:val="none" w:sz="0" w:space="0" w:color="auto"/>
      </w:divBdr>
    </w:div>
    <w:div w:id="1199509354">
      <w:bodyDiv w:val="1"/>
      <w:marLeft w:val="0"/>
      <w:marRight w:val="0"/>
      <w:marTop w:val="0"/>
      <w:marBottom w:val="0"/>
      <w:divBdr>
        <w:top w:val="none" w:sz="0" w:space="0" w:color="auto"/>
        <w:left w:val="none" w:sz="0" w:space="0" w:color="auto"/>
        <w:bottom w:val="none" w:sz="0" w:space="0" w:color="auto"/>
        <w:right w:val="none" w:sz="0" w:space="0" w:color="auto"/>
      </w:divBdr>
      <w:divsChild>
        <w:div w:id="1755004927">
          <w:marLeft w:val="0"/>
          <w:marRight w:val="0"/>
          <w:marTop w:val="0"/>
          <w:marBottom w:val="0"/>
          <w:divBdr>
            <w:top w:val="none" w:sz="0" w:space="0" w:color="auto"/>
            <w:left w:val="none" w:sz="0" w:space="0" w:color="auto"/>
            <w:bottom w:val="none" w:sz="0" w:space="0" w:color="auto"/>
            <w:right w:val="none" w:sz="0" w:space="0" w:color="auto"/>
          </w:divBdr>
        </w:div>
      </w:divsChild>
    </w:div>
    <w:div w:id="1317029208">
      <w:bodyDiv w:val="1"/>
      <w:marLeft w:val="0"/>
      <w:marRight w:val="0"/>
      <w:marTop w:val="0"/>
      <w:marBottom w:val="0"/>
      <w:divBdr>
        <w:top w:val="none" w:sz="0" w:space="0" w:color="auto"/>
        <w:left w:val="none" w:sz="0" w:space="0" w:color="auto"/>
        <w:bottom w:val="none" w:sz="0" w:space="0" w:color="auto"/>
        <w:right w:val="none" w:sz="0" w:space="0" w:color="auto"/>
      </w:divBdr>
    </w:div>
    <w:div w:id="1333333597">
      <w:bodyDiv w:val="1"/>
      <w:marLeft w:val="0"/>
      <w:marRight w:val="0"/>
      <w:marTop w:val="0"/>
      <w:marBottom w:val="0"/>
      <w:divBdr>
        <w:top w:val="none" w:sz="0" w:space="0" w:color="auto"/>
        <w:left w:val="none" w:sz="0" w:space="0" w:color="auto"/>
        <w:bottom w:val="none" w:sz="0" w:space="0" w:color="auto"/>
        <w:right w:val="none" w:sz="0" w:space="0" w:color="auto"/>
      </w:divBdr>
    </w:div>
    <w:div w:id="1478062787">
      <w:bodyDiv w:val="1"/>
      <w:marLeft w:val="0"/>
      <w:marRight w:val="0"/>
      <w:marTop w:val="0"/>
      <w:marBottom w:val="0"/>
      <w:divBdr>
        <w:top w:val="none" w:sz="0" w:space="0" w:color="auto"/>
        <w:left w:val="none" w:sz="0" w:space="0" w:color="auto"/>
        <w:bottom w:val="none" w:sz="0" w:space="0" w:color="auto"/>
        <w:right w:val="none" w:sz="0" w:space="0" w:color="auto"/>
      </w:divBdr>
    </w:div>
    <w:div w:id="1482695227">
      <w:bodyDiv w:val="1"/>
      <w:marLeft w:val="0"/>
      <w:marRight w:val="0"/>
      <w:marTop w:val="0"/>
      <w:marBottom w:val="0"/>
      <w:divBdr>
        <w:top w:val="none" w:sz="0" w:space="0" w:color="auto"/>
        <w:left w:val="none" w:sz="0" w:space="0" w:color="auto"/>
        <w:bottom w:val="none" w:sz="0" w:space="0" w:color="auto"/>
        <w:right w:val="none" w:sz="0" w:space="0" w:color="auto"/>
      </w:divBdr>
      <w:divsChild>
        <w:div w:id="568803932">
          <w:marLeft w:val="0"/>
          <w:marRight w:val="0"/>
          <w:marTop w:val="0"/>
          <w:marBottom w:val="0"/>
          <w:divBdr>
            <w:top w:val="none" w:sz="0" w:space="0" w:color="auto"/>
            <w:left w:val="none" w:sz="0" w:space="0" w:color="auto"/>
            <w:bottom w:val="none" w:sz="0" w:space="0" w:color="auto"/>
            <w:right w:val="none" w:sz="0" w:space="0" w:color="auto"/>
          </w:divBdr>
        </w:div>
      </w:divsChild>
    </w:div>
    <w:div w:id="1534879967">
      <w:bodyDiv w:val="1"/>
      <w:marLeft w:val="0"/>
      <w:marRight w:val="0"/>
      <w:marTop w:val="0"/>
      <w:marBottom w:val="0"/>
      <w:divBdr>
        <w:top w:val="none" w:sz="0" w:space="0" w:color="auto"/>
        <w:left w:val="none" w:sz="0" w:space="0" w:color="auto"/>
        <w:bottom w:val="none" w:sz="0" w:space="0" w:color="auto"/>
        <w:right w:val="none" w:sz="0" w:space="0" w:color="auto"/>
      </w:divBdr>
    </w:div>
    <w:div w:id="1537349262">
      <w:bodyDiv w:val="1"/>
      <w:marLeft w:val="0"/>
      <w:marRight w:val="0"/>
      <w:marTop w:val="0"/>
      <w:marBottom w:val="0"/>
      <w:divBdr>
        <w:top w:val="none" w:sz="0" w:space="0" w:color="auto"/>
        <w:left w:val="none" w:sz="0" w:space="0" w:color="auto"/>
        <w:bottom w:val="none" w:sz="0" w:space="0" w:color="auto"/>
        <w:right w:val="none" w:sz="0" w:space="0" w:color="auto"/>
      </w:divBdr>
      <w:divsChild>
        <w:div w:id="1362895937">
          <w:marLeft w:val="0"/>
          <w:marRight w:val="0"/>
          <w:marTop w:val="0"/>
          <w:marBottom w:val="0"/>
          <w:divBdr>
            <w:top w:val="none" w:sz="0" w:space="0" w:color="auto"/>
            <w:left w:val="none" w:sz="0" w:space="0" w:color="auto"/>
            <w:bottom w:val="none" w:sz="0" w:space="0" w:color="auto"/>
            <w:right w:val="none" w:sz="0" w:space="0" w:color="auto"/>
          </w:divBdr>
        </w:div>
      </w:divsChild>
    </w:div>
    <w:div w:id="1559391074">
      <w:bodyDiv w:val="1"/>
      <w:marLeft w:val="0"/>
      <w:marRight w:val="0"/>
      <w:marTop w:val="0"/>
      <w:marBottom w:val="0"/>
      <w:divBdr>
        <w:top w:val="none" w:sz="0" w:space="0" w:color="auto"/>
        <w:left w:val="none" w:sz="0" w:space="0" w:color="auto"/>
        <w:bottom w:val="none" w:sz="0" w:space="0" w:color="auto"/>
        <w:right w:val="none" w:sz="0" w:space="0" w:color="auto"/>
      </w:divBdr>
      <w:divsChild>
        <w:div w:id="1373072878">
          <w:marLeft w:val="0"/>
          <w:marRight w:val="0"/>
          <w:marTop w:val="0"/>
          <w:marBottom w:val="0"/>
          <w:divBdr>
            <w:top w:val="none" w:sz="0" w:space="0" w:color="auto"/>
            <w:left w:val="none" w:sz="0" w:space="0" w:color="auto"/>
            <w:bottom w:val="none" w:sz="0" w:space="0" w:color="auto"/>
            <w:right w:val="none" w:sz="0" w:space="0" w:color="auto"/>
          </w:divBdr>
        </w:div>
      </w:divsChild>
    </w:div>
    <w:div w:id="1794397472">
      <w:bodyDiv w:val="1"/>
      <w:marLeft w:val="0"/>
      <w:marRight w:val="0"/>
      <w:marTop w:val="0"/>
      <w:marBottom w:val="0"/>
      <w:divBdr>
        <w:top w:val="none" w:sz="0" w:space="0" w:color="auto"/>
        <w:left w:val="none" w:sz="0" w:space="0" w:color="auto"/>
        <w:bottom w:val="none" w:sz="0" w:space="0" w:color="auto"/>
        <w:right w:val="none" w:sz="0" w:space="0" w:color="auto"/>
      </w:divBdr>
    </w:div>
    <w:div w:id="1871720861">
      <w:bodyDiv w:val="1"/>
      <w:marLeft w:val="0"/>
      <w:marRight w:val="0"/>
      <w:marTop w:val="0"/>
      <w:marBottom w:val="0"/>
      <w:divBdr>
        <w:top w:val="none" w:sz="0" w:space="0" w:color="auto"/>
        <w:left w:val="none" w:sz="0" w:space="0" w:color="auto"/>
        <w:bottom w:val="none" w:sz="0" w:space="0" w:color="auto"/>
        <w:right w:val="none" w:sz="0" w:space="0" w:color="auto"/>
      </w:divBdr>
    </w:div>
    <w:div w:id="1884900429">
      <w:bodyDiv w:val="1"/>
      <w:marLeft w:val="0"/>
      <w:marRight w:val="0"/>
      <w:marTop w:val="0"/>
      <w:marBottom w:val="0"/>
      <w:divBdr>
        <w:top w:val="none" w:sz="0" w:space="0" w:color="auto"/>
        <w:left w:val="none" w:sz="0" w:space="0" w:color="auto"/>
        <w:bottom w:val="none" w:sz="0" w:space="0" w:color="auto"/>
        <w:right w:val="none" w:sz="0" w:space="0" w:color="auto"/>
      </w:divBdr>
    </w:div>
    <w:div w:id="2028747131">
      <w:bodyDiv w:val="1"/>
      <w:marLeft w:val="0"/>
      <w:marRight w:val="0"/>
      <w:marTop w:val="0"/>
      <w:marBottom w:val="0"/>
      <w:divBdr>
        <w:top w:val="none" w:sz="0" w:space="0" w:color="auto"/>
        <w:left w:val="none" w:sz="0" w:space="0" w:color="auto"/>
        <w:bottom w:val="none" w:sz="0" w:space="0" w:color="auto"/>
        <w:right w:val="none" w:sz="0" w:space="0" w:color="auto"/>
      </w:divBdr>
    </w:div>
    <w:div w:id="209565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9CEC7-F952-4F42-94BE-7171F7BA998C}">
  <ds:schemaRefs>
    <ds:schemaRef ds:uri="http://schemas.openxmlformats.org/officeDocument/2006/bibliography"/>
  </ds:schemaRefs>
</ds:datastoreItem>
</file>

<file path=docMetadata/LabelInfo.xml><?xml version="1.0" encoding="utf-8"?>
<clbl:labelList xmlns:clbl="http://schemas.microsoft.com/office/2020/mipLabelMetadata">
  <clbl:label id="{1faf88fe-a998-4c5b-93c9-210a11d9a5c2}" enabled="0" method="" siteId="{1faf88fe-a998-4c5b-93c9-210a11d9a5c2}" removed="1"/>
</clbl:labelList>
</file>

<file path=docProps/app.xml><?xml version="1.0" encoding="utf-8"?>
<Properties xmlns="http://schemas.openxmlformats.org/officeDocument/2006/extended-properties" xmlns:vt="http://schemas.openxmlformats.org/officeDocument/2006/docPropsVTypes">
  <Template>Normal.dotm</Template>
  <TotalTime>111</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Xiao Wei</dc:creator>
  <cp:keywords/>
  <dc:description/>
  <cp:lastModifiedBy>Lim, Xiao Wei</cp:lastModifiedBy>
  <cp:revision>42</cp:revision>
  <dcterms:created xsi:type="dcterms:W3CDTF">2024-12-12T09:10:00Z</dcterms:created>
  <dcterms:modified xsi:type="dcterms:W3CDTF">2025-01-14T12:18:00Z</dcterms:modified>
</cp:coreProperties>
</file>