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 Based Operating System Engineering Specification</w:t>
      </w:r>
    </w:p>
    <w:p>
      <w:pPr>
        <w:pStyle w:val="Subtitle"/>
      </w:pPr>
      <w:r>
        <w:t>Feasibility assessment and proposed functional requirements with high level and low level design</w:t>
      </w:r>
    </w:p>
    <w:p>
      <w:pPr>
        <w:spacing w:after="160"/>
      </w:pPr>
      <w:r>
        <w:t>Prepared for Hakim Mosleh</w:t>
      </w:r>
    </w:p>
    <w:p>
      <w:pPr>
        <w:spacing w:after="160"/>
      </w:pPr>
      <w:r>
        <w:t>Version 1.0 • 10 September 2026 • Engineering baseline for prototyping</w:t>
      </w:r>
    </w:p>
    <w:p>
      <w:r>
        <w:t>This specification defines an operating system installed directly on a consumer computer, with local language models built into its installation image. It covers hardware skills, a conversational desktop, semantic file management, applications launched as agents, multimodal interaction, and creation of documents, spreadsheets, diagrams, animations, and code. It is intended for the system architect, kernel and platform engineers, inference team, application team, security engineers, and test leads.</w:t>
      </w:r>
    </w:p>
    <w:p>
      <w:r>
        <w:t>The practical design is feasible if a deterministic kernel and storage engine execute the operations proposed by the LLM. An LLM cannot presently provide the bounded latency, memory isolation, crash recovery, and precise instruction execution required to replace every kernel mechanism. The recommended first product is a Linux-based OS distribution with a deeply integrated skill and agent service layer. A new microkernel is a separate research path with a much larger driver and compatibility burden.</w:t>
      </w:r>
    </w:p>
    <w:p>
      <w:r>
        <w:t>Recommended consumer configuration: 32 GB RAM, an 8–9B parameter main model quantized to approximately 4 bits, a qualified integrated GPU or NPU, and a 512 GB or larger NVMe SSD. A compact 3–4B alternative supports constrained devices and battery operation. Use 64 GB RAM or more for comfortable local coding, heavier vision tasks, and optional 14–32B specialists. These are proposed configurations to benchmark, not measured product performance.</w:t>
      </w:r>
    </w:p>
    <w:p>
      <w:r>
        <w:t>The document separates vendor facts, architectural recommendations, calculated estimates, and acceptance targets. Sources were checked on 10 September 2026. No proposed OS implementation or hardware benchmark was executed for this study. Requirements marked R1 define the proposed first product; R2 extends it; RX identifies research work. Detailed board support, exact model builds, and benchmark results remain release gates.</w:t>
      </w:r>
    </w:p>
    <w:p>
      <w:r>
        <w:br w:type="page"/>
      </w:r>
    </w:p>
    <w:p>
      <w:pPr>
        <w:pStyle w:val="Heading1"/>
      </w:pPr>
      <w:r>
        <w:t>Document guide</w:t>
      </w:r>
    </w:p>
    <w:p>
      <w:r>
        <w:t>Use Sections 1 and 14–15 for the feasibility and hardware decision. Sections 3–13 define the architecture and component contracts. Sections 16–18 define implementation requirements, acceptance evidence and delivery work.</w:t>
      </w:r>
    </w:p>
    <w:p>
      <w:pPr>
        <w:spacing w:after="80"/>
      </w:pPr>
      <w:r>
        <w:rPr>
          <w:sz w:val="20"/>
        </w:rPr>
        <w:t>1 Engineering conclusions and scope</w:t>
      </w:r>
    </w:p>
    <w:p>
      <w:pPr>
        <w:spacing w:after="80"/>
      </w:pPr>
      <w:r>
        <w:rPr>
          <w:sz w:val="20"/>
        </w:rPr>
        <w:t>2 Product behavior and delivery boundaries</w:t>
      </w:r>
    </w:p>
    <w:p>
      <w:pPr>
        <w:spacing w:after="80"/>
      </w:pPr>
      <w:r>
        <w:rPr>
          <w:sz w:val="20"/>
        </w:rPr>
        <w:t>3 High level architecture</w:t>
      </w:r>
    </w:p>
    <w:p>
      <w:pPr>
        <w:spacing w:after="80"/>
      </w:pPr>
      <w:r>
        <w:rPr>
          <w:sz w:val="20"/>
        </w:rPr>
        <w:t>4 Low level kernel and hardware design</w:t>
      </w:r>
    </w:p>
    <w:p>
      <w:pPr>
        <w:spacing w:after="80"/>
      </w:pPr>
      <w:r>
        <w:rPr>
          <w:sz w:val="20"/>
        </w:rPr>
        <w:t>5 Boot installation and system updates</w:t>
      </w:r>
    </w:p>
    <w:p>
      <w:pPr>
        <w:spacing w:after="80"/>
      </w:pPr>
      <w:r>
        <w:rPr>
          <w:sz w:val="20"/>
        </w:rPr>
        <w:t>6 Skill package and execution design</w:t>
      </w:r>
    </w:p>
    <w:p>
      <w:pPr>
        <w:spacing w:after="80"/>
      </w:pPr>
      <w:r>
        <w:rPr>
          <w:sz w:val="20"/>
        </w:rPr>
        <w:t>7 Inference runtime and model engineering</w:t>
      </w:r>
    </w:p>
    <w:p>
      <w:pPr>
        <w:spacing w:after="80"/>
      </w:pPr>
      <w:r>
        <w:rPr>
          <w:sz w:val="20"/>
        </w:rPr>
        <w:t>8 Semantic filesystem and storage design</w:t>
      </w:r>
    </w:p>
    <w:p>
      <w:pPr>
        <w:spacing w:after="80"/>
      </w:pPr>
      <w:r>
        <w:rPr>
          <w:sz w:val="20"/>
        </w:rPr>
        <w:t>9 Workflow orchestration and flash applications</w:t>
      </w:r>
    </w:p>
    <w:p>
      <w:pPr>
        <w:spacing w:after="80"/>
      </w:pPr>
      <w:r>
        <w:rPr>
          <w:sz w:val="20"/>
        </w:rPr>
        <w:t>10 Multimodal interaction and content generation</w:t>
      </w:r>
    </w:p>
    <w:p>
      <w:pPr>
        <w:spacing w:after="80"/>
      </w:pPr>
      <w:r>
        <w:rPr>
          <w:sz w:val="20"/>
        </w:rPr>
        <w:t>11 Existing application compatibility</w:t>
      </w:r>
    </w:p>
    <w:p>
      <w:pPr>
        <w:spacing w:after="80"/>
      </w:pPr>
      <w:r>
        <w:rPr>
          <w:sz w:val="20"/>
        </w:rPr>
        <w:t>12 Security isolation and audit</w:t>
      </w:r>
    </w:p>
    <w:p>
      <w:pPr>
        <w:spacing w:after="80"/>
      </w:pPr>
      <w:r>
        <w:rPr>
          <w:sz w:val="20"/>
        </w:rPr>
        <w:t>13 Low level interfaces and data contracts</w:t>
      </w:r>
    </w:p>
    <w:p>
      <w:pPr>
        <w:spacing w:after="80"/>
      </w:pPr>
      <w:r>
        <w:rPr>
          <w:sz w:val="20"/>
        </w:rPr>
        <w:t>14 Model size memory and performance sizing</w:t>
      </w:r>
    </w:p>
    <w:p>
      <w:pPr>
        <w:spacing w:after="80"/>
      </w:pPr>
      <w:r>
        <w:rPr>
          <w:sz w:val="20"/>
        </w:rPr>
        <w:t>15 Hardware platform qualification</w:t>
      </w:r>
    </w:p>
    <w:p>
      <w:pPr>
        <w:spacing w:after="80"/>
      </w:pPr>
      <w:r>
        <w:rPr>
          <w:sz w:val="20"/>
        </w:rPr>
        <w:t>16 Functional and nonfunctional requirements</w:t>
      </w:r>
    </w:p>
    <w:p>
      <w:pPr>
        <w:spacing w:after="80"/>
      </w:pPr>
      <w:r>
        <w:rPr>
          <w:sz w:val="20"/>
        </w:rPr>
        <w:t>17 Verification operations and release evidence</w:t>
      </w:r>
    </w:p>
    <w:p>
      <w:pPr>
        <w:spacing w:after="80"/>
      </w:pPr>
      <w:r>
        <w:rPr>
          <w:sz w:val="20"/>
        </w:rPr>
        <w:t>18 Development plan and engineering resources</w:t>
      </w:r>
    </w:p>
    <w:p>
      <w:pPr>
        <w:spacing w:after="80"/>
      </w:pPr>
      <w:r>
        <w:rPr>
          <w:sz w:val="20"/>
        </w:rPr>
        <w:t>19 Alternative microkernel and generated kernel research</w:t>
      </w:r>
    </w:p>
    <w:p>
      <w:pPr>
        <w:spacing w:after="80"/>
      </w:pPr>
      <w:r>
        <w:rPr>
          <w:sz w:val="20"/>
        </w:rPr>
        <w:t>20 Decisions to freeze before implementation</w:t>
      </w:r>
    </w:p>
    <w:p>
      <w:pPr>
        <w:spacing w:after="80"/>
      </w:pPr>
      <w:r>
        <w:rPr>
          <w:sz w:val="20"/>
        </w:rPr>
        <w:t>21 Source register</w:t>
      </w:r>
    </w:p>
    <w:p>
      <w:pPr>
        <w:spacing w:after="80"/>
      </w:pPr>
      <w:r>
        <w:rPr>
          <w:sz w:val="20"/>
        </w:rPr>
        <w:t>22 Glossary</w:t>
      </w:r>
    </w:p>
    <w:p>
      <w:r>
        <w:br w:type="page"/>
      </w:r>
    </w:p>
    <w:p>
      <w:pPr>
        <w:pStyle w:val="Heading1"/>
      </w:pPr>
      <w:r>
        <w:t>1 Engineering conclusions and scope</w:t>
      </w:r>
    </w:p>
    <w:p>
      <w:pPr>
        <w:pStyle w:val="Heading2"/>
      </w:pPr>
      <w:r>
        <w:t>1.1 What can be built</w:t>
      </w:r>
    </w:p>
    <w:p>
      <w:r>
        <w:t>A computer can boot into an OS whose primary interaction is conversation and whose application functions are exposed as discoverable skills. The LLM can interpret requests, choose tools, build workflows, organize semantic views of files, and generate executable artifacts. It can also propose CPU, memory, storage, and power policies through typed hardware services. Linux can supply the required hardware execution and process isolation while the new OS controls installation, desktop behavior, application lifecycle, update policy, and the local AI runtime.</w:t>
      </w:r>
    </w:p>
    <w:p>
      <w:r>
        <w:t>This is more extensive than putting a chatbot on an existing desktop: the OS owns the skill ABI, artifact identity, permission model, model scheduling, transaction history, and agent execution. Nevertheless, the initial kernel remains Linux. A product using that architecture should state this accurately.</w:t>
      </w:r>
    </w:p>
    <w:p>
      <w:r>
        <w:t>The word skill needs a precise engineering definition. A skill is a versioned package containing a manifest, typed input and output schemas, an executable implementation or workflow, optional model instructions, declared capabilities, resource limits, and tests. Descriptive prompt text alone cannot initialize a memory controller or operate a GPU. A hardware skill calls a driver or a compiled privileged service that performs the actual operation.</w:t>
      </w:r>
    </w:p>
    <w:p>
      <w:pPr>
        <w:pStyle w:val="Heading2"/>
      </w:pPr>
      <w:r>
        <w:t>1.2 Assessment of the requested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3312"/>
        <w:gridCol w:w="4392"/>
      </w:tblGrid>
      <w:tr>
        <w:trPr>
          <w:cantSplit/>
          <w:tblHeader/>
        </w:trPr>
        <w:tc>
          <w:tcPr>
            <w:tcW w:type="dxa" w:w="2376"/>
            <w:vAlign w:val="center"/>
            <w:shd w:fill="DCE6EE"/>
          </w:tcPr>
          <w:p>
            <w:pPr>
              <w:keepNext/>
              <w:spacing w:after="0" w:line="247" w:lineRule="auto"/>
            </w:pPr>
            <w:r>
              <w:rPr>
                <w:b/>
                <w:sz w:val="18"/>
              </w:rPr>
              <w:t>Requested capability</w:t>
            </w:r>
          </w:p>
        </w:tc>
        <w:tc>
          <w:tcPr>
            <w:tcW w:type="dxa" w:w="3312"/>
            <w:vAlign w:val="center"/>
            <w:shd w:fill="DCE6EE"/>
          </w:tcPr>
          <w:p>
            <w:pPr>
              <w:keepNext/>
              <w:spacing w:after="0" w:line="247" w:lineRule="auto"/>
            </w:pPr>
            <w:r>
              <w:rPr>
                <w:b/>
                <w:sz w:val="18"/>
              </w:rPr>
              <w:t>Feasibility</w:t>
            </w:r>
          </w:p>
        </w:tc>
        <w:tc>
          <w:tcPr>
            <w:tcW w:type="dxa" w:w="4392"/>
            <w:vAlign w:val="center"/>
            <w:shd w:fill="DCE6EE"/>
          </w:tcPr>
          <w:p>
            <w:pPr>
              <w:keepNext/>
              <w:spacing w:after="0" w:line="247" w:lineRule="auto"/>
            </w:pPr>
            <w:r>
              <w:rPr>
                <w:b/>
                <w:sz w:val="18"/>
              </w:rPr>
              <w:t>Engineering interpretation</w:t>
            </w:r>
          </w:p>
        </w:tc>
      </w:tr>
      <w:tr>
        <w:trPr>
          <w:cantSplit/>
        </w:trPr>
        <w:tc>
          <w:tcPr>
            <w:tcW w:type="dxa" w:w="2376"/>
            <w:vAlign w:val="center"/>
            <w:shd w:fill="FFFFFF"/>
          </w:tcPr>
          <w:p>
            <w:pPr>
              <w:spacing w:after="0" w:line="247" w:lineRule="auto"/>
            </w:pPr>
            <w:r>
              <w:rPr>
                <w:sz w:val="18"/>
              </w:rPr>
              <w:t>Kernel entirely made of LLM skills</w:t>
            </w:r>
          </w:p>
        </w:tc>
        <w:tc>
          <w:tcPr>
            <w:tcW w:type="dxa" w:w="3312"/>
            <w:vAlign w:val="center"/>
            <w:shd w:fill="FFFFFF"/>
          </w:tcPr>
          <w:p>
            <w:pPr>
              <w:spacing w:after="0" w:line="247" w:lineRule="auto"/>
            </w:pPr>
            <w:r>
              <w:rPr>
                <w:sz w:val="18"/>
              </w:rPr>
              <w:t>Research only if literal</w:t>
            </w:r>
          </w:p>
        </w:tc>
        <w:tc>
          <w:tcPr>
            <w:tcW w:type="dxa" w:w="4392"/>
            <w:vAlign w:val="center"/>
            <w:shd w:fill="FFFFFF"/>
          </w:tcPr>
          <w:p>
            <w:pPr>
              <w:spacing w:after="0" w:line="247" w:lineRule="auto"/>
            </w:pPr>
            <w:r>
              <w:rPr>
                <w:sz w:val="18"/>
              </w:rPr>
              <w:t>A model may assist in authoring kernel code. Runtime hardware mechanisms must still be compiled and deterministic. Skills expose policy and management operations.</w:t>
            </w:r>
          </w:p>
        </w:tc>
      </w:tr>
      <w:tr>
        <w:trPr>
          <w:cantSplit/>
        </w:trPr>
        <w:tc>
          <w:tcPr>
            <w:tcW w:type="dxa" w:w="2376"/>
            <w:vAlign w:val="center"/>
            <w:shd w:fill="F6F8FA"/>
          </w:tcPr>
          <w:p>
            <w:pPr>
              <w:spacing w:after="0" w:line="247" w:lineRule="auto"/>
            </w:pPr>
            <w:r>
              <w:rPr>
                <w:sz w:val="18"/>
              </w:rPr>
              <w:t>CPU I O memory storage and graphics skills</w:t>
            </w:r>
          </w:p>
        </w:tc>
        <w:tc>
          <w:tcPr>
            <w:tcW w:type="dxa" w:w="3312"/>
            <w:vAlign w:val="center"/>
            <w:shd w:fill="F6F8FA"/>
          </w:tcPr>
          <w:p>
            <w:pPr>
              <w:spacing w:after="0" w:line="247" w:lineRule="auto"/>
            </w:pPr>
            <w:r>
              <w:rPr>
                <w:sz w:val="18"/>
              </w:rPr>
              <w:t>Feasible with boundaries</w:t>
            </w:r>
          </w:p>
        </w:tc>
        <w:tc>
          <w:tcPr>
            <w:tcW w:type="dxa" w:w="4392"/>
            <w:vAlign w:val="center"/>
            <w:shd w:fill="F6F8FA"/>
          </w:tcPr>
          <w:p>
            <w:pPr>
              <w:spacing w:after="0" w:line="247" w:lineRule="auto"/>
            </w:pPr>
            <w:r>
              <w:rPr>
                <w:sz w:val="18"/>
              </w:rPr>
              <w:t>Each hardware class has a typed control service above a qualified driver. Interrupts, DMA, page tables, and command submission remain below the LLM.</w:t>
            </w:r>
          </w:p>
        </w:tc>
      </w:tr>
      <w:tr>
        <w:trPr>
          <w:cantSplit/>
        </w:trPr>
        <w:tc>
          <w:tcPr>
            <w:tcW w:type="dxa" w:w="2376"/>
            <w:vAlign w:val="center"/>
            <w:shd w:fill="FFFFFF"/>
          </w:tcPr>
          <w:p>
            <w:pPr>
              <w:spacing w:after="0" w:line="247" w:lineRule="auto"/>
            </w:pPr>
            <w:r>
              <w:rPr>
                <w:sz w:val="18"/>
              </w:rPr>
              <w:t>LLM manages the file system</w:t>
            </w:r>
          </w:p>
        </w:tc>
        <w:tc>
          <w:tcPr>
            <w:tcW w:type="dxa" w:w="3312"/>
            <w:vAlign w:val="center"/>
            <w:shd w:fill="FFFFFF"/>
          </w:tcPr>
          <w:p>
            <w:pPr>
              <w:spacing w:after="0" w:line="247" w:lineRule="auto"/>
            </w:pPr>
            <w:r>
              <w:rPr>
                <w:sz w:val="18"/>
              </w:rPr>
              <w:t>Feasible for organization</w:t>
            </w:r>
          </w:p>
        </w:tc>
        <w:tc>
          <w:tcPr>
            <w:tcW w:type="dxa" w:w="4392"/>
            <w:vAlign w:val="center"/>
            <w:shd w:fill="FFFFFF"/>
          </w:tcPr>
          <w:p>
            <w:pPr>
              <w:spacing w:after="0" w:line="247" w:lineRule="auto"/>
            </w:pPr>
            <w:r>
              <w:rPr>
                <w:sz w:val="18"/>
              </w:rPr>
              <w:t>LLM controls classification, semantic collections, search, and proposed transformations. The filesystem engine owns bytes, paths, permissions, durability, and recovery.</w:t>
            </w:r>
          </w:p>
        </w:tc>
      </w:tr>
      <w:tr>
        <w:trPr>
          <w:cantSplit/>
        </w:trPr>
        <w:tc>
          <w:tcPr>
            <w:tcW w:type="dxa" w:w="2376"/>
            <w:vAlign w:val="center"/>
            <w:shd w:fill="F6F8FA"/>
          </w:tcPr>
          <w:p>
            <w:pPr>
              <w:spacing w:after="0" w:line="247" w:lineRule="auto"/>
            </w:pPr>
            <w:r>
              <w:rPr>
                <w:sz w:val="18"/>
              </w:rPr>
              <w:t>Applications become flash services or agents</w:t>
            </w:r>
          </w:p>
        </w:tc>
        <w:tc>
          <w:tcPr>
            <w:tcW w:type="dxa" w:w="3312"/>
            <w:vAlign w:val="center"/>
            <w:shd w:fill="F6F8FA"/>
          </w:tcPr>
          <w:p>
            <w:pPr>
              <w:spacing w:after="0" w:line="247" w:lineRule="auto"/>
            </w:pPr>
            <w:r>
              <w:rPr>
                <w:sz w:val="18"/>
              </w:rPr>
              <w:t>Feasible for suitable workloads</w:t>
            </w:r>
          </w:p>
        </w:tc>
        <w:tc>
          <w:tcPr>
            <w:tcW w:type="dxa" w:w="4392"/>
            <w:vAlign w:val="center"/>
            <w:shd w:fill="F6F8FA"/>
          </w:tcPr>
          <w:p>
            <w:pPr>
              <w:spacing w:after="0" w:line="247" w:lineRule="auto"/>
            </w:pPr>
            <w:r>
              <w:rPr>
                <w:sz w:val="18"/>
              </w:rPr>
              <w:t>Functions activate on demand in sandboxes. Persistent state lives outside workers. Interactive editors and long jobs retain sessions when needed.</w:t>
            </w:r>
          </w:p>
        </w:tc>
      </w:tr>
      <w:tr>
        <w:trPr>
          <w:cantSplit/>
        </w:trPr>
        <w:tc>
          <w:tcPr>
            <w:tcW w:type="dxa" w:w="2376"/>
            <w:vAlign w:val="center"/>
            <w:shd w:fill="FFFFFF"/>
          </w:tcPr>
          <w:p>
            <w:pPr>
              <w:spacing w:after="0" w:line="247" w:lineRule="auto"/>
            </w:pPr>
            <w:r>
              <w:rPr>
                <w:sz w:val="18"/>
              </w:rPr>
              <w:t>Existing application support</w:t>
            </w:r>
          </w:p>
        </w:tc>
        <w:tc>
          <w:tcPr>
            <w:tcW w:type="dxa" w:w="3312"/>
            <w:vAlign w:val="center"/>
            <w:shd w:fill="FFFFFF"/>
          </w:tcPr>
          <w:p>
            <w:pPr>
              <w:spacing w:after="0" w:line="247" w:lineRule="auto"/>
            </w:pPr>
            <w:r>
              <w:rPr>
                <w:sz w:val="18"/>
              </w:rPr>
              <w:t>Partial and testable</w:t>
            </w:r>
          </w:p>
        </w:tc>
        <w:tc>
          <w:tcPr>
            <w:tcW w:type="dxa" w:w="4392"/>
            <w:vAlign w:val="center"/>
            <w:shd w:fill="FFFFFF"/>
          </w:tcPr>
          <w:p>
            <w:pPr>
              <w:spacing w:after="0" w:line="247" w:lineRule="auto"/>
            </w:pPr>
            <w:r>
              <w:rPr>
                <w:sz w:val="18"/>
              </w:rPr>
              <w:t>Native Linux apps and web apps are primary. Windows compatibility or a licensed VM is optional. Arbitrary binary compatibility is not automatic.</w:t>
            </w:r>
          </w:p>
        </w:tc>
      </w:tr>
      <w:tr>
        <w:trPr>
          <w:cantSplit/>
        </w:trPr>
        <w:tc>
          <w:tcPr>
            <w:tcW w:type="dxa" w:w="2376"/>
            <w:vAlign w:val="center"/>
            <w:shd w:fill="F6F8FA"/>
          </w:tcPr>
          <w:p>
            <w:pPr>
              <w:spacing w:after="0" w:line="247" w:lineRule="auto"/>
            </w:pPr>
            <w:r>
              <w:rPr>
                <w:sz w:val="18"/>
              </w:rPr>
              <w:t>Full multimodal interaction</w:t>
            </w:r>
          </w:p>
        </w:tc>
        <w:tc>
          <w:tcPr>
            <w:tcW w:type="dxa" w:w="3312"/>
            <w:vAlign w:val="center"/>
            <w:shd w:fill="F6F8FA"/>
          </w:tcPr>
          <w:p>
            <w:pPr>
              <w:spacing w:after="0" w:line="247" w:lineRule="auto"/>
            </w:pPr>
            <w:r>
              <w:rPr>
                <w:sz w:val="18"/>
              </w:rPr>
              <w:t>Feasible with a model suite</w:t>
            </w:r>
          </w:p>
        </w:tc>
        <w:tc>
          <w:tcPr>
            <w:tcW w:type="dxa" w:w="4392"/>
            <w:vAlign w:val="center"/>
            <w:shd w:fill="F6F8FA"/>
          </w:tcPr>
          <w:p>
            <w:pPr>
              <w:spacing w:after="0" w:line="247" w:lineRule="auto"/>
            </w:pPr>
            <w:r>
              <w:rPr>
                <w:sz w:val="18"/>
              </w:rPr>
              <w:t>Text, speech, images, screen content, and sampled video use appropriate encoders and decoders. Sensor capture remains permission controlled.</w:t>
            </w:r>
          </w:p>
        </w:tc>
      </w:tr>
      <w:tr>
        <w:trPr>
          <w:cantSplit/>
        </w:trPr>
        <w:tc>
          <w:tcPr>
            <w:tcW w:type="dxa" w:w="2376"/>
            <w:vAlign w:val="center"/>
            <w:shd w:fill="FFFFFF"/>
          </w:tcPr>
          <w:p>
            <w:pPr>
              <w:spacing w:after="0" w:line="247" w:lineRule="auto"/>
            </w:pPr>
            <w:r>
              <w:rPr>
                <w:sz w:val="18"/>
              </w:rPr>
              <w:t>Content and custom code on demand</w:t>
            </w:r>
          </w:p>
        </w:tc>
        <w:tc>
          <w:tcPr>
            <w:tcW w:type="dxa" w:w="3312"/>
            <w:vAlign w:val="center"/>
            <w:shd w:fill="FFFFFF"/>
          </w:tcPr>
          <w:p>
            <w:pPr>
              <w:spacing w:after="0" w:line="247" w:lineRule="auto"/>
            </w:pPr>
            <w:r>
              <w:rPr>
                <w:sz w:val="18"/>
              </w:rPr>
              <w:t>Feasible within bounded tasks</w:t>
            </w:r>
          </w:p>
        </w:tc>
        <w:tc>
          <w:tcPr>
            <w:tcW w:type="dxa" w:w="4392"/>
            <w:vAlign w:val="center"/>
            <w:shd w:fill="FFFFFF"/>
          </w:tcPr>
          <w:p>
            <w:pPr>
              <w:spacing w:after="0" w:line="247" w:lineRule="auto"/>
            </w:pPr>
            <w:r>
              <w:rPr>
                <w:sz w:val="18"/>
              </w:rPr>
              <w:t>LLM generates a plan or source; deterministic engines calculate, render, validate, and package the output. Complex video generation requires a separate performance tier.</w:t>
            </w:r>
          </w:p>
        </w:tc>
      </w:tr>
      <w:tr>
        <w:trPr>
          <w:cantSplit/>
        </w:trPr>
        <w:tc>
          <w:tcPr>
            <w:tcW w:type="dxa" w:w="2376"/>
            <w:vAlign w:val="center"/>
            <w:shd w:fill="F6F8FA"/>
          </w:tcPr>
          <w:p>
            <w:pPr>
              <w:spacing w:after="0" w:line="247" w:lineRule="auto"/>
            </w:pPr>
            <w:r>
              <w:rPr>
                <w:sz w:val="18"/>
              </w:rPr>
              <w:t>Embedded LLM in installed OS image</w:t>
            </w:r>
          </w:p>
        </w:tc>
        <w:tc>
          <w:tcPr>
            <w:tcW w:type="dxa" w:w="3312"/>
            <w:vAlign w:val="center"/>
            <w:shd w:fill="F6F8FA"/>
          </w:tcPr>
          <w:p>
            <w:pPr>
              <w:spacing w:after="0" w:line="247" w:lineRule="auto"/>
            </w:pPr>
            <w:r>
              <w:rPr>
                <w:sz w:val="18"/>
              </w:rPr>
              <w:t>Feasible</w:t>
            </w:r>
          </w:p>
        </w:tc>
        <w:tc>
          <w:tcPr>
            <w:tcW w:type="dxa" w:w="4392"/>
            <w:vAlign w:val="center"/>
            <w:shd w:fill="F6F8FA"/>
          </w:tcPr>
          <w:p>
            <w:pPr>
              <w:spacing w:after="0" w:line="247" w:lineRule="auto"/>
            </w:pPr>
            <w:r>
              <w:rPr>
                <w:sz w:val="18"/>
              </w:rPr>
              <w:t>Signed model files ship with the OS and run after kernel initialization. They need not be linked into the kernel executable.</w:t>
            </w:r>
          </w:p>
        </w:tc>
      </w:tr>
    </w:tbl>
    <w:p>
      <w:pPr>
        <w:spacing w:after="20"/>
      </w:pPr>
    </w:p>
    <w:p>
      <w:pPr>
        <w:pStyle w:val="Heading2"/>
      </w:pPr>
      <w:r>
        <w:t>1.3 Why a literal model kernel is not the product baseline</w:t>
      </w:r>
    </w:p>
    <w:p>
      <w:r>
        <w:t>The CPU boots using firmware and executable machine instructions before model weights can be loaded. A runtime must already allocate memory, load storage, initialize an accelerator, and schedule work for the first inference to happen. Asking the LLM to provide those same mechanisms creates a circular dependency. A compiled bootstrap and hardware execution layer therefore remains necessary even in an experimental design.</w:t>
      </w:r>
    </w:p>
    <w:p>
      <w:r>
        <w:t>Kernel operations also have fundamentally different deadlines. An illustrative 8B dense model producing 25 tokens per second takes four seconds to emit a 100-token plan. Interrupt service, page-fault handling, and device queues operate on much shorter hardware and operating-system timescales. The exact latency varies by device; the architectural point is that kernel correctness cannot wait on variable-length text generation.</w:t>
      </w:r>
    </w:p>
    <w:p>
      <w:r>
        <w:t>Constrained decoding can enforce syntax, but cannot prove that a chosen memory mapping, device command, or file deletion is correct. Temperature zero also does not establish semantic correctness or bounded worst-case execution time. Use deterministic validators and privilege enforcement for every effect. A failed or absent model must leave boot, data access, shutdown, and recovery available.</w:t>
      </w:r>
    </w:p>
    <w:p>
      <w:pPr>
        <w:pStyle w:val="Heading2"/>
      </w:pPr>
      <w:r>
        <w:t>1.4 Architecture alternatives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512"/>
        <w:gridCol w:w="2088"/>
        <w:gridCol w:w="2448"/>
        <w:gridCol w:w="2448"/>
        <w:gridCol w:w="1584"/>
      </w:tblGrid>
      <w:tr>
        <w:trPr>
          <w:cantSplit/>
          <w:tblHeader/>
        </w:trPr>
        <w:tc>
          <w:tcPr>
            <w:tcW w:type="dxa" w:w="1512"/>
            <w:vAlign w:val="center"/>
            <w:shd w:fill="DCE6EE"/>
          </w:tcPr>
          <w:p>
            <w:pPr>
              <w:keepNext/>
              <w:spacing w:after="0" w:line="247" w:lineRule="auto"/>
            </w:pPr>
            <w:r>
              <w:rPr>
                <w:b/>
                <w:sz w:val="18"/>
              </w:rPr>
              <w:t>Option</w:t>
            </w:r>
          </w:p>
        </w:tc>
        <w:tc>
          <w:tcPr>
            <w:tcW w:type="dxa" w:w="2088"/>
            <w:vAlign w:val="center"/>
            <w:shd w:fill="DCE6EE"/>
          </w:tcPr>
          <w:p>
            <w:pPr>
              <w:keepNext/>
              <w:spacing w:after="0" w:line="247" w:lineRule="auto"/>
            </w:pPr>
            <w:r>
              <w:rPr>
                <w:b/>
                <w:sz w:val="18"/>
              </w:rPr>
              <w:t>Kernel and hardware base</w:t>
            </w:r>
          </w:p>
        </w:tc>
        <w:tc>
          <w:tcPr>
            <w:tcW w:type="dxa" w:w="2448"/>
            <w:vAlign w:val="center"/>
            <w:shd w:fill="DCE6EE"/>
          </w:tcPr>
          <w:p>
            <w:pPr>
              <w:keepNext/>
              <w:spacing w:after="0" w:line="247" w:lineRule="auto"/>
            </w:pPr>
            <w:r>
              <w:rPr>
                <w:b/>
                <w:sz w:val="18"/>
              </w:rPr>
              <w:t>Benefits</w:t>
            </w:r>
          </w:p>
        </w:tc>
        <w:tc>
          <w:tcPr>
            <w:tcW w:type="dxa" w:w="2448"/>
            <w:vAlign w:val="center"/>
            <w:shd w:fill="DCE6EE"/>
          </w:tcPr>
          <w:p>
            <w:pPr>
              <w:keepNext/>
              <w:spacing w:after="0" w:line="247" w:lineRule="auto"/>
            </w:pPr>
            <w:r>
              <w:rPr>
                <w:b/>
                <w:sz w:val="18"/>
              </w:rPr>
              <w:t>Principal cost</w:t>
            </w:r>
          </w:p>
        </w:tc>
        <w:tc>
          <w:tcPr>
            <w:tcW w:type="dxa" w:w="1584"/>
            <w:vAlign w:val="center"/>
            <w:shd w:fill="DCE6EE"/>
          </w:tcPr>
          <w:p>
            <w:pPr>
              <w:keepNext/>
              <w:spacing w:after="0" w:line="247" w:lineRule="auto"/>
            </w:pPr>
            <w:r>
              <w:rPr>
                <w:b/>
                <w:sz w:val="18"/>
              </w:rPr>
              <w:t>Decision</w:t>
            </w:r>
          </w:p>
        </w:tc>
      </w:tr>
      <w:tr>
        <w:trPr>
          <w:cantSplit/>
        </w:trPr>
        <w:tc>
          <w:tcPr>
            <w:tcW w:type="dxa" w:w="1512"/>
            <w:vAlign w:val="center"/>
            <w:shd w:fill="FFFFFF"/>
          </w:tcPr>
          <w:p>
            <w:pPr>
              <w:spacing w:after="0" w:line="247" w:lineRule="auto"/>
            </w:pPr>
            <w:r>
              <w:rPr>
                <w:sz w:val="18"/>
              </w:rPr>
              <w:t>A Integrated Linux OS</w:t>
            </w:r>
          </w:p>
        </w:tc>
        <w:tc>
          <w:tcPr>
            <w:tcW w:type="dxa" w:w="2088"/>
            <w:vAlign w:val="center"/>
            <w:shd w:fill="FFFFFF"/>
          </w:tcPr>
          <w:p>
            <w:pPr>
              <w:spacing w:after="0" w:line="247" w:lineRule="auto"/>
            </w:pPr>
            <w:r>
              <w:rPr>
                <w:sz w:val="18"/>
              </w:rPr>
              <w:t>Supported Linux kernel with custom userspace</w:t>
            </w:r>
          </w:p>
        </w:tc>
        <w:tc>
          <w:tcPr>
            <w:tcW w:type="dxa" w:w="2448"/>
            <w:vAlign w:val="center"/>
            <w:shd w:fill="FFFFFF"/>
          </w:tcPr>
          <w:p>
            <w:pPr>
              <w:spacing w:after="0" w:line="247" w:lineRule="auto"/>
            </w:pPr>
            <w:r>
              <w:rPr>
                <w:sz w:val="18"/>
              </w:rPr>
              <w:t>Existing driver ecosystem and native installation; earliest usable product</w:t>
            </w:r>
          </w:p>
        </w:tc>
        <w:tc>
          <w:tcPr>
            <w:tcW w:type="dxa" w:w="2448"/>
            <w:vAlign w:val="center"/>
            <w:shd w:fill="FFFFFF"/>
          </w:tcPr>
          <w:p>
            <w:pPr>
              <w:spacing w:after="0" w:line="247" w:lineRule="auto"/>
            </w:pPr>
            <w:r>
              <w:rPr>
                <w:sz w:val="18"/>
              </w:rPr>
              <w:t>Linux remains a substantial trusted component</w:t>
            </w:r>
          </w:p>
        </w:tc>
        <w:tc>
          <w:tcPr>
            <w:tcW w:type="dxa" w:w="1584"/>
            <w:vAlign w:val="center"/>
            <w:shd w:fill="FFFFFF"/>
          </w:tcPr>
          <w:p>
            <w:pPr>
              <w:spacing w:after="0" w:line="247" w:lineRule="auto"/>
            </w:pPr>
            <w:r>
              <w:rPr>
                <w:sz w:val="18"/>
              </w:rPr>
              <w:t>R1 product baseline</w:t>
            </w:r>
          </w:p>
        </w:tc>
      </w:tr>
      <w:tr>
        <w:trPr>
          <w:cantSplit/>
        </w:trPr>
        <w:tc>
          <w:tcPr>
            <w:tcW w:type="dxa" w:w="1512"/>
            <w:vAlign w:val="center"/>
            <w:shd w:fill="F6F8FA"/>
          </w:tcPr>
          <w:p>
            <w:pPr>
              <w:spacing w:after="0" w:line="247" w:lineRule="auto"/>
            </w:pPr>
            <w:r>
              <w:rPr>
                <w:sz w:val="18"/>
              </w:rPr>
              <w:t>B Microkernel OS</w:t>
            </w:r>
          </w:p>
        </w:tc>
        <w:tc>
          <w:tcPr>
            <w:tcW w:type="dxa" w:w="2088"/>
            <w:vAlign w:val="center"/>
            <w:shd w:fill="F6F8FA"/>
          </w:tcPr>
          <w:p>
            <w:pPr>
              <w:spacing w:after="0" w:line="247" w:lineRule="auto"/>
            </w:pPr>
            <w:r>
              <w:rPr>
                <w:sz w:val="18"/>
              </w:rPr>
              <w:t>seL4 or a comparable deterministic base with userspace drivers</w:t>
            </w:r>
          </w:p>
        </w:tc>
        <w:tc>
          <w:tcPr>
            <w:tcW w:type="dxa" w:w="2448"/>
            <w:vAlign w:val="center"/>
            <w:shd w:fill="F6F8FA"/>
          </w:tcPr>
          <w:p>
            <w:pPr>
              <w:spacing w:after="0" w:line="247" w:lineRule="auto"/>
            </w:pPr>
            <w:r>
              <w:rPr>
                <w:sz w:val="18"/>
              </w:rPr>
              <w:t>Stronger component isolation and a smaller kernel</w:t>
            </w:r>
          </w:p>
        </w:tc>
        <w:tc>
          <w:tcPr>
            <w:tcW w:type="dxa" w:w="2448"/>
            <w:vAlign w:val="center"/>
            <w:shd w:fill="F6F8FA"/>
          </w:tcPr>
          <w:p>
            <w:pPr>
              <w:spacing w:after="0" w:line="247" w:lineRule="auto"/>
            </w:pPr>
            <w:r>
              <w:rPr>
                <w:sz w:val="18"/>
              </w:rPr>
              <w:t>GPU and NPU driver ports, desktop stack, Linux compatibility</w:t>
            </w:r>
          </w:p>
        </w:tc>
        <w:tc>
          <w:tcPr>
            <w:tcW w:type="dxa" w:w="1584"/>
            <w:vAlign w:val="center"/>
            <w:shd w:fill="F6F8FA"/>
          </w:tcPr>
          <w:p>
            <w:pPr>
              <w:spacing w:after="0" w:line="247" w:lineRule="auto"/>
            </w:pPr>
            <w:r>
              <w:rPr>
                <w:sz w:val="18"/>
              </w:rPr>
              <w:t>RX on one reference board</w:t>
            </w:r>
          </w:p>
        </w:tc>
      </w:tr>
      <w:tr>
        <w:trPr>
          <w:cantSplit/>
        </w:trPr>
        <w:tc>
          <w:tcPr>
            <w:tcW w:type="dxa" w:w="1512"/>
            <w:vAlign w:val="center"/>
            <w:shd w:fill="FFFFFF"/>
          </w:tcPr>
          <w:p>
            <w:pPr>
              <w:spacing w:after="0" w:line="247" w:lineRule="auto"/>
            </w:pPr>
            <w:r>
              <w:rPr>
                <w:sz w:val="18"/>
              </w:rPr>
              <w:t>C New kernel authored with LLM assistance</w:t>
            </w:r>
          </w:p>
        </w:tc>
        <w:tc>
          <w:tcPr>
            <w:tcW w:type="dxa" w:w="2088"/>
            <w:vAlign w:val="center"/>
            <w:shd w:fill="FFFFFF"/>
          </w:tcPr>
          <w:p>
            <w:pPr>
              <w:spacing w:after="0" w:line="247" w:lineRule="auto"/>
            </w:pPr>
            <w:r>
              <w:rPr>
                <w:sz w:val="18"/>
              </w:rPr>
              <w:t>New compiled kernel, generated and reviewed code</w:t>
            </w:r>
          </w:p>
        </w:tc>
        <w:tc>
          <w:tcPr>
            <w:tcW w:type="dxa" w:w="2448"/>
            <w:vAlign w:val="center"/>
            <w:shd w:fill="FFFFFF"/>
          </w:tcPr>
          <w:p>
            <w:pPr>
              <w:spacing w:after="0" w:line="247" w:lineRule="auto"/>
            </w:pPr>
            <w:r>
              <w:rPr>
                <w:sz w:val="18"/>
              </w:rPr>
              <w:t>Maximum design freedom</w:t>
            </w:r>
          </w:p>
        </w:tc>
        <w:tc>
          <w:tcPr>
            <w:tcW w:type="dxa" w:w="2448"/>
            <w:vAlign w:val="center"/>
            <w:shd w:fill="FFFFFF"/>
          </w:tcPr>
          <w:p>
            <w:pPr>
              <w:spacing w:after="0" w:line="247" w:lineRule="auto"/>
            </w:pPr>
            <w:r>
              <w:rPr>
                <w:sz w:val="18"/>
              </w:rPr>
              <w:t>Reliability, hardware coverage, tooling and maintenance</w:t>
            </w:r>
          </w:p>
        </w:tc>
        <w:tc>
          <w:tcPr>
            <w:tcW w:type="dxa" w:w="1584"/>
            <w:vAlign w:val="center"/>
            <w:shd w:fill="FFFFFF"/>
          </w:tcPr>
          <w:p>
            <w:pPr>
              <w:spacing w:after="0" w:line="247" w:lineRule="auto"/>
            </w:pPr>
            <w:r>
              <w:rPr>
                <w:sz w:val="18"/>
              </w:rPr>
              <w:t>Research after product validation</w:t>
            </w:r>
          </w:p>
        </w:tc>
      </w:tr>
      <w:tr>
        <w:trPr>
          <w:cantSplit/>
        </w:trPr>
        <w:tc>
          <w:tcPr>
            <w:tcW w:type="dxa" w:w="1512"/>
            <w:vAlign w:val="center"/>
            <w:shd w:fill="F6F8FA"/>
          </w:tcPr>
          <w:p>
            <w:pPr>
              <w:spacing w:after="0" w:line="247" w:lineRule="auto"/>
            </w:pPr>
            <w:r>
              <w:rPr>
                <w:sz w:val="18"/>
              </w:rPr>
              <w:t>D Model inference handles kernel primitives</w:t>
            </w:r>
          </w:p>
        </w:tc>
        <w:tc>
          <w:tcPr>
            <w:tcW w:type="dxa" w:w="2088"/>
            <w:vAlign w:val="center"/>
            <w:shd w:fill="F6F8FA"/>
          </w:tcPr>
          <w:p>
            <w:pPr>
              <w:spacing w:after="0" w:line="247" w:lineRule="auto"/>
            </w:pPr>
            <w:r>
              <w:rPr>
                <w:sz w:val="18"/>
              </w:rPr>
              <w:t>Model directly decides every low-level action</w:t>
            </w:r>
          </w:p>
        </w:tc>
        <w:tc>
          <w:tcPr>
            <w:tcW w:type="dxa" w:w="2448"/>
            <w:vAlign w:val="center"/>
            <w:shd w:fill="F6F8FA"/>
          </w:tcPr>
          <w:p>
            <w:pPr>
              <w:spacing w:after="0" w:line="247" w:lineRule="auto"/>
            </w:pPr>
            <w:r>
              <w:rPr>
                <w:sz w:val="18"/>
              </w:rPr>
              <w:t>Tests the literal concept</w:t>
            </w:r>
          </w:p>
        </w:tc>
        <w:tc>
          <w:tcPr>
            <w:tcW w:type="dxa" w:w="2448"/>
            <w:vAlign w:val="center"/>
            <w:shd w:fill="F6F8FA"/>
          </w:tcPr>
          <w:p>
            <w:pPr>
              <w:spacing w:after="0" w:line="247" w:lineRule="auto"/>
            </w:pPr>
            <w:r>
              <w:rPr>
                <w:sz w:val="18"/>
              </w:rPr>
              <w:t>No credible production correctness or timing foundation</w:t>
            </w:r>
          </w:p>
        </w:tc>
        <w:tc>
          <w:tcPr>
            <w:tcW w:type="dxa" w:w="1584"/>
            <w:vAlign w:val="center"/>
            <w:shd w:fill="F6F8FA"/>
          </w:tcPr>
          <w:p>
            <w:pPr>
              <w:spacing w:after="0" w:line="247" w:lineRule="auto"/>
            </w:pPr>
            <w:r>
              <w:rPr>
                <w:sz w:val="18"/>
              </w:rPr>
              <w:t>Exclude from consumer release</w:t>
            </w:r>
          </w:p>
        </w:tc>
      </w:tr>
    </w:tbl>
    <w:p>
      <w:pPr>
        <w:spacing w:after="20"/>
      </w:pPr>
    </w:p>
    <w:p>
      <w:r>
        <w:t xml:space="preserve">seL4 provides a useful reference for a small verified kernel, but its proof assumptions and configuration scope must be respected. A proof of the kernel does not verify the LLM, all drivers, firmware, or the assembled desktop. </w:t>
      </w:r>
      <w:hyperlink r:id="rId11">
        <w:r>
          <w:rPr>
            <w:color w:val="244F70"/>
          </w:rPr>
          <w:t>[S13]</w:t>
        </w:r>
      </w:hyperlink>
      <w:r>
        <w:t xml:space="preserve"> AIOS research supplies related agent scheduling and resource-management ideas; it does not establish that an LLM can replace bare-metal device management. </w:t>
      </w:r>
      <w:hyperlink r:id="rId12">
        <w:r>
          <w:rPr>
            <w:color w:val="244F70"/>
          </w:rPr>
          <w:t>[S12]</w:t>
        </w:r>
      </w:hyperlink>
      <w:r/>
    </w:p>
    <w:p>
      <w:pPr>
        <w:pStyle w:val="Heading1"/>
      </w:pPr>
      <w:r>
        <w:t>2 Product behavior and delivery boundaries</w:t>
      </w:r>
    </w:p>
    <w:p>
      <w:pPr>
        <w:pStyle w:val="Heading2"/>
      </w:pPr>
      <w:r>
        <w:t>2.1 Primary user experience</w:t>
      </w:r>
    </w:p>
    <w:p>
      <w:r>
        <w:t>The desktop contains a conversation panel, a workspace canvas, an activity view, and ordinary file and application access. A request such as “Find last quarter’s invoices, build a spending sheet, and show an animated trend” becomes a visible workflow. The user can inspect sources, change the plan, edit results, cancel work, and undo supported local changes. The system reports actual outputs and completed effects, not merely a narrative prediction of success.</w:t>
      </w:r>
    </w:p>
    <w:p>
      <w:r>
        <w:t>Voice and visual interactions use the same permission and workflow system as typed commands. A user can point to a chart while asking for an explanation. The interaction resolver binds “this chart” to a visible artifact ID and version. If the target is ambiguous, the system asks for clarification before changing it. Keyboard, mouse, touch where supported, and accessibility controls remain usable without inference.</w:t>
      </w:r>
    </w:p>
    <w:p>
      <w:pPr>
        <w:pStyle w:val="Heading2"/>
      </w:pPr>
      <w:r>
        <w:t>2.2 First product scope</w:t>
      </w:r>
    </w:p>
    <w:p>
      <w:r>
        <w:t>R1 targets a single signed x86-64 installation image and two certified machine configurations. It includes local text, push-to-talk speech, image and screen understanding, semantic search, file organization, data analysis, spreadsheet generation, diagrams, simple programmatic animation, code execution, and selected native application adapters. It works offline after installation, except for explicitly network-dependent requests.</w:t>
      </w:r>
    </w:p>
    <w:p>
      <w:r>
        <w:t>R2 adds an ARM64 image on qualified Snapdragon hardware, richer application adapters, broader languages and accessibility testing, selected local image generation, enterprise administration, and additional hardware models. Continuous video understanding and high-quality generative video are separate workloads with explicit resolution, duration, and throughput limits. The OS must not imply that every modality is produced by one small language model.</w:t>
      </w:r>
    </w:p>
    <w:p>
      <w:r>
        <w:t>RX evaluates microkernel deployment, userspace driver isolation, learned resource-policy optimization, and generation of driver code in a controlled engineering pipeline. Live generation and loading of privileged drivers is outside R1 and R2.</w:t>
      </w:r>
    </w:p>
    <w:p>
      <w:pPr>
        <w:pStyle w:val="Heading2"/>
      </w:pPr>
      <w:r>
        <w:t>2.3 Definitions and normative language</w:t>
      </w:r>
    </w:p>
    <w:p>
      <w:r>
        <w:t>“Shall” denotes an acceptance requirement. “Should” denotes a recommendation that may be replaced by a documented design decision. “May” denotes an optional feature. “Flash service” means a task-scoped executable activated when needed; it does not imply zero startup time or stateless applications. “Embedded” means locally distributed and usable without a cloud dependency. “Agent” means a bounded controller using capabilities; it does not imply its own resident LLM process.</w:t>
      </w:r>
    </w:p>
    <w:p>
      <w:r>
        <w:t>An operation has one of four effect classes: read, reversible local write, privileged system change, or external commitment. The latter includes sending, purchasing, and publishing. Authorization is a deterministic product policy, based on the user’s grant and exact operation scope. The LLM may request a permission; it cannot issue one.</w:t>
      </w:r>
    </w:p>
    <w:p>
      <w:pPr>
        <w:pStyle w:val="Heading1"/>
      </w:pPr>
      <w:r>
        <w:t>3 High level architecture</w:t>
      </w:r>
    </w:p>
    <w:p>
      <w:pPr>
        <w:pStyle w:val="Heading2"/>
      </w:pPr>
      <w:r>
        <w:t>3.1 Logical layers and trust boundaries</w:t>
      </w:r>
    </w:p>
    <w:p>
      <w:pPr>
        <w:keepNext/>
        <w:jc w:val="center"/>
      </w:pPr>
      <w:r>
        <w:drawing>
          <wp:inline xmlns:a="http://schemas.openxmlformats.org/drawingml/2006/main" xmlns:pic="http://schemas.openxmlformats.org/drawingml/2006/picture">
            <wp:extent cx="6355080" cy="4653031"/>
            <wp:docPr id="1" name="Picture 1" descr="Architecture showing user interactions and the model above a policy boundary, then isolated workers, artifact service, hardware broker, deterministic kernel and hardware."/>
            <wp:cNvGraphicFramePr>
              <a:graphicFrameLocks noChangeAspect="1"/>
            </wp:cNvGraphicFramePr>
            <a:graphic>
              <a:graphicData uri="http://schemas.openxmlformats.org/drawingml/2006/picture">
                <pic:pic>
                  <pic:nvPicPr>
                    <pic:cNvPr id="0" name="hld.png"/>
                    <pic:cNvPicPr/>
                  </pic:nvPicPr>
                  <pic:blipFill>
                    <a:blip r:embed="rId13"/>
                    <a:stretch>
                      <a:fillRect/>
                    </a:stretch>
                  </pic:blipFill>
                  <pic:spPr>
                    <a:xfrm>
                      <a:off x="0" y="0"/>
                      <a:ext cx="6355080" cy="4653031"/>
                    </a:xfrm>
                    <a:prstGeom prst="rect"/>
                  </pic:spPr>
                </pic:pic>
              </a:graphicData>
            </a:graphic>
          </wp:inline>
        </w:drawing>
      </w:r>
    </w:p>
    <w:p>
      <w:r>
        <w:t>Figure 1 shows the recommended product architecture. User requests enter the session service and become typed plans. A policy broker validates each effect before an executor receives a limited capability. Model output is data across this boundary. No prompt can create a kernel privilege or open a raw device.</w:t>
      </w:r>
    </w:p>
    <w:p>
      <w:r>
        <w:t>The trusted computing base includes the kernel, boot chain, privileged brokers, sandbox configuration, filesystem and authorization code, and necessary driver stacks. The inference runtime is exposed to untrusted inputs and runs as an unprivileged service. Its output is validated even when the package and model are signed.</w:t>
      </w:r>
    </w:p>
    <w:p>
      <w:pPr>
        <w:pStyle w:val="Heading2"/>
      </w:pPr>
      <w:r>
        <w:t>3.2 Component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944"/>
        <w:gridCol w:w="2448"/>
        <w:gridCol w:w="2520"/>
        <w:gridCol w:w="3168"/>
      </w:tblGrid>
      <w:tr>
        <w:trPr>
          <w:cantSplit/>
          <w:tblHeader/>
        </w:trPr>
        <w:tc>
          <w:tcPr>
            <w:tcW w:type="dxa" w:w="1944"/>
            <w:vAlign w:val="center"/>
            <w:shd w:fill="DCE6EE"/>
          </w:tcPr>
          <w:p>
            <w:pPr>
              <w:keepNext/>
              <w:spacing w:after="0" w:line="247" w:lineRule="auto"/>
            </w:pPr>
            <w:r>
              <w:rPr>
                <w:b/>
                <w:sz w:val="18"/>
              </w:rPr>
              <w:t>Component</w:t>
            </w:r>
          </w:p>
        </w:tc>
        <w:tc>
          <w:tcPr>
            <w:tcW w:type="dxa" w:w="2448"/>
            <w:vAlign w:val="center"/>
            <w:shd w:fill="DCE6EE"/>
          </w:tcPr>
          <w:p>
            <w:pPr>
              <w:keepNext/>
              <w:spacing w:after="0" w:line="247" w:lineRule="auto"/>
            </w:pPr>
            <w:r>
              <w:rPr>
                <w:b/>
                <w:sz w:val="18"/>
              </w:rPr>
              <w:t>Responsibility</w:t>
            </w:r>
          </w:p>
        </w:tc>
        <w:tc>
          <w:tcPr>
            <w:tcW w:type="dxa" w:w="2520"/>
            <w:vAlign w:val="center"/>
            <w:shd w:fill="DCE6EE"/>
          </w:tcPr>
          <w:p>
            <w:pPr>
              <w:keepNext/>
              <w:spacing w:after="0" w:line="247" w:lineRule="auto"/>
            </w:pPr>
            <w:r>
              <w:rPr>
                <w:b/>
                <w:sz w:val="18"/>
              </w:rPr>
              <w:t>Persistent state</w:t>
            </w:r>
          </w:p>
        </w:tc>
        <w:tc>
          <w:tcPr>
            <w:tcW w:type="dxa" w:w="3168"/>
            <w:vAlign w:val="center"/>
            <w:shd w:fill="DCE6EE"/>
          </w:tcPr>
          <w:p>
            <w:pPr>
              <w:keepNext/>
              <w:spacing w:after="0" w:line="247" w:lineRule="auto"/>
            </w:pPr>
            <w:r>
              <w:rPr>
                <w:b/>
                <w:sz w:val="18"/>
              </w:rPr>
              <w:t>Privilege</w:t>
            </w:r>
          </w:p>
        </w:tc>
      </w:tr>
      <w:tr>
        <w:trPr>
          <w:cantSplit/>
        </w:trPr>
        <w:tc>
          <w:tcPr>
            <w:tcW w:type="dxa" w:w="1944"/>
            <w:vAlign w:val="center"/>
            <w:shd w:fill="FFFFFF"/>
          </w:tcPr>
          <w:p>
            <w:pPr>
              <w:spacing w:after="0" w:line="247" w:lineRule="auto"/>
            </w:pPr>
            <w:r>
              <w:rPr>
                <w:sz w:val="18"/>
              </w:rPr>
              <w:t>Desktop shell</w:t>
            </w:r>
          </w:p>
        </w:tc>
        <w:tc>
          <w:tcPr>
            <w:tcW w:type="dxa" w:w="2448"/>
            <w:vAlign w:val="center"/>
            <w:shd w:fill="FFFFFF"/>
          </w:tcPr>
          <w:p>
            <w:pPr>
              <w:spacing w:after="0" w:line="247" w:lineRule="auto"/>
            </w:pPr>
            <w:r>
              <w:rPr>
                <w:sz w:val="18"/>
              </w:rPr>
              <w:t>Chat, canvas, task progress, approvals, manual controls</w:t>
            </w:r>
          </w:p>
        </w:tc>
        <w:tc>
          <w:tcPr>
            <w:tcW w:type="dxa" w:w="2520"/>
            <w:vAlign w:val="center"/>
            <w:shd w:fill="FFFFFF"/>
          </w:tcPr>
          <w:p>
            <w:pPr>
              <w:spacing w:after="0" w:line="247" w:lineRule="auto"/>
            </w:pPr>
            <w:r>
              <w:rPr>
                <w:sz w:val="18"/>
              </w:rPr>
              <w:t>Preferences and UI layout</w:t>
            </w:r>
          </w:p>
        </w:tc>
        <w:tc>
          <w:tcPr>
            <w:tcW w:type="dxa" w:w="3168"/>
            <w:vAlign w:val="center"/>
            <w:shd w:fill="FFFFFF"/>
          </w:tcPr>
          <w:p>
            <w:pPr>
              <w:spacing w:after="0" w:line="247" w:lineRule="auto"/>
            </w:pPr>
            <w:r>
              <w:rPr>
                <w:sz w:val="18"/>
              </w:rPr>
              <w:t>Logged-in user</w:t>
            </w:r>
          </w:p>
        </w:tc>
      </w:tr>
      <w:tr>
        <w:trPr>
          <w:cantSplit/>
        </w:trPr>
        <w:tc>
          <w:tcPr>
            <w:tcW w:type="dxa" w:w="1944"/>
            <w:vAlign w:val="center"/>
            <w:shd w:fill="F6F8FA"/>
          </w:tcPr>
          <w:p>
            <w:pPr>
              <w:spacing w:after="0" w:line="247" w:lineRule="auto"/>
            </w:pPr>
            <w:r>
              <w:rPr>
                <w:sz w:val="18"/>
              </w:rPr>
              <w:t>Session service</w:t>
            </w:r>
          </w:p>
        </w:tc>
        <w:tc>
          <w:tcPr>
            <w:tcW w:type="dxa" w:w="2448"/>
            <w:vAlign w:val="center"/>
            <w:shd w:fill="F6F8FA"/>
          </w:tcPr>
          <w:p>
            <w:pPr>
              <w:spacing w:after="0" w:line="247" w:lineRule="auto"/>
            </w:pPr>
            <w:r>
              <w:rPr>
                <w:sz w:val="18"/>
              </w:rPr>
              <w:t>Identity-bound interactions, attachments, references</w:t>
            </w:r>
          </w:p>
        </w:tc>
        <w:tc>
          <w:tcPr>
            <w:tcW w:type="dxa" w:w="2520"/>
            <w:vAlign w:val="center"/>
            <w:shd w:fill="F6F8FA"/>
          </w:tcPr>
          <w:p>
            <w:pPr>
              <w:spacing w:after="0" w:line="247" w:lineRule="auto"/>
            </w:pPr>
            <w:r>
              <w:rPr>
                <w:sz w:val="18"/>
              </w:rPr>
              <w:t>Conversation and consent records</w:t>
            </w:r>
          </w:p>
        </w:tc>
        <w:tc>
          <w:tcPr>
            <w:tcW w:type="dxa" w:w="3168"/>
            <w:vAlign w:val="center"/>
            <w:shd w:fill="F6F8FA"/>
          </w:tcPr>
          <w:p>
            <w:pPr>
              <w:spacing w:after="0" w:line="247" w:lineRule="auto"/>
            </w:pPr>
            <w:r>
              <w:rPr>
                <w:sz w:val="18"/>
              </w:rPr>
              <w:t>User-scoped service</w:t>
            </w:r>
          </w:p>
        </w:tc>
      </w:tr>
      <w:tr>
        <w:trPr>
          <w:cantSplit/>
        </w:trPr>
        <w:tc>
          <w:tcPr>
            <w:tcW w:type="dxa" w:w="1944"/>
            <w:vAlign w:val="center"/>
            <w:shd w:fill="FFFFFF"/>
          </w:tcPr>
          <w:p>
            <w:pPr>
              <w:spacing w:after="0" w:line="247" w:lineRule="auto"/>
            </w:pPr>
            <w:r>
              <w:rPr>
                <w:sz w:val="18"/>
              </w:rPr>
              <w:t>Planner</w:t>
            </w:r>
          </w:p>
        </w:tc>
        <w:tc>
          <w:tcPr>
            <w:tcW w:type="dxa" w:w="2448"/>
            <w:vAlign w:val="center"/>
            <w:shd w:fill="FFFFFF"/>
          </w:tcPr>
          <w:p>
            <w:pPr>
              <w:spacing w:after="0" w:line="247" w:lineRule="auto"/>
            </w:pPr>
            <w:r>
              <w:rPr>
                <w:sz w:val="18"/>
              </w:rPr>
              <w:t>Produce typed workflow from retrieved capabilities</w:t>
            </w:r>
          </w:p>
        </w:tc>
        <w:tc>
          <w:tcPr>
            <w:tcW w:type="dxa" w:w="2520"/>
            <w:vAlign w:val="center"/>
            <w:shd w:fill="FFFFFF"/>
          </w:tcPr>
          <w:p>
            <w:pPr>
              <w:spacing w:after="0" w:line="247" w:lineRule="auto"/>
            </w:pPr>
            <w:r>
              <w:rPr>
                <w:sz w:val="18"/>
              </w:rPr>
              <w:t>No authority-bearing state</w:t>
            </w:r>
          </w:p>
        </w:tc>
        <w:tc>
          <w:tcPr>
            <w:tcW w:type="dxa" w:w="3168"/>
            <w:vAlign w:val="center"/>
            <w:shd w:fill="FFFFFF"/>
          </w:tcPr>
          <w:p>
            <w:pPr>
              <w:spacing w:after="0" w:line="247" w:lineRule="auto"/>
            </w:pPr>
            <w:r>
              <w:rPr>
                <w:sz w:val="18"/>
              </w:rPr>
              <w:t>Unprivileged inference client</w:t>
            </w:r>
          </w:p>
        </w:tc>
      </w:tr>
      <w:tr>
        <w:trPr>
          <w:cantSplit/>
        </w:trPr>
        <w:tc>
          <w:tcPr>
            <w:tcW w:type="dxa" w:w="1944"/>
            <w:vAlign w:val="center"/>
            <w:shd w:fill="F6F8FA"/>
          </w:tcPr>
          <w:p>
            <w:pPr>
              <w:spacing w:after="0" w:line="247" w:lineRule="auto"/>
            </w:pPr>
            <w:r>
              <w:rPr>
                <w:sz w:val="18"/>
              </w:rPr>
              <w:t>Model manager</w:t>
            </w:r>
          </w:p>
        </w:tc>
        <w:tc>
          <w:tcPr>
            <w:tcW w:type="dxa" w:w="2448"/>
            <w:vAlign w:val="center"/>
            <w:shd w:fill="F6F8FA"/>
          </w:tcPr>
          <w:p>
            <w:pPr>
              <w:spacing w:after="0" w:line="247" w:lineRule="auto"/>
            </w:pPr>
            <w:r>
              <w:rPr>
                <w:sz w:val="18"/>
              </w:rPr>
              <w:t>Load models, schedule inference, enforce context and memory budgets</w:t>
            </w:r>
          </w:p>
        </w:tc>
        <w:tc>
          <w:tcPr>
            <w:tcW w:type="dxa" w:w="2520"/>
            <w:vAlign w:val="center"/>
            <w:shd w:fill="F6F8FA"/>
          </w:tcPr>
          <w:p>
            <w:pPr>
              <w:spacing w:after="0" w:line="247" w:lineRule="auto"/>
            </w:pPr>
            <w:r>
              <w:rPr>
                <w:sz w:val="18"/>
              </w:rPr>
              <w:t>Model catalog and performance profiles</w:t>
            </w:r>
          </w:p>
        </w:tc>
        <w:tc>
          <w:tcPr>
            <w:tcW w:type="dxa" w:w="3168"/>
            <w:vAlign w:val="center"/>
            <w:shd w:fill="F6F8FA"/>
          </w:tcPr>
          <w:p>
            <w:pPr>
              <w:spacing w:after="0" w:line="247" w:lineRule="auto"/>
            </w:pPr>
            <w:r>
              <w:rPr>
                <w:sz w:val="18"/>
              </w:rPr>
              <w:t>Dedicated service identity</w:t>
            </w:r>
          </w:p>
        </w:tc>
      </w:tr>
      <w:tr>
        <w:trPr>
          <w:cantSplit/>
        </w:trPr>
        <w:tc>
          <w:tcPr>
            <w:tcW w:type="dxa" w:w="1944"/>
            <w:vAlign w:val="center"/>
            <w:shd w:fill="FFFFFF"/>
          </w:tcPr>
          <w:p>
            <w:pPr>
              <w:spacing w:after="0" w:line="247" w:lineRule="auto"/>
            </w:pPr>
            <w:r>
              <w:rPr>
                <w:sz w:val="18"/>
              </w:rPr>
              <w:t>Policy broker</w:t>
            </w:r>
          </w:p>
        </w:tc>
        <w:tc>
          <w:tcPr>
            <w:tcW w:type="dxa" w:w="2448"/>
            <w:vAlign w:val="center"/>
            <w:shd w:fill="FFFFFF"/>
          </w:tcPr>
          <w:p>
            <w:pPr>
              <w:spacing w:after="0" w:line="247" w:lineRule="auto"/>
            </w:pPr>
            <w:r>
              <w:rPr>
                <w:sz w:val="18"/>
              </w:rPr>
              <w:t>Resolve user grants and issue restricted operation handles</w:t>
            </w:r>
          </w:p>
        </w:tc>
        <w:tc>
          <w:tcPr>
            <w:tcW w:type="dxa" w:w="2520"/>
            <w:vAlign w:val="center"/>
            <w:shd w:fill="FFFFFF"/>
          </w:tcPr>
          <w:p>
            <w:pPr>
              <w:spacing w:after="0" w:line="247" w:lineRule="auto"/>
            </w:pPr>
            <w:r>
              <w:rPr>
                <w:sz w:val="18"/>
              </w:rPr>
              <w:t>Grants and revocations</w:t>
            </w:r>
          </w:p>
        </w:tc>
        <w:tc>
          <w:tcPr>
            <w:tcW w:type="dxa" w:w="3168"/>
            <w:vAlign w:val="center"/>
            <w:shd w:fill="FFFFFF"/>
          </w:tcPr>
          <w:p>
            <w:pPr>
              <w:spacing w:after="0" w:line="247" w:lineRule="auto"/>
            </w:pPr>
            <w:r>
              <w:rPr>
                <w:sz w:val="18"/>
              </w:rPr>
              <w:t>Small privileged service</w:t>
            </w:r>
          </w:p>
        </w:tc>
      </w:tr>
      <w:tr>
        <w:trPr>
          <w:cantSplit/>
        </w:trPr>
        <w:tc>
          <w:tcPr>
            <w:tcW w:type="dxa" w:w="1944"/>
            <w:vAlign w:val="center"/>
            <w:shd w:fill="F6F8FA"/>
          </w:tcPr>
          <w:p>
            <w:pPr>
              <w:spacing w:after="0" w:line="247" w:lineRule="auto"/>
            </w:pPr>
            <w:r>
              <w:rPr>
                <w:sz w:val="18"/>
              </w:rPr>
              <w:t>Workflow engine</w:t>
            </w:r>
          </w:p>
        </w:tc>
        <w:tc>
          <w:tcPr>
            <w:tcW w:type="dxa" w:w="2448"/>
            <w:vAlign w:val="center"/>
            <w:shd w:fill="F6F8FA"/>
          </w:tcPr>
          <w:p>
            <w:pPr>
              <w:spacing w:after="0" w:line="247" w:lineRule="auto"/>
            </w:pPr>
            <w:r>
              <w:rPr>
                <w:sz w:val="18"/>
              </w:rPr>
              <w:t>Validate DAG, checkpoint, retry, cancel, and recover</w:t>
            </w:r>
          </w:p>
        </w:tc>
        <w:tc>
          <w:tcPr>
            <w:tcW w:type="dxa" w:w="2520"/>
            <w:vAlign w:val="center"/>
            <w:shd w:fill="F6F8FA"/>
          </w:tcPr>
          <w:p>
            <w:pPr>
              <w:spacing w:after="0" w:line="247" w:lineRule="auto"/>
            </w:pPr>
            <w:r>
              <w:rPr>
                <w:sz w:val="18"/>
              </w:rPr>
              <w:t>Workflow log and step states</w:t>
            </w:r>
          </w:p>
        </w:tc>
        <w:tc>
          <w:tcPr>
            <w:tcW w:type="dxa" w:w="3168"/>
            <w:vAlign w:val="center"/>
            <w:shd w:fill="F6F8FA"/>
          </w:tcPr>
          <w:p>
            <w:pPr>
              <w:spacing w:after="0" w:line="247" w:lineRule="auto"/>
            </w:pPr>
            <w:r>
              <w:rPr>
                <w:sz w:val="18"/>
              </w:rPr>
              <w:t>Service identity with broker access</w:t>
            </w:r>
          </w:p>
        </w:tc>
      </w:tr>
      <w:tr>
        <w:trPr>
          <w:cantSplit/>
        </w:trPr>
        <w:tc>
          <w:tcPr>
            <w:tcW w:type="dxa" w:w="1944"/>
            <w:vAlign w:val="center"/>
            <w:shd w:fill="FFFFFF"/>
          </w:tcPr>
          <w:p>
            <w:pPr>
              <w:spacing w:after="0" w:line="247" w:lineRule="auto"/>
            </w:pPr>
            <w:r>
              <w:rPr>
                <w:sz w:val="18"/>
              </w:rPr>
              <w:t>Skill supervisor</w:t>
            </w:r>
          </w:p>
        </w:tc>
        <w:tc>
          <w:tcPr>
            <w:tcW w:type="dxa" w:w="2448"/>
            <w:vAlign w:val="center"/>
            <w:shd w:fill="FFFFFF"/>
          </w:tcPr>
          <w:p>
            <w:pPr>
              <w:spacing w:after="0" w:line="247" w:lineRule="auto"/>
            </w:pPr>
            <w:r>
              <w:rPr>
                <w:sz w:val="18"/>
              </w:rPr>
              <w:t>Start isolated workers and reap them</w:t>
            </w:r>
          </w:p>
        </w:tc>
        <w:tc>
          <w:tcPr>
            <w:tcW w:type="dxa" w:w="2520"/>
            <w:vAlign w:val="center"/>
            <w:shd w:fill="FFFFFF"/>
          </w:tcPr>
          <w:p>
            <w:pPr>
              <w:spacing w:after="0" w:line="247" w:lineRule="auto"/>
            </w:pPr>
            <w:r>
              <w:rPr>
                <w:sz w:val="18"/>
              </w:rPr>
              <w:t>Registry and worker metadata</w:t>
            </w:r>
          </w:p>
        </w:tc>
        <w:tc>
          <w:tcPr>
            <w:tcW w:type="dxa" w:w="3168"/>
            <w:vAlign w:val="center"/>
            <w:shd w:fill="FFFFFF"/>
          </w:tcPr>
          <w:p>
            <w:pPr>
              <w:spacing w:after="0" w:line="247" w:lineRule="auto"/>
            </w:pPr>
            <w:r>
              <w:rPr>
                <w:sz w:val="18"/>
              </w:rPr>
              <w:t>Narrow process-launch broker</w:t>
            </w:r>
          </w:p>
        </w:tc>
      </w:tr>
      <w:tr>
        <w:trPr>
          <w:cantSplit/>
        </w:trPr>
        <w:tc>
          <w:tcPr>
            <w:tcW w:type="dxa" w:w="1944"/>
            <w:vAlign w:val="center"/>
            <w:shd w:fill="F6F8FA"/>
          </w:tcPr>
          <w:p>
            <w:pPr>
              <w:spacing w:after="0" w:line="247" w:lineRule="auto"/>
            </w:pPr>
            <w:r>
              <w:rPr>
                <w:sz w:val="18"/>
              </w:rPr>
              <w:t>Artifact service</w:t>
            </w:r>
          </w:p>
        </w:tc>
        <w:tc>
          <w:tcPr>
            <w:tcW w:type="dxa" w:w="2448"/>
            <w:vAlign w:val="center"/>
            <w:shd w:fill="F6F8FA"/>
          </w:tcPr>
          <w:p>
            <w:pPr>
              <w:spacing w:after="0" w:line="247" w:lineRule="auto"/>
            </w:pPr>
            <w:r>
              <w:rPr>
                <w:sz w:val="18"/>
              </w:rPr>
              <w:t>Stable file identity, versions, provenance, commit</w:t>
            </w:r>
          </w:p>
        </w:tc>
        <w:tc>
          <w:tcPr>
            <w:tcW w:type="dxa" w:w="2520"/>
            <w:vAlign w:val="center"/>
            <w:shd w:fill="F6F8FA"/>
          </w:tcPr>
          <w:p>
            <w:pPr>
              <w:spacing w:after="0" w:line="247" w:lineRule="auto"/>
            </w:pPr>
            <w:r>
              <w:rPr>
                <w:sz w:val="18"/>
              </w:rPr>
              <w:t>Metadata and operation journal</w:t>
            </w:r>
          </w:p>
        </w:tc>
        <w:tc>
          <w:tcPr>
            <w:tcW w:type="dxa" w:w="3168"/>
            <w:vAlign w:val="center"/>
            <w:shd w:fill="F6F8FA"/>
          </w:tcPr>
          <w:p>
            <w:pPr>
              <w:spacing w:after="0" w:line="247" w:lineRule="auto"/>
            </w:pPr>
            <w:r>
              <w:rPr>
                <w:sz w:val="18"/>
              </w:rPr>
              <w:t>Controlled access to user storage</w:t>
            </w:r>
          </w:p>
        </w:tc>
      </w:tr>
      <w:tr>
        <w:trPr>
          <w:cantSplit/>
        </w:trPr>
        <w:tc>
          <w:tcPr>
            <w:tcW w:type="dxa" w:w="1944"/>
            <w:vAlign w:val="center"/>
            <w:shd w:fill="FFFFFF"/>
          </w:tcPr>
          <w:p>
            <w:pPr>
              <w:spacing w:after="0" w:line="247" w:lineRule="auto"/>
            </w:pPr>
            <w:r>
              <w:rPr>
                <w:sz w:val="18"/>
              </w:rPr>
              <w:t>Index service</w:t>
            </w:r>
          </w:p>
        </w:tc>
        <w:tc>
          <w:tcPr>
            <w:tcW w:type="dxa" w:w="2448"/>
            <w:vAlign w:val="center"/>
            <w:shd w:fill="FFFFFF"/>
          </w:tcPr>
          <w:p>
            <w:pPr>
              <w:spacing w:after="0" w:line="247" w:lineRule="auto"/>
            </w:pPr>
            <w:r>
              <w:rPr>
                <w:sz w:val="18"/>
              </w:rPr>
              <w:t>Parse, embed, search, and reconcile files</w:t>
            </w:r>
          </w:p>
        </w:tc>
        <w:tc>
          <w:tcPr>
            <w:tcW w:type="dxa" w:w="2520"/>
            <w:vAlign w:val="center"/>
            <w:shd w:fill="FFFFFF"/>
          </w:tcPr>
          <w:p>
            <w:pPr>
              <w:spacing w:after="0" w:line="247" w:lineRule="auto"/>
            </w:pPr>
            <w:r>
              <w:rPr>
                <w:sz w:val="18"/>
              </w:rPr>
              <w:t>Rebuildable search indexes</w:t>
            </w:r>
          </w:p>
        </w:tc>
        <w:tc>
          <w:tcPr>
            <w:tcW w:type="dxa" w:w="3168"/>
            <w:vAlign w:val="center"/>
            <w:shd w:fill="FFFFFF"/>
          </w:tcPr>
          <w:p>
            <w:pPr>
              <w:spacing w:after="0" w:line="247" w:lineRule="auto"/>
            </w:pPr>
            <w:r>
              <w:rPr>
                <w:sz w:val="18"/>
              </w:rPr>
              <w:t>Per-user access</w:t>
            </w:r>
          </w:p>
        </w:tc>
      </w:tr>
      <w:tr>
        <w:trPr>
          <w:cantSplit/>
        </w:trPr>
        <w:tc>
          <w:tcPr>
            <w:tcW w:type="dxa" w:w="1944"/>
            <w:vAlign w:val="center"/>
            <w:shd w:fill="F6F8FA"/>
          </w:tcPr>
          <w:p>
            <w:pPr>
              <w:spacing w:after="0" w:line="247" w:lineRule="auto"/>
            </w:pPr>
            <w:r>
              <w:rPr>
                <w:sz w:val="18"/>
              </w:rPr>
              <w:t>Hardware broker</w:t>
            </w:r>
          </w:p>
        </w:tc>
        <w:tc>
          <w:tcPr>
            <w:tcW w:type="dxa" w:w="2448"/>
            <w:vAlign w:val="center"/>
            <w:shd w:fill="F6F8FA"/>
          </w:tcPr>
          <w:p>
            <w:pPr>
              <w:spacing w:after="0" w:line="247" w:lineRule="auto"/>
            </w:pPr>
            <w:r>
              <w:rPr>
                <w:sz w:val="18"/>
              </w:rPr>
              <w:t>Validate and apply qualified hardware policy</w:t>
            </w:r>
          </w:p>
        </w:tc>
        <w:tc>
          <w:tcPr>
            <w:tcW w:type="dxa" w:w="2520"/>
            <w:vAlign w:val="center"/>
            <w:shd w:fill="F6F8FA"/>
          </w:tcPr>
          <w:p>
            <w:pPr>
              <w:spacing w:after="0" w:line="247" w:lineRule="auto"/>
            </w:pPr>
            <w:r>
              <w:rPr>
                <w:sz w:val="18"/>
              </w:rPr>
              <w:t>Policy versions and device inventory</w:t>
            </w:r>
          </w:p>
        </w:tc>
        <w:tc>
          <w:tcPr>
            <w:tcW w:type="dxa" w:w="3168"/>
            <w:vAlign w:val="center"/>
            <w:shd w:fill="F6F8FA"/>
          </w:tcPr>
          <w:p>
            <w:pPr>
              <w:spacing w:after="0" w:line="247" w:lineRule="auto"/>
            </w:pPr>
            <w:r>
              <w:rPr>
                <w:sz w:val="18"/>
              </w:rPr>
              <w:t>Narrow privileged interfaces</w:t>
            </w:r>
          </w:p>
        </w:tc>
      </w:tr>
      <w:tr>
        <w:trPr>
          <w:cantSplit/>
        </w:trPr>
        <w:tc>
          <w:tcPr>
            <w:tcW w:type="dxa" w:w="1944"/>
            <w:vAlign w:val="center"/>
            <w:shd w:fill="FFFFFF"/>
          </w:tcPr>
          <w:p>
            <w:pPr>
              <w:spacing w:after="0" w:line="247" w:lineRule="auto"/>
            </w:pPr>
            <w:r>
              <w:rPr>
                <w:sz w:val="18"/>
              </w:rPr>
              <w:t>Compatibility host</w:t>
            </w:r>
          </w:p>
        </w:tc>
        <w:tc>
          <w:tcPr>
            <w:tcW w:type="dxa" w:w="2448"/>
            <w:vAlign w:val="center"/>
            <w:shd w:fill="FFFFFF"/>
          </w:tcPr>
          <w:p>
            <w:pPr>
              <w:spacing w:after="0" w:line="247" w:lineRule="auto"/>
            </w:pPr>
            <w:r>
              <w:rPr>
                <w:sz w:val="18"/>
              </w:rPr>
              <w:t>Launch or control approved applications</w:t>
            </w:r>
          </w:p>
        </w:tc>
        <w:tc>
          <w:tcPr>
            <w:tcW w:type="dxa" w:w="2520"/>
            <w:vAlign w:val="center"/>
            <w:shd w:fill="FFFFFF"/>
          </w:tcPr>
          <w:p>
            <w:pPr>
              <w:spacing w:after="0" w:line="247" w:lineRule="auto"/>
            </w:pPr>
            <w:r>
              <w:rPr>
                <w:sz w:val="18"/>
              </w:rPr>
              <w:t>Application-specific state</w:t>
            </w:r>
          </w:p>
        </w:tc>
        <w:tc>
          <w:tcPr>
            <w:tcW w:type="dxa" w:w="3168"/>
            <w:vAlign w:val="center"/>
            <w:shd w:fill="FFFFFF"/>
          </w:tcPr>
          <w:p>
            <w:pPr>
              <w:spacing w:after="0" w:line="247" w:lineRule="auto"/>
            </w:pPr>
            <w:r>
              <w:rPr>
                <w:sz w:val="18"/>
              </w:rPr>
              <w:t>User or isolated VM</w:t>
            </w:r>
          </w:p>
        </w:tc>
      </w:tr>
      <w:tr>
        <w:trPr>
          <w:cantSplit/>
        </w:trPr>
        <w:tc>
          <w:tcPr>
            <w:tcW w:type="dxa" w:w="1944"/>
            <w:vAlign w:val="center"/>
            <w:shd w:fill="F6F8FA"/>
          </w:tcPr>
          <w:p>
            <w:pPr>
              <w:spacing w:after="0" w:line="247" w:lineRule="auto"/>
            </w:pPr>
            <w:r>
              <w:rPr>
                <w:sz w:val="18"/>
              </w:rPr>
              <w:t>Base OS</w:t>
            </w:r>
          </w:p>
        </w:tc>
        <w:tc>
          <w:tcPr>
            <w:tcW w:type="dxa" w:w="2448"/>
            <w:vAlign w:val="center"/>
            <w:shd w:fill="F6F8FA"/>
          </w:tcPr>
          <w:p>
            <w:pPr>
              <w:spacing w:after="0" w:line="247" w:lineRule="auto"/>
            </w:pPr>
            <w:r>
              <w:rPr>
                <w:sz w:val="18"/>
              </w:rPr>
              <w:t>Processes, memory, devices, files, networking and recovery</w:t>
            </w:r>
          </w:p>
        </w:tc>
        <w:tc>
          <w:tcPr>
            <w:tcW w:type="dxa" w:w="2520"/>
            <w:vAlign w:val="center"/>
            <w:shd w:fill="F6F8FA"/>
          </w:tcPr>
          <w:p>
            <w:pPr>
              <w:spacing w:after="0" w:line="247" w:lineRule="auto"/>
            </w:pPr>
            <w:r>
              <w:rPr>
                <w:sz w:val="18"/>
              </w:rPr>
              <w:t>System configuration and data</w:t>
            </w:r>
          </w:p>
        </w:tc>
        <w:tc>
          <w:tcPr>
            <w:tcW w:type="dxa" w:w="3168"/>
            <w:vAlign w:val="center"/>
            <w:shd w:fill="F6F8FA"/>
          </w:tcPr>
          <w:p>
            <w:pPr>
              <w:spacing w:after="0" w:line="247" w:lineRule="auto"/>
            </w:pPr>
            <w:r>
              <w:rPr>
                <w:sz w:val="18"/>
              </w:rPr>
              <w:t>Kernel and system services</w:t>
            </w:r>
          </w:p>
        </w:tc>
      </w:tr>
    </w:tbl>
    <w:p>
      <w:pPr>
        <w:spacing w:after="20"/>
      </w:pPr>
    </w:p>
    <w:p>
      <w:pPr>
        <w:pStyle w:val="Heading2"/>
      </w:pPr>
      <w:r>
        <w:t>3.3 Deployment design</w:t>
      </w:r>
    </w:p>
    <w:p>
      <w:r>
        <w:t>Implement the core brokers and workflow state machine in Rust, with C or C++ only where required by established libraries and vendor inference interfaces. Python workers may implement document and analysis skills inside constrained environments. A native desktop shell or a Wayland-integrated application hosts the chat and canvas; use PipeWire for audio and approved screen capture. D-Bus adapters expose qualified desktop services. These are proposed implementation choices, with exact dependency versions pinned during platform qualification.</w:t>
      </w:r>
    </w:p>
    <w:p>
      <w:r>
        <w:t>The system service set is supervised by the base init system. User inference sessions and indexes are separate by user identity. Heavy worker processes start on demand. Kernel, compositor, storage, authorization, and the service supervisor remain resident. This retained substrate is necessary even if every application feature is presented as a callable service.</w:t>
      </w:r>
    </w:p>
    <w:p>
      <w:r>
        <w:t>Inference runs through a stable internal API with backend adapters. Candidate routes include llama.cpp for supported CPU and GPU paths, OpenVINO for supported Intel devices, AMD Ryzen AI software for qualified NPU models, and Qualcomm runtimes when target support is verified. Upstream build documentation is evidence of available backends, not a certificate for a particular model and laptop. [S3–S5, S9, S14]</w:t>
      </w:r>
    </w:p>
    <w:p>
      <w:pPr>
        <w:pStyle w:val="Heading2"/>
      </w:pPr>
      <w:r>
        <w:t>3.4 Control and data flows</w:t>
      </w:r>
    </w:p>
    <w:p>
      <w:r>
        <w:t>The planner receives an allowlisted capability catalog, bounded user context, and references to accessible artifacts. The workflow engine resolves tool versions, validates arguments, checks resource estimates, and requests capabilities. Workers read data through controlled handles, write to staging, and return structured results. The artifact service validates and publishes local outputs. The shell displays committed IDs and previews.</w:t>
      </w:r>
    </w:p>
    <w:p>
      <w:r>
        <w:t>Large data never travels as a JSON string through the planner. Use file descriptors, shared-memory buffers, and stable object references. Each shared handle has an owner, access mode, size limit, lifetime, and explicit release operation. Device buffers use backend-specific fencing; untrusted workers cannot receive unrestricted device nodes. The model sees only the content necessary for the current task.</w:t>
      </w:r>
    </w:p>
    <w:p>
      <w:pPr>
        <w:pStyle w:val="Heading1"/>
      </w:pPr>
      <w:r>
        <w:t>4 Low level kernel and hardware design</w:t>
      </w:r>
    </w:p>
    <w:p>
      <w:pPr>
        <w:pStyle w:val="Heading2"/>
      </w:pPr>
      <w:r>
        <w:t>4.1 Kernel mechanisms and skills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944"/>
        <w:gridCol w:w="2448"/>
        <w:gridCol w:w="2520"/>
        <w:gridCol w:w="3168"/>
      </w:tblGrid>
      <w:tr>
        <w:trPr>
          <w:cantSplit/>
          <w:tblHeader/>
        </w:trPr>
        <w:tc>
          <w:tcPr>
            <w:tcW w:type="dxa" w:w="1944"/>
            <w:vAlign w:val="center"/>
            <w:shd w:fill="DCE6EE"/>
          </w:tcPr>
          <w:p>
            <w:pPr>
              <w:keepNext/>
              <w:spacing w:after="0" w:line="247" w:lineRule="auto"/>
            </w:pPr>
            <w:r>
              <w:rPr>
                <w:b/>
                <w:sz w:val="18"/>
              </w:rPr>
              <w:t>Hardware area</w:t>
            </w:r>
          </w:p>
        </w:tc>
        <w:tc>
          <w:tcPr>
            <w:tcW w:type="dxa" w:w="2448"/>
            <w:vAlign w:val="center"/>
            <w:shd w:fill="DCE6EE"/>
          </w:tcPr>
          <w:p>
            <w:pPr>
              <w:keepNext/>
              <w:spacing w:after="0" w:line="247" w:lineRule="auto"/>
            </w:pPr>
            <w:r>
              <w:rPr>
                <w:b/>
                <w:sz w:val="18"/>
              </w:rPr>
              <w:t>Deterministic mechanism</w:t>
            </w:r>
          </w:p>
        </w:tc>
        <w:tc>
          <w:tcPr>
            <w:tcW w:type="dxa" w:w="2520"/>
            <w:vAlign w:val="center"/>
            <w:shd w:fill="DCE6EE"/>
          </w:tcPr>
          <w:p>
            <w:pPr>
              <w:keepNext/>
              <w:spacing w:after="0" w:line="247" w:lineRule="auto"/>
            </w:pPr>
            <w:r>
              <w:rPr>
                <w:b/>
                <w:sz w:val="18"/>
              </w:rPr>
              <w:t>Skill-visible operations</w:t>
            </w:r>
          </w:p>
        </w:tc>
        <w:tc>
          <w:tcPr>
            <w:tcW w:type="dxa" w:w="3168"/>
            <w:vAlign w:val="center"/>
            <w:shd w:fill="DCE6EE"/>
          </w:tcPr>
          <w:p>
            <w:pPr>
              <w:keepNext/>
              <w:spacing w:after="0" w:line="247" w:lineRule="auto"/>
            </w:pPr>
            <w:r>
              <w:rPr>
                <w:b/>
                <w:sz w:val="18"/>
              </w:rPr>
              <w:t>Prohibited direct LLM action</w:t>
            </w:r>
          </w:p>
        </w:tc>
      </w:tr>
      <w:tr>
        <w:trPr>
          <w:cantSplit/>
        </w:trPr>
        <w:tc>
          <w:tcPr>
            <w:tcW w:type="dxa" w:w="1944"/>
            <w:vAlign w:val="center"/>
            <w:shd w:fill="FFFFFF"/>
          </w:tcPr>
          <w:p>
            <w:pPr>
              <w:spacing w:after="0" w:line="247" w:lineRule="auto"/>
            </w:pPr>
            <w:r>
              <w:rPr>
                <w:sz w:val="18"/>
              </w:rPr>
              <w:t>CPU</w:t>
            </w:r>
          </w:p>
        </w:tc>
        <w:tc>
          <w:tcPr>
            <w:tcW w:type="dxa" w:w="2448"/>
            <w:vAlign w:val="center"/>
            <w:shd w:fill="FFFFFF"/>
          </w:tcPr>
          <w:p>
            <w:pPr>
              <w:spacing w:after="0" w:line="247" w:lineRule="auto"/>
            </w:pPr>
            <w:r>
              <w:rPr>
                <w:sz w:val="18"/>
              </w:rPr>
              <w:t>Scheduler, timers, interrupt entry, context switch</w:t>
            </w:r>
          </w:p>
        </w:tc>
        <w:tc>
          <w:tcPr>
            <w:tcW w:type="dxa" w:w="2520"/>
            <w:vAlign w:val="center"/>
            <w:shd w:fill="FFFFFF"/>
          </w:tcPr>
          <w:p>
            <w:pPr>
              <w:spacing w:after="0" w:line="247" w:lineRule="auto"/>
            </w:pPr>
            <w:r>
              <w:rPr>
                <w:sz w:val="18"/>
              </w:rPr>
              <w:t>Inspect utilization; propose job priority or energy profile</w:t>
            </w:r>
          </w:p>
        </w:tc>
        <w:tc>
          <w:tcPr>
            <w:tcW w:type="dxa" w:w="3168"/>
            <w:vAlign w:val="center"/>
            <w:shd w:fill="FFFFFF"/>
          </w:tcPr>
          <w:p>
            <w:pPr>
              <w:spacing w:after="0" w:line="247" w:lineRule="auto"/>
            </w:pPr>
            <w:r>
              <w:rPr>
                <w:sz w:val="18"/>
              </w:rPr>
              <w:t>Dispatch each thread or rewrite interrupt handlers</w:t>
            </w:r>
          </w:p>
        </w:tc>
      </w:tr>
      <w:tr>
        <w:trPr>
          <w:cantSplit/>
        </w:trPr>
        <w:tc>
          <w:tcPr>
            <w:tcW w:type="dxa" w:w="1944"/>
            <w:vAlign w:val="center"/>
            <w:shd w:fill="F6F8FA"/>
          </w:tcPr>
          <w:p>
            <w:pPr>
              <w:spacing w:after="0" w:line="247" w:lineRule="auto"/>
            </w:pPr>
            <w:r>
              <w:rPr>
                <w:sz w:val="18"/>
              </w:rPr>
              <w:t>Memory</w:t>
            </w:r>
          </w:p>
        </w:tc>
        <w:tc>
          <w:tcPr>
            <w:tcW w:type="dxa" w:w="2448"/>
            <w:vAlign w:val="center"/>
            <w:shd w:fill="F6F8FA"/>
          </w:tcPr>
          <w:p>
            <w:pPr>
              <w:spacing w:after="0" w:line="247" w:lineRule="auto"/>
            </w:pPr>
            <w:r>
              <w:rPr>
                <w:sz w:val="18"/>
              </w:rPr>
              <w:t>Page tables, allocator, protection, reclaim, OOM handling</w:t>
            </w:r>
          </w:p>
        </w:tc>
        <w:tc>
          <w:tcPr>
            <w:tcW w:type="dxa" w:w="2520"/>
            <w:vAlign w:val="center"/>
            <w:shd w:fill="F6F8FA"/>
          </w:tcPr>
          <w:p>
            <w:pPr>
              <w:spacing w:after="0" w:line="247" w:lineRule="auto"/>
            </w:pPr>
            <w:r>
              <w:rPr>
                <w:sz w:val="18"/>
              </w:rPr>
              <w:t>Set bounded worker memory budgets; evict model caches</w:t>
            </w:r>
          </w:p>
        </w:tc>
        <w:tc>
          <w:tcPr>
            <w:tcW w:type="dxa" w:w="3168"/>
            <w:vAlign w:val="center"/>
            <w:shd w:fill="F6F8FA"/>
          </w:tcPr>
          <w:p>
            <w:pPr>
              <w:spacing w:after="0" w:line="247" w:lineRule="auto"/>
            </w:pPr>
            <w:r>
              <w:rPr>
                <w:sz w:val="18"/>
              </w:rPr>
              <w:t>Choose raw page mappings or overwrite kernel memory</w:t>
            </w:r>
          </w:p>
        </w:tc>
      </w:tr>
      <w:tr>
        <w:trPr>
          <w:cantSplit/>
        </w:trPr>
        <w:tc>
          <w:tcPr>
            <w:tcW w:type="dxa" w:w="1944"/>
            <w:vAlign w:val="center"/>
            <w:shd w:fill="FFFFFF"/>
          </w:tcPr>
          <w:p>
            <w:pPr>
              <w:spacing w:after="0" w:line="247" w:lineRule="auto"/>
            </w:pPr>
            <w:r>
              <w:rPr>
                <w:sz w:val="18"/>
              </w:rPr>
              <w:t>Storage</w:t>
            </w:r>
          </w:p>
        </w:tc>
        <w:tc>
          <w:tcPr>
            <w:tcW w:type="dxa" w:w="2448"/>
            <w:vAlign w:val="center"/>
            <w:shd w:fill="FFFFFF"/>
          </w:tcPr>
          <w:p>
            <w:pPr>
              <w:spacing w:after="0" w:line="247" w:lineRule="auto"/>
            </w:pPr>
            <w:r>
              <w:rPr>
                <w:sz w:val="18"/>
              </w:rPr>
              <w:t>Block driver, queues, filesystem journal and checksums</w:t>
            </w:r>
          </w:p>
        </w:tc>
        <w:tc>
          <w:tcPr>
            <w:tcW w:type="dxa" w:w="2520"/>
            <w:vAlign w:val="center"/>
            <w:shd w:fill="FFFFFF"/>
          </w:tcPr>
          <w:p>
            <w:pPr>
              <w:spacing w:after="0" w:line="247" w:lineRule="auto"/>
            </w:pPr>
            <w:r>
              <w:rPr>
                <w:sz w:val="18"/>
              </w:rPr>
              <w:t>Organize objects; request snapshots or approved cleanup</w:t>
            </w:r>
          </w:p>
        </w:tc>
        <w:tc>
          <w:tcPr>
            <w:tcW w:type="dxa" w:w="3168"/>
            <w:vAlign w:val="center"/>
            <w:shd w:fill="FFFFFF"/>
          </w:tcPr>
          <w:p>
            <w:pPr>
              <w:spacing w:after="0" w:line="247" w:lineRule="auto"/>
            </w:pPr>
            <w:r>
              <w:rPr>
                <w:sz w:val="18"/>
              </w:rPr>
              <w:t>Write arbitrary sectors or bypass filesystem invariants</w:t>
            </w:r>
          </w:p>
        </w:tc>
      </w:tr>
      <w:tr>
        <w:trPr>
          <w:cantSplit/>
        </w:trPr>
        <w:tc>
          <w:tcPr>
            <w:tcW w:type="dxa" w:w="1944"/>
            <w:vAlign w:val="center"/>
            <w:shd w:fill="F6F8FA"/>
          </w:tcPr>
          <w:p>
            <w:pPr>
              <w:spacing w:after="0" w:line="247" w:lineRule="auto"/>
            </w:pPr>
            <w:r>
              <w:rPr>
                <w:sz w:val="18"/>
              </w:rPr>
              <w:t>GPU</w:t>
            </w:r>
          </w:p>
        </w:tc>
        <w:tc>
          <w:tcPr>
            <w:tcW w:type="dxa" w:w="2448"/>
            <w:vAlign w:val="center"/>
            <w:shd w:fill="F6F8FA"/>
          </w:tcPr>
          <w:p>
            <w:pPr>
              <w:spacing w:after="0" w:line="247" w:lineRule="auto"/>
            </w:pPr>
            <w:r>
              <w:rPr>
                <w:sz w:val="18"/>
              </w:rPr>
              <w:t>DRM driver, firmware, GPU virtual memory, queue fences</w:t>
            </w:r>
          </w:p>
        </w:tc>
        <w:tc>
          <w:tcPr>
            <w:tcW w:type="dxa" w:w="2520"/>
            <w:vAlign w:val="center"/>
            <w:shd w:fill="F6F8FA"/>
          </w:tcPr>
          <w:p>
            <w:pPr>
              <w:spacing w:after="0" w:line="247" w:lineRule="auto"/>
            </w:pPr>
            <w:r>
              <w:rPr>
                <w:sz w:val="18"/>
              </w:rPr>
              <w:t>Reserve inference budget; choose qualified backend</w:t>
            </w:r>
          </w:p>
        </w:tc>
        <w:tc>
          <w:tcPr>
            <w:tcW w:type="dxa" w:w="3168"/>
            <w:vAlign w:val="center"/>
            <w:shd w:fill="F6F8FA"/>
          </w:tcPr>
          <w:p>
            <w:pPr>
              <w:spacing w:after="0" w:line="247" w:lineRule="auto"/>
            </w:pPr>
            <w:r>
              <w:rPr>
                <w:sz w:val="18"/>
              </w:rPr>
              <w:t>Emit unchecked command buffers or MMIO writes</w:t>
            </w:r>
          </w:p>
        </w:tc>
      </w:tr>
      <w:tr>
        <w:trPr>
          <w:cantSplit/>
        </w:trPr>
        <w:tc>
          <w:tcPr>
            <w:tcW w:type="dxa" w:w="1944"/>
            <w:vAlign w:val="center"/>
            <w:shd w:fill="FFFFFF"/>
          </w:tcPr>
          <w:p>
            <w:pPr>
              <w:spacing w:after="0" w:line="247" w:lineRule="auto"/>
            </w:pPr>
            <w:r>
              <w:rPr>
                <w:sz w:val="18"/>
              </w:rPr>
              <w:t>NPU</w:t>
            </w:r>
          </w:p>
        </w:tc>
        <w:tc>
          <w:tcPr>
            <w:tcW w:type="dxa" w:w="2448"/>
            <w:vAlign w:val="center"/>
            <w:shd w:fill="FFFFFF"/>
          </w:tcPr>
          <w:p>
            <w:pPr>
              <w:spacing w:after="0" w:line="247" w:lineRule="auto"/>
            </w:pPr>
            <w:r>
              <w:rPr>
                <w:sz w:val="18"/>
              </w:rPr>
              <w:t>Vendor driver, firmware, compiler and runtime</w:t>
            </w:r>
          </w:p>
        </w:tc>
        <w:tc>
          <w:tcPr>
            <w:tcW w:type="dxa" w:w="2520"/>
            <w:vAlign w:val="center"/>
            <w:shd w:fill="FFFFFF"/>
          </w:tcPr>
          <w:p>
            <w:pPr>
              <w:spacing w:after="0" w:line="247" w:lineRule="auto"/>
            </w:pPr>
            <w:r>
              <w:rPr>
                <w:sz w:val="18"/>
              </w:rPr>
              <w:t>Load an approved model profile and submit bounded inference</w:t>
            </w:r>
          </w:p>
        </w:tc>
        <w:tc>
          <w:tcPr>
            <w:tcW w:type="dxa" w:w="3168"/>
            <w:vAlign w:val="center"/>
            <w:shd w:fill="FFFFFF"/>
          </w:tcPr>
          <w:p>
            <w:pPr>
              <w:spacing w:after="0" w:line="247" w:lineRule="auto"/>
            </w:pPr>
            <w:r>
              <w:rPr>
                <w:sz w:val="18"/>
              </w:rPr>
              <w:t>Treat an arbitrary model graph as supported</w:t>
            </w:r>
          </w:p>
        </w:tc>
      </w:tr>
      <w:tr>
        <w:trPr>
          <w:cantSplit/>
        </w:trPr>
        <w:tc>
          <w:tcPr>
            <w:tcW w:type="dxa" w:w="1944"/>
            <w:vAlign w:val="center"/>
            <w:shd w:fill="F6F8FA"/>
          </w:tcPr>
          <w:p>
            <w:pPr>
              <w:spacing w:after="0" w:line="247" w:lineRule="auto"/>
            </w:pPr>
            <w:r>
              <w:rPr>
                <w:sz w:val="18"/>
              </w:rPr>
              <w:t>Network</w:t>
            </w:r>
          </w:p>
        </w:tc>
        <w:tc>
          <w:tcPr>
            <w:tcW w:type="dxa" w:w="2448"/>
            <w:vAlign w:val="center"/>
            <w:shd w:fill="F6F8FA"/>
          </w:tcPr>
          <w:p>
            <w:pPr>
              <w:spacing w:after="0" w:line="247" w:lineRule="auto"/>
            </w:pPr>
            <w:r>
              <w:rPr>
                <w:sz w:val="18"/>
              </w:rPr>
              <w:t>Protocol stack, NIC driver, firewall, DNS and TLS libraries</w:t>
            </w:r>
          </w:p>
        </w:tc>
        <w:tc>
          <w:tcPr>
            <w:tcW w:type="dxa" w:w="2520"/>
            <w:vAlign w:val="center"/>
            <w:shd w:fill="F6F8FA"/>
          </w:tcPr>
          <w:p>
            <w:pPr>
              <w:spacing w:after="0" w:line="247" w:lineRule="auto"/>
            </w:pPr>
            <w:r>
              <w:rPr>
                <w:sz w:val="18"/>
              </w:rPr>
              <w:t>Configure a granted connection; invoke scoped API adapter</w:t>
            </w:r>
          </w:p>
        </w:tc>
        <w:tc>
          <w:tcPr>
            <w:tcW w:type="dxa" w:w="3168"/>
            <w:vAlign w:val="center"/>
            <w:shd w:fill="F6F8FA"/>
          </w:tcPr>
          <w:p>
            <w:pPr>
              <w:spacing w:after="0" w:line="247" w:lineRule="auto"/>
            </w:pPr>
            <w:r>
              <w:rPr>
                <w:sz w:val="18"/>
              </w:rPr>
              <w:t>Bypass destination policy or construct privileged packet access</w:t>
            </w:r>
          </w:p>
        </w:tc>
      </w:tr>
      <w:tr>
        <w:trPr>
          <w:cantSplit/>
        </w:trPr>
        <w:tc>
          <w:tcPr>
            <w:tcW w:type="dxa" w:w="1944"/>
            <w:vAlign w:val="center"/>
            <w:shd w:fill="FFFFFF"/>
          </w:tcPr>
          <w:p>
            <w:pPr>
              <w:spacing w:after="0" w:line="247" w:lineRule="auto"/>
            </w:pPr>
            <w:r>
              <w:rPr>
                <w:sz w:val="18"/>
              </w:rPr>
              <w:t>USB and peripherals</w:t>
            </w:r>
          </w:p>
        </w:tc>
        <w:tc>
          <w:tcPr>
            <w:tcW w:type="dxa" w:w="2448"/>
            <w:vAlign w:val="center"/>
            <w:shd w:fill="FFFFFF"/>
          </w:tcPr>
          <w:p>
            <w:pPr>
              <w:spacing w:after="0" w:line="247" w:lineRule="auto"/>
            </w:pPr>
            <w:r>
              <w:rPr>
                <w:sz w:val="18"/>
              </w:rPr>
              <w:t>Enumeration, class drivers, hotplug and power state</w:t>
            </w:r>
          </w:p>
        </w:tc>
        <w:tc>
          <w:tcPr>
            <w:tcW w:type="dxa" w:w="2520"/>
            <w:vAlign w:val="center"/>
            <w:shd w:fill="FFFFFF"/>
          </w:tcPr>
          <w:p>
            <w:pPr>
              <w:spacing w:after="0" w:line="247" w:lineRule="auto"/>
            </w:pPr>
            <w:r>
              <w:rPr>
                <w:sz w:val="18"/>
              </w:rPr>
              <w:t>Discover a supported device and expose capabilities</w:t>
            </w:r>
          </w:p>
        </w:tc>
        <w:tc>
          <w:tcPr>
            <w:tcW w:type="dxa" w:w="3168"/>
            <w:vAlign w:val="center"/>
            <w:shd w:fill="FFFFFF"/>
          </w:tcPr>
          <w:p>
            <w:pPr>
              <w:spacing w:after="0" w:line="247" w:lineRule="auto"/>
            </w:pPr>
            <w:r>
              <w:rPr>
                <w:sz w:val="18"/>
              </w:rPr>
              <w:t>Invent a driver for an unknown device at runtime</w:t>
            </w:r>
          </w:p>
        </w:tc>
      </w:tr>
      <w:tr>
        <w:trPr>
          <w:cantSplit/>
        </w:trPr>
        <w:tc>
          <w:tcPr>
            <w:tcW w:type="dxa" w:w="1944"/>
            <w:vAlign w:val="center"/>
            <w:shd w:fill="F6F8FA"/>
          </w:tcPr>
          <w:p>
            <w:pPr>
              <w:spacing w:after="0" w:line="247" w:lineRule="auto"/>
            </w:pPr>
            <w:r>
              <w:rPr>
                <w:sz w:val="18"/>
              </w:rPr>
              <w:t>Audio camera display</w:t>
            </w:r>
          </w:p>
        </w:tc>
        <w:tc>
          <w:tcPr>
            <w:tcW w:type="dxa" w:w="2448"/>
            <w:vAlign w:val="center"/>
            <w:shd w:fill="F6F8FA"/>
          </w:tcPr>
          <w:p>
            <w:pPr>
              <w:spacing w:after="0" w:line="247" w:lineRule="auto"/>
            </w:pPr>
            <w:r>
              <w:rPr>
                <w:sz w:val="18"/>
              </w:rPr>
              <w:t>Buffer clocks, compositor, capture and codec services</w:t>
            </w:r>
          </w:p>
        </w:tc>
        <w:tc>
          <w:tcPr>
            <w:tcW w:type="dxa" w:w="2520"/>
            <w:vAlign w:val="center"/>
            <w:shd w:fill="F6F8FA"/>
          </w:tcPr>
          <w:p>
            <w:pPr>
              <w:spacing w:after="0" w:line="247" w:lineRule="auto"/>
            </w:pPr>
            <w:r>
              <w:rPr>
                <w:sz w:val="18"/>
              </w:rPr>
              <w:t>Start permitted streams and adjust quality</w:t>
            </w:r>
          </w:p>
        </w:tc>
        <w:tc>
          <w:tcPr>
            <w:tcW w:type="dxa" w:w="3168"/>
            <w:vAlign w:val="center"/>
            <w:shd w:fill="F6F8FA"/>
          </w:tcPr>
          <w:p>
            <w:pPr>
              <w:spacing w:after="0" w:line="247" w:lineRule="auto"/>
            </w:pPr>
            <w:r>
              <w:rPr>
                <w:sz w:val="18"/>
              </w:rPr>
              <w:t>Intercept capture or compromise secure UI</w:t>
            </w:r>
          </w:p>
        </w:tc>
      </w:tr>
      <w:tr>
        <w:trPr>
          <w:cantSplit/>
        </w:trPr>
        <w:tc>
          <w:tcPr>
            <w:tcW w:type="dxa" w:w="1944"/>
            <w:vAlign w:val="center"/>
            <w:shd w:fill="FFFFFF"/>
          </w:tcPr>
          <w:p>
            <w:pPr>
              <w:spacing w:after="0" w:line="247" w:lineRule="auto"/>
            </w:pPr>
            <w:r>
              <w:rPr>
                <w:sz w:val="18"/>
              </w:rPr>
              <w:t>Power and thermal</w:t>
            </w:r>
          </w:p>
        </w:tc>
        <w:tc>
          <w:tcPr>
            <w:tcW w:type="dxa" w:w="2448"/>
            <w:vAlign w:val="center"/>
            <w:shd w:fill="FFFFFF"/>
          </w:tcPr>
          <w:p>
            <w:pPr>
              <w:spacing w:after="0" w:line="247" w:lineRule="auto"/>
            </w:pPr>
            <w:r>
              <w:rPr>
                <w:sz w:val="18"/>
              </w:rPr>
              <w:t>Firmware safety limits and deterministic governors</w:t>
            </w:r>
          </w:p>
        </w:tc>
        <w:tc>
          <w:tcPr>
            <w:tcW w:type="dxa" w:w="2520"/>
            <w:vAlign w:val="center"/>
            <w:shd w:fill="FFFFFF"/>
          </w:tcPr>
          <w:p>
            <w:pPr>
              <w:spacing w:after="0" w:line="247" w:lineRule="auto"/>
            </w:pPr>
            <w:r>
              <w:rPr>
                <w:sz w:val="18"/>
              </w:rPr>
              <w:t>Propose power profiles and defer background work</w:t>
            </w:r>
          </w:p>
        </w:tc>
        <w:tc>
          <w:tcPr>
            <w:tcW w:type="dxa" w:w="3168"/>
            <w:vAlign w:val="center"/>
            <w:shd w:fill="FFFFFF"/>
          </w:tcPr>
          <w:p>
            <w:pPr>
              <w:spacing w:after="0" w:line="247" w:lineRule="auto"/>
            </w:pPr>
            <w:r>
              <w:rPr>
                <w:sz w:val="18"/>
              </w:rPr>
              <w:t>Disable thermal protection or exceed certified limits</w:t>
            </w:r>
          </w:p>
        </w:tc>
      </w:tr>
    </w:tbl>
    <w:p>
      <w:pPr>
        <w:spacing w:after="20"/>
      </w:pPr>
    </w:p>
    <w:p>
      <w:pPr>
        <w:pStyle w:val="Heading2"/>
      </w:pPr>
      <w:r>
        <w:t>4.2 Hardware skill ABI</w:t>
      </w:r>
    </w:p>
    <w:p>
      <w:r>
        <w:t>Every hardware skill has discover, inspect, propose_policy, validate_policy, apply_policy, observe, and revert operations where appropriate. The broker resolves device IDs from the actual inventory; the model cannot fabricate an address. Policy messages reference a certified parameter schema, expected configuration revision, expiration time, and rollback profile. Applied changes produce a receipt and a new revision.</w:t>
      </w:r>
    </w:p>
    <w:p>
      <w:r>
        <w:t>For example, cpu.balance accepts a logical workload group, a CPU weight within an administrator-defined range, and a maximum policy lifetime. The broker translates this into a validated cgroup configuration. memory.reclaim asks the model manager to discard eligible caches before any process is terminated. storage.cleanup returns a candidate list with sizes, ownership, retention rules, and preview references; the artifact service performs the approved deletion policy.</w:t>
      </w:r>
    </w:p>
    <w:p>
      <w:r>
        <w:t>The control loop samples aggregated metrics at one-second intervals and considers a policy update no more than once every five seconds in the initial prototype. Require hysteresis and a minimum hold time so changes do not oscillate. Emergency thermal, power, watchdog, and OOM responses remain entirely deterministic and do not wait for this loop. These intervals are proposed defaults to tune under test.</w:t>
      </w:r>
    </w:p>
    <w:p>
      <w:pPr>
        <w:pStyle w:val="Heading2"/>
      </w:pPr>
      <w:r>
        <w:t>4.3 Execution safety</w:t>
      </w:r>
    </w:p>
    <w:p>
      <w:r>
        <w:t>Drivers shall obey the platform memory-ordering model, use validated DMA mappings, enforce IOMMU isolation where available, and cancel or fence outstanding work before resources are reused. Hot removal changes the device generation number; jobs holding an older generation fail with DEVICE_REMOVED. GPU or NPU reset invalidates model handles and forces a qualified reload. A replay can restart a read-only inference operation but cannot replay an already committed external effect.</w:t>
      </w:r>
    </w:p>
    <w:p>
      <w:r>
        <w:t>Worker failures must not block interrupt handling, filesystem recovery, or the compositor. Memory reservations protect the shell and storage services before admitting a model. Linux cgroups bound CPU and host memory; GPU and NPU memory require explicit backend accounting because ordinary process memory limits do not uniformly contain accelerator allocations. A supervisor timeout is insufficient for a stuck driver, so device reset and system recovery paths must also be tested.</w:t>
      </w:r>
    </w:p>
    <w:p>
      <w:pPr>
        <w:pStyle w:val="Heading2"/>
      </w:pPr>
      <w:r>
        <w:t>4.4 Learned scheduling research</w:t>
      </w:r>
    </w:p>
    <w:p>
      <w:r>
        <w:t xml:space="preserve">If measurements justify it, train a policy model to select among bounded scheduling configurations. Keep the baseline Linux scheduler for R1. Linux sched_ext permits BPF-defined scheduling policies and documents fallback behavior; this is a possible R2 experiment, not permission to call an LLM on each scheduling event. </w:t>
      </w:r>
      <w:hyperlink r:id="rId14">
        <w:r>
          <w:rPr>
            <w:color w:val="244F70"/>
          </w:rPr>
          <w:t>[S15]</w:t>
        </w:r>
      </w:hyperlink>
      <w:r>
        <w:t xml:space="preserve"> Any generated BPF or kernel code must be built, reviewed, tested, signed, and deployed through the release pipeline.</w:t>
      </w:r>
    </w:p>
    <w:p>
      <w:r>
        <w:t>The experiment shall compare throughput, tail latency, energy per task, and fairness against the same workload on the default scheduler. A learned policy must improve a declared metric without violating the responsiveness limits in Section 16. Rollback triggers include watchdog events, sustained latency regression, starvation, and missing telemetry.</w:t>
      </w:r>
    </w:p>
    <w:p>
      <w:pPr>
        <w:pStyle w:val="Heading1"/>
      </w:pPr>
      <w:r>
        <w:t>5 Boot installation and system updates</w:t>
      </w:r>
    </w:p>
    <w:p>
      <w:pPr>
        <w:pStyle w:val="Heading2"/>
      </w:pPr>
      <w:r>
        <w:t>5.1 Boot sequence</w:t>
      </w:r>
    </w:p>
    <w:p>
      <w:r>
        <w:t>UEFI verifies the bootloader or unified kernel image. The kernel initializes CPU state, memory, storage, input, and display drivers. Init mounts the verified system volume, starts authorization and recovery services, unlocks user data, and starts the manual shell. The model manager then verifies model manifests, checks available memory, selects a backend, loads a compact or main model, and runs a short inference self-test. The shell marks conversational functions ready only after that test succeeds.</w:t>
      </w:r>
    </w:p>
    <w:p>
      <w:r>
        <w:t>The OS shall boot with networking disabled and with the model partition unavailable. In that condition it provides login, a file browser, settings, a terminal or recovery console, and shutdown. The model cannot hold disk-unlock keys or be required to decide whether the machine may boot. TPM-backed unlock must have a user-controlled recovery path for firmware changes or motherboard replacement.</w:t>
      </w:r>
    </w:p>
    <w:p>
      <w:pPr>
        <w:pStyle w:val="Heading2"/>
      </w:pPr>
      <w:r>
        <w:t>5.2 Installation layout</w:t>
      </w:r>
    </w:p>
    <w:p>
      <w:r>
        <w:t>Use separate system, model, and user-data volumes. The installation bundle contains the boot chain, kernel, firmware, drivers, services, core skills, a compatible quantized main model, speech and embedding assets, model manifests, and recovery tools. A model file is part of the OS release bundle while remaining independently addressable and replaceable.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3312"/>
        <w:gridCol w:w="4392"/>
      </w:tblGrid>
      <w:tr>
        <w:trPr>
          <w:cantSplit/>
          <w:tblHeader/>
        </w:trPr>
        <w:tc>
          <w:tcPr>
            <w:tcW w:type="dxa" w:w="2376"/>
            <w:vAlign w:val="center"/>
            <w:shd w:fill="DCE6EE"/>
          </w:tcPr>
          <w:p>
            <w:pPr>
              <w:keepNext/>
              <w:spacing w:after="0" w:line="247" w:lineRule="auto"/>
            </w:pPr>
            <w:r>
              <w:rPr>
                <w:b/>
                <w:sz w:val="18"/>
              </w:rPr>
              <w:t>Volume</w:t>
            </w:r>
          </w:p>
        </w:tc>
        <w:tc>
          <w:tcPr>
            <w:tcW w:type="dxa" w:w="3312"/>
            <w:vAlign w:val="center"/>
            <w:shd w:fill="DCE6EE"/>
          </w:tcPr>
          <w:p>
            <w:pPr>
              <w:keepNext/>
              <w:spacing w:after="0" w:line="247" w:lineRule="auto"/>
            </w:pPr>
            <w:r>
              <w:rPr>
                <w:b/>
                <w:sz w:val="18"/>
              </w:rPr>
              <w:t>Proposed reservation</w:t>
            </w:r>
          </w:p>
        </w:tc>
        <w:tc>
          <w:tcPr>
            <w:tcW w:type="dxa" w:w="4392"/>
            <w:vAlign w:val="center"/>
            <w:shd w:fill="DCE6EE"/>
          </w:tcPr>
          <w:p>
            <w:pPr>
              <w:keepNext/>
              <w:spacing w:after="0" w:line="247" w:lineRule="auto"/>
            </w:pPr>
            <w:r>
              <w:rPr>
                <w:b/>
                <w:sz w:val="18"/>
              </w:rPr>
              <w:t>Purpose</w:t>
            </w:r>
          </w:p>
        </w:tc>
      </w:tr>
      <w:tr>
        <w:trPr>
          <w:cantSplit/>
        </w:trPr>
        <w:tc>
          <w:tcPr>
            <w:tcW w:type="dxa" w:w="2376"/>
            <w:vAlign w:val="center"/>
            <w:shd w:fill="FFFFFF"/>
          </w:tcPr>
          <w:p>
            <w:pPr>
              <w:spacing w:after="0" w:line="247" w:lineRule="auto"/>
            </w:pPr>
            <w:r>
              <w:rPr>
                <w:sz w:val="18"/>
              </w:rPr>
              <w:t>EFI system</w:t>
            </w:r>
          </w:p>
        </w:tc>
        <w:tc>
          <w:tcPr>
            <w:tcW w:type="dxa" w:w="3312"/>
            <w:vAlign w:val="center"/>
            <w:shd w:fill="FFFFFF"/>
          </w:tcPr>
          <w:p>
            <w:pPr>
              <w:spacing w:after="0" w:line="247" w:lineRule="auto"/>
            </w:pPr>
            <w:r>
              <w:rPr>
                <w:sz w:val="18"/>
              </w:rPr>
              <w:t>1 GiB</w:t>
            </w:r>
          </w:p>
        </w:tc>
        <w:tc>
          <w:tcPr>
            <w:tcW w:type="dxa" w:w="4392"/>
            <w:vAlign w:val="center"/>
            <w:shd w:fill="FFFFFF"/>
          </w:tcPr>
          <w:p>
            <w:pPr>
              <w:spacing w:after="0" w:line="247" w:lineRule="auto"/>
            </w:pPr>
            <w:r>
              <w:rPr>
                <w:sz w:val="18"/>
              </w:rPr>
              <w:t>Signed boot files and recovery entries</w:t>
            </w:r>
          </w:p>
        </w:tc>
      </w:tr>
      <w:tr>
        <w:trPr>
          <w:cantSplit/>
        </w:trPr>
        <w:tc>
          <w:tcPr>
            <w:tcW w:type="dxa" w:w="2376"/>
            <w:vAlign w:val="center"/>
            <w:shd w:fill="F6F8FA"/>
          </w:tcPr>
          <w:p>
            <w:pPr>
              <w:spacing w:after="0" w:line="247" w:lineRule="auto"/>
            </w:pPr>
            <w:r>
              <w:rPr>
                <w:sz w:val="18"/>
              </w:rPr>
              <w:t>System A and B</w:t>
            </w:r>
          </w:p>
        </w:tc>
        <w:tc>
          <w:tcPr>
            <w:tcW w:type="dxa" w:w="3312"/>
            <w:vAlign w:val="center"/>
            <w:shd w:fill="F6F8FA"/>
          </w:tcPr>
          <w:p>
            <w:pPr>
              <w:spacing w:after="0" w:line="247" w:lineRule="auto"/>
            </w:pPr>
            <w:r>
              <w:rPr>
                <w:sz w:val="18"/>
              </w:rPr>
              <w:t>20 GiB each</w:t>
            </w:r>
          </w:p>
        </w:tc>
        <w:tc>
          <w:tcPr>
            <w:tcW w:type="dxa" w:w="4392"/>
            <w:vAlign w:val="center"/>
            <w:shd w:fill="F6F8FA"/>
          </w:tcPr>
          <w:p>
            <w:pPr>
              <w:spacing w:after="0" w:line="247" w:lineRule="auto"/>
            </w:pPr>
            <w:r>
              <w:rPr>
                <w:sz w:val="18"/>
              </w:rPr>
              <w:t>Immutable runtime slots with atomic selection</w:t>
            </w:r>
          </w:p>
        </w:tc>
      </w:tr>
      <w:tr>
        <w:trPr>
          <w:cantSplit/>
        </w:trPr>
        <w:tc>
          <w:tcPr>
            <w:tcW w:type="dxa" w:w="2376"/>
            <w:vAlign w:val="center"/>
            <w:shd w:fill="FFFFFF"/>
          </w:tcPr>
          <w:p>
            <w:pPr>
              <w:spacing w:after="0" w:line="247" w:lineRule="auto"/>
            </w:pPr>
            <w:r>
              <w:rPr>
                <w:sz w:val="18"/>
              </w:rPr>
              <w:t>Model A and B</w:t>
            </w:r>
          </w:p>
        </w:tc>
        <w:tc>
          <w:tcPr>
            <w:tcW w:type="dxa" w:w="3312"/>
            <w:vAlign w:val="center"/>
            <w:shd w:fill="FFFFFF"/>
          </w:tcPr>
          <w:p>
            <w:pPr>
              <w:spacing w:after="0" w:line="247" w:lineRule="auto"/>
            </w:pPr>
            <w:r>
              <w:rPr>
                <w:sz w:val="18"/>
              </w:rPr>
              <w:t>24 GiB each for base edition</w:t>
            </w:r>
          </w:p>
        </w:tc>
        <w:tc>
          <w:tcPr>
            <w:tcW w:type="dxa" w:w="4392"/>
            <w:vAlign w:val="center"/>
            <w:shd w:fill="FFFFFF"/>
          </w:tcPr>
          <w:p>
            <w:pPr>
              <w:spacing w:after="0" w:line="247" w:lineRule="auto"/>
            </w:pPr>
            <w:r>
              <w:rPr>
                <w:sz w:val="18"/>
              </w:rPr>
              <w:t>Main model and small auxiliary assets with rollback; heavy model packs use extra storage</w:t>
            </w:r>
          </w:p>
        </w:tc>
      </w:tr>
      <w:tr>
        <w:trPr>
          <w:cantSplit/>
        </w:trPr>
        <w:tc>
          <w:tcPr>
            <w:tcW w:type="dxa" w:w="2376"/>
            <w:vAlign w:val="center"/>
            <w:shd w:fill="F6F8FA"/>
          </w:tcPr>
          <w:p>
            <w:pPr>
              <w:spacing w:after="0" w:line="247" w:lineRule="auto"/>
            </w:pPr>
            <w:r>
              <w:rPr>
                <w:sz w:val="18"/>
              </w:rPr>
              <w:t>Recovery</w:t>
            </w:r>
          </w:p>
        </w:tc>
        <w:tc>
          <w:tcPr>
            <w:tcW w:type="dxa" w:w="3312"/>
            <w:vAlign w:val="center"/>
            <w:shd w:fill="F6F8FA"/>
          </w:tcPr>
          <w:p>
            <w:pPr>
              <w:spacing w:after="0" w:line="247" w:lineRule="auto"/>
            </w:pPr>
            <w:r>
              <w:rPr>
                <w:sz w:val="18"/>
              </w:rPr>
              <w:t>4 GiB</w:t>
            </w:r>
          </w:p>
        </w:tc>
        <w:tc>
          <w:tcPr>
            <w:tcW w:type="dxa" w:w="4392"/>
            <w:vAlign w:val="center"/>
            <w:shd w:fill="F6F8FA"/>
          </w:tcPr>
          <w:p>
            <w:pPr>
              <w:spacing w:after="0" w:line="247" w:lineRule="auto"/>
            </w:pPr>
            <w:r>
              <w:rPr>
                <w:sz w:val="18"/>
              </w:rPr>
              <w:t>Minimal offline repair environment</w:t>
            </w:r>
          </w:p>
        </w:tc>
      </w:tr>
      <w:tr>
        <w:trPr>
          <w:cantSplit/>
        </w:trPr>
        <w:tc>
          <w:tcPr>
            <w:tcW w:type="dxa" w:w="2376"/>
            <w:vAlign w:val="center"/>
            <w:shd w:fill="FFFFFF"/>
          </w:tcPr>
          <w:p>
            <w:pPr>
              <w:spacing w:after="0" w:line="247" w:lineRule="auto"/>
            </w:pPr>
            <w:r>
              <w:rPr>
                <w:sz w:val="18"/>
              </w:rPr>
              <w:t>User data</w:t>
            </w:r>
          </w:p>
        </w:tc>
        <w:tc>
          <w:tcPr>
            <w:tcW w:type="dxa" w:w="3312"/>
            <w:vAlign w:val="center"/>
            <w:shd w:fill="FFFFFF"/>
          </w:tcPr>
          <w:p>
            <w:pPr>
              <w:spacing w:after="0" w:line="247" w:lineRule="auto"/>
            </w:pPr>
            <w:r>
              <w:rPr>
                <w:sz w:val="18"/>
              </w:rPr>
              <w:t>Remaining space</w:t>
            </w:r>
          </w:p>
        </w:tc>
        <w:tc>
          <w:tcPr>
            <w:tcW w:type="dxa" w:w="4392"/>
            <w:vAlign w:val="center"/>
            <w:shd w:fill="FFFFFF"/>
          </w:tcPr>
          <w:p>
            <w:pPr>
              <w:spacing w:after="0" w:line="247" w:lineRule="auto"/>
            </w:pPr>
            <w:r>
              <w:rPr>
                <w:sz w:val="18"/>
              </w:rPr>
              <w:t>Encrypted files, indexes, conversations and application state</w:t>
            </w:r>
          </w:p>
        </w:tc>
      </w:tr>
    </w:tbl>
    <w:p>
      <w:pPr>
        <w:spacing w:after="20"/>
      </w:pPr>
    </w:p>
    <w:p>
      <w:r>
        <w:t>These are partition planning allowances, not measured image sizes. A 256 GB SSD is the minimum proposed installation capacity; 512 GB or 1 TB is preferable for content generation and updates. The installer computes actual required space from the selected packages and refuses insufficient layouts. Full image and video model packs may exceed the base model-slot allowance and require separately versioned volumes.</w:t>
      </w:r>
    </w:p>
    <w:p>
      <w:pPr>
        <w:pStyle w:val="Heading2"/>
      </w:pPr>
      <w:r>
        <w:t>5.3 Installation workflow</w:t>
      </w:r>
    </w:p>
    <w:p>
      <w:r>
        <w:t>The installer inventories firmware, CPU architecture, RAM, storage, GPU, NPU, networking, audio, and input devices. It matches the complete machine against the hardware compatibility list, checks boot and disk space, and runs a small accelerator test. It shows target disk changes and requires explicit confirmation before partitioning or erasing existing data. It then installs the qualified image, creates the first user and recovery credentials, and performs offline first boot.</w:t>
      </w:r>
    </w:p>
    <w:p>
      <w:r>
        <w:t>Use separate x86-64 and ARM64 images. A common logical service API does not make their binaries or GPU runtimes interchangeable. If an accelerator is unsupported, the installer may offer an explicitly degraded CPU mode only if it passes that edition’s minimum functional tests. It must not silently advertise the normal performance tier.</w:t>
      </w:r>
    </w:p>
    <w:p>
      <w:pPr>
        <w:pStyle w:val="Heading2"/>
      </w:pPr>
      <w:r>
        <w:t>5.4 Updates and rollback</w:t>
      </w:r>
    </w:p>
    <w:p>
      <w:r>
        <w:t>Each release manifest binds OS, kernel, firmware, runtime ABI, skill ABI, tokenizer, model weights, quantization, backend compiler, and supported hardware profiles by version and digest. Stage an inactive slot, verify signatures and compatibility, run preflight checks, then select it for one trial boot. Mark the boot successful after deterministic services and model self-tests pass. After a bounded number of failed trial boots, restore the previous compatible set.</w:t>
      </w:r>
    </w:p>
    <w:p>
      <w:r>
        <w:t>Metadata schema migration uses an expand-and-contract strategy so the previous OS slot can read committed user data during the supported rollback window. Model cache files are disposable and keyed by runtime, compiler, model hash, and device. User files are never overwritten by OS rollback. Recovery images must include support for the installed encryption format and the current metadata schema.</w:t>
      </w:r>
    </w:p>
    <w:p>
      <w:pPr>
        <w:pStyle w:val="Heading1"/>
      </w:pPr>
      <w:r>
        <w:t>6 Skill package and execution design</w:t>
      </w:r>
    </w:p>
    <w:p>
      <w:pPr>
        <w:pStyle w:val="Heading2"/>
      </w:pPr>
      <w:r>
        <w:t>6.1 Package contract</w:t>
      </w:r>
    </w:p>
    <w:p>
      <w:r>
        <w:t>A skill archive contains manifest.json, input.schema.json, output.schema.json, executable binaries or workflow definitions, optional instruction text, test fixtures, and a software bill of materials. The manifest declares a stable reverse-domain ID, semantic version, publisher, compatible architectures, runtime ABI, capabilities, resource bounds, effect class, supported formats, and immutable content hashes. Tool descriptions describe intended use; enforcement uses the schemas and broker policy.</w:t>
      </w:r>
    </w:p>
    <w:p>
      <w:r>
        <w:t>Skill dependencies are pinned by digest. A package cannot fetch executable dependencies during a task unless it goes through the package manager and the user’s installation policy. Native binary and WASI variants can share a skill ID but need distinct build artifacts and qualification results. A signature identifies the publisher and integrity; it does not establish that the package is safe or correct.</w:t>
      </w:r>
    </w:p>
    <w:p>
      <w:pPr>
        <w:pStyle w:val="Heading2"/>
      </w:pPr>
      <w:r>
        <w:t>6.2 Activation and lifecycle</w:t>
      </w:r>
    </w:p>
    <w:p>
      <w:r>
        <w:t>Discovery lists metadata without loading the skill. Preparation verifies the package and reserves resources. A worker then starts in a sandbox, receives only the handles needed for one operation, executes, and returns staged outputs. The supervisor validates the response and releases leases after commit or abort. An idle timeout terminates eligible workers. Stateful editors explicitly hold a session lease and checkpoint through the artifact service.</w:t>
      </w:r>
    </w:p>
    <w:p>
      <w:pPr>
        <w:keepNext/>
        <w:jc w:val="center"/>
      </w:pPr>
      <w:r>
        <w:drawing>
          <wp:inline xmlns:a="http://schemas.openxmlformats.org/drawingml/2006/main" xmlns:pic="http://schemas.openxmlformats.org/drawingml/2006/picture">
            <wp:extent cx="6355080" cy="3358407"/>
            <wp:docPr id="2" name="Picture 2" descr="Skill lifecycle with preparation, execution, validation, commit, release and failure reconciliation."/>
            <wp:cNvGraphicFramePr>
              <a:graphicFrameLocks noChangeAspect="1"/>
            </wp:cNvGraphicFramePr>
            <a:graphic>
              <a:graphicData uri="http://schemas.openxmlformats.org/drawingml/2006/picture">
                <pic:pic>
                  <pic:nvPicPr>
                    <pic:cNvPr id="0" name="lifecycle.png"/>
                    <pic:cNvPicPr/>
                  </pic:nvPicPr>
                  <pic:blipFill>
                    <a:blip r:embed="rId15"/>
                    <a:stretch>
                      <a:fillRect/>
                    </a:stretch>
                  </pic:blipFill>
                  <pic:spPr>
                    <a:xfrm>
                      <a:off x="0" y="0"/>
                      <a:ext cx="6355080" cy="3358407"/>
                    </a:xfrm>
                    <a:prstGeom prst="rect"/>
                  </pic:spPr>
                </pic:pic>
              </a:graphicData>
            </a:graphic>
          </wp:inline>
        </w:drawing>
      </w:r>
    </w:p>
    <w:p>
      <w:r>
        <w:t>The model manager shares a loaded model across agent jobs where the backend supports it. Each job has separate context and authorization. Six workflow agents therefore do not require six copies of the same 9B weights. Concurrency still consumes additional KV or recurrent state, scratch buffers, and worker memory. Limit the base edition to one foreground generation and one queued or low-priority background inference task until measured budgets justify more.</w:t>
      </w:r>
    </w:p>
    <w:p>
      <w:pPr>
        <w:pStyle w:val="Heading2"/>
      </w:pPr>
      <w:r>
        <w:t>6.3 Sandbox profiles</w:t>
      </w:r>
    </w:p>
    <w:p>
      <w:r>
        <w:t>Use a WASI sandbox for small portable computation, a restricted Linux process or container for established content libraries, and a microVM for higher-risk generated code or untrusted native dependencies. Containers share the host kernel and are not equivalent to a VM. Each profile declares filesystem mounts, network access, syscall policy, CPU quota, memory ceiling, temporary storage, and timeout. Brokered file descriptors are preferred to broad directory mounts.</w:t>
      </w:r>
    </w:p>
    <w:p>
      <w:r>
        <w:t>By default, generated code has no network, no secrets, a read-only input snapshot, a private output directory, and a short execution budget. It can request additional grants through the same user interface. Package installation, host configuration, and device access are absent from this profile. GPU access goes through a qualified inference or rendering service; arbitrary code is not given unrestricted access to accelerator device nodes.</w:t>
      </w:r>
    </w:p>
    <w:p>
      <w:pPr>
        <w:pStyle w:val="Heading2"/>
      </w:pPr>
      <w:r>
        <w:t>6.4 Registry and capability selection</w:t>
      </w:r>
    </w:p>
    <w:p>
      <w:r>
        <w:t>The registry indexes skill names, descriptions, types, supported MIME formats, versions, and capabilities. Retrieval first filters by installation status, identity, architecture, resource availability, and permission. Semantic matching then ranks only eligible skills. The planner receives the top bounded set; it cannot call an unregistered string as a command. A schema mismatch returns a structured error and may trigger one bounded replan.</w:t>
      </w:r>
    </w:p>
    <w:p>
      <w:r>
        <w:t>Updates support active-version pinning: workflows continue using the version they began with, or checkpoint and migrate through a declared compatible transition. Removing a skill revokes new launches immediately and either drains or cancels existing workers according to effect class. A crashed skill is quarantined after a configured repeat-failure threshold.</w:t>
      </w:r>
    </w:p>
    <w:p>
      <w:pPr>
        <w:pStyle w:val="Heading1"/>
      </w:pPr>
      <w:r>
        <w:t>7 Inference runtime and model engineering</w:t>
      </w:r>
    </w:p>
    <w:p>
      <w:pPr>
        <w:pStyle w:val="Heading2"/>
      </w:pPr>
      <w:r>
        <w:t>7.1 Model roles</w:t>
      </w:r>
    </w:p>
    <w:p>
      <w:r>
        <w:t>The main assistant performs language understanding, grounded planning, summarization, and limited coding. A small classifier or rules engine handles command shortcuts and routing. Speech recognition, speech synthesis, embeddings, reranking, and vision use specialized assets as needed. A vision-language main model may combine image understanding with the planner, but audio output and image or video synthesis still need compatible decoding engines.</w:t>
      </w:r>
    </w:p>
    <w:p>
      <w:r>
        <w:t>A practical base image ships one main model plus small auxiliary models. A second 3–4B language model is optional when its battery or fallback benefit justifies additional storage and switching time. Do not keep both the compact and main model resident by default on a 32 GB machine. Optional specialist models are loaded for a task and evicted afterward.</w:t>
      </w:r>
    </w:p>
    <w:p>
      <w:pPr>
        <w:pStyle w:val="Heading2"/>
      </w:pPr>
      <w:r>
        <w:t>7.2 Candidate models and evaluation</w:t>
      </w:r>
    </w:p>
    <w:p>
      <w:r>
        <w:t xml:space="preserve">Qwen3.5-4B and Qwen3.5-9B are current candidates for compact and mainstream evaluations, respectively. Their model cards describe multimodal architecture and deployment requirements; compatibility with a particular NPU backend must be demonstrated. [S10, S11] Qwen3-8B is a useful conventional attention reference with 8.2B total parameters and grouped-query attention, and can serve as an alternative where runtime support is stronger. </w:t>
      </w:r>
      <w:hyperlink r:id="rId16">
        <w:r>
          <w:rPr>
            <w:color w:val="244F70"/>
          </w:rPr>
          <w:t>[S6]</w:t>
        </w:r>
      </w:hyperlink>
      <w:r>
        <w:t xml:space="preserve"> Phi-4-mini-instruct is another compact 3.8B candidate for text-oriented evaluation. </w:t>
      </w:r>
      <w:hyperlink r:id="rId17">
        <w:r>
          <w:rPr>
            <w:color w:val="244F70"/>
          </w:rPr>
          <w:t>[S7]</w:t>
        </w:r>
      </w:hyperlink>
      <w:r/>
    </w:p>
    <w:p>
      <w:r>
        <w:t>Choose the exact model using local OS tasks, not parameter count alone. Measure tool selection, argument correctness, file grounding, handling of ambiguous references, multilingual behavior for target languages, code-task completion, prompt-injection resistance, quantization loss, latency, energy, and memory. Models must be evaluated with the actual chat template, tokenizer, quantized files, and backend that will ship.</w:t>
      </w:r>
    </w:p>
    <w:p>
      <w:r>
        <w:t>Initial tuning should use curated demonstrations of typed plans and verified execution results. Fine-tune or distill for tool use only after a prompt and retrieval baseline exists. Training data should include unsuccessful operations, permission denials, partial results, conflicting files, and recovery examples. Do not train on users’ private files by default. Personalization belongs in explicit preferences and retrieval; weights remain immutable between signed releases.</w:t>
      </w:r>
    </w:p>
    <w:p>
      <w:pPr>
        <w:pStyle w:val="Heading2"/>
      </w:pPr>
      <w:r>
        <w:t>7.3 Scheduling and context management</w:t>
      </w:r>
    </w:p>
    <w:p>
      <w:r>
        <w:t>Separate interactive, system-assist, and background queues. Reserve compositor and capture resources before scheduling inference. Jobs declare prompt budget, output budget, model ID, modality, priority, deadline, and maximum memory. The manager performs admission control before allocating tensors. If resources are short, it reduces concurrent work, selects a smaller approved model, or queues the request with a visible explanation.</w:t>
      </w:r>
    </w:p>
    <w:p>
      <w:r>
        <w:t>The baseline main-model context limit is 8,192 tokens, with a 16,384-token qualified option. Retrieve relevant file chunks and summarize past steps rather than placing the entire drive or conversation history into context. Images and video frames consume backend-specific tokens and buffers. The selected runtime must account for these before accepting a job. Context prefixes and KV caches must never leak between users or unrelated security domains.</w:t>
      </w:r>
    </w:p>
    <w:p>
      <w:r>
        <w:t>Use bounded deliberation for interactive tools. A grammar can ensure the plan parses as the declared schema, but does not authorize its actions. Store a short decision summary and the actual tool trace for audit. Internal generated deliberation is not a security control or proof of execution.</w:t>
      </w:r>
    </w:p>
    <w:p>
      <w:pPr>
        <w:pStyle w:val="Heading2"/>
      </w:pPr>
      <w:r>
        <w:t>7.4 Backend contract</w:t>
      </w:r>
    </w:p>
    <w:p>
      <w:r>
        <w:t>Every adapter implements probe, supported_profiles, estimate_memory, load, prefill, decode, cancel, health, unload, and reset_recovery. A supported profile identifies architecture, precision, context shapes, modalities, and compiler version. Unsupported operators or tensor shapes produce an explicit error before execution where possible. A fallback to CPU or GPU is permitted only if the selected edition’s latency and memory policy allows it, and is reported in telemetry.</w:t>
      </w:r>
    </w:p>
    <w:p>
      <w:r>
        <w:t xml:space="preserve">Do not assume a GGUF model can be supplied unchanged to a vendor NPU runtime. Such runtimes may require ONNX graphs, vendor quantization layouts, fixed profiles, or precompiled artifacts. The current AMD Linux LLM instructions specify prepared models, do not support the hybrid flow on Linux, and describe 4K and 16K model collections. This narrows the first NPU certification scope. </w:t>
      </w:r>
      <w:hyperlink r:id="rId18">
        <w:r>
          <w:rPr>
            <w:color w:val="244F70"/>
          </w:rPr>
          <w:t>[S3]</w:t>
        </w:r>
      </w:hyperlink>
      <w:r>
        <w:t xml:space="preserve"> OpenVINO’s system and device documentation similarly requires compatible drivers and supported model operations. [S4, S5]</w:t>
      </w:r>
    </w:p>
    <w:p>
      <w:pPr>
        <w:pStyle w:val="Heading1"/>
      </w:pPr>
      <w:r>
        <w:t>8 Semantic filesystem and storage design</w:t>
      </w:r>
    </w:p>
    <w:p>
      <w:pPr>
        <w:pStyle w:val="Heading2"/>
      </w:pPr>
      <w:r>
        <w:t>8.1 Physical and semantic layers</w:t>
      </w:r>
    </w:p>
    <w:p>
      <w:r>
        <w:t>Use an established filesystem such as Btrfs for the R1 data volume, subject to the qualified distribution’s support. File bytes, block allocation, checksums, directory operations, and crash recovery remain deterministic. The semantic layer maintains object identities, tags, summaries, embeddings, collections, and provenance. Users can browse physical folders directly, while the LLM creates views such as “documents for the renewable energy project” or “receipts awaiting review.”</w:t>
      </w:r>
    </w:p>
    <w:p>
      <w:r>
        <w:t>A semantic collection is a query or a set of object IDs; assigning an item to it does not need to move the physical file. Default automatic organization updates reversible metadata and collections. Physical renames, moves, archival, or deletion follow a typed plan with a preview and the user’s policy. Existing applications keep ordinary path access. Locked files, symbolic links, hard links, sparse files, permissions, and timestamps must preserve declared filesystem semantics.</w:t>
      </w:r>
    </w:p>
    <w:p>
      <w:pPr>
        <w:pStyle w:val="Heading2"/>
      </w:pPr>
      <w:r>
        <w:t>8.2 Object and index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3312"/>
        <w:gridCol w:w="4392"/>
      </w:tblGrid>
      <w:tr>
        <w:trPr>
          <w:cantSplit/>
          <w:tblHeader/>
        </w:trPr>
        <w:tc>
          <w:tcPr>
            <w:tcW w:type="dxa" w:w="2376"/>
            <w:vAlign w:val="center"/>
            <w:shd w:fill="DCE6EE"/>
          </w:tcPr>
          <w:p>
            <w:pPr>
              <w:keepNext/>
              <w:spacing w:after="0" w:line="247" w:lineRule="auto"/>
            </w:pPr>
            <w:r>
              <w:rPr>
                <w:b/>
                <w:sz w:val="18"/>
              </w:rPr>
              <w:t>Record</w:t>
            </w:r>
          </w:p>
        </w:tc>
        <w:tc>
          <w:tcPr>
            <w:tcW w:type="dxa" w:w="3312"/>
            <w:vAlign w:val="center"/>
            <w:shd w:fill="DCE6EE"/>
          </w:tcPr>
          <w:p>
            <w:pPr>
              <w:keepNext/>
              <w:spacing w:after="0" w:line="247" w:lineRule="auto"/>
            </w:pPr>
            <w:r>
              <w:rPr>
                <w:b/>
                <w:sz w:val="18"/>
              </w:rPr>
              <w:t>Key fields</w:t>
            </w:r>
          </w:p>
        </w:tc>
        <w:tc>
          <w:tcPr>
            <w:tcW w:type="dxa" w:w="4392"/>
            <w:vAlign w:val="center"/>
            <w:shd w:fill="DCE6EE"/>
          </w:tcPr>
          <w:p>
            <w:pPr>
              <w:keepNext/>
              <w:spacing w:after="0" w:line="247" w:lineRule="auto"/>
            </w:pPr>
            <w:r>
              <w:rPr>
                <w:b/>
                <w:sz w:val="18"/>
              </w:rPr>
              <w:t>Invariant</w:t>
            </w:r>
          </w:p>
        </w:tc>
      </w:tr>
      <w:tr>
        <w:trPr>
          <w:cantSplit/>
        </w:trPr>
        <w:tc>
          <w:tcPr>
            <w:tcW w:type="dxa" w:w="2376"/>
            <w:vAlign w:val="center"/>
            <w:shd w:fill="FFFFFF"/>
          </w:tcPr>
          <w:p>
            <w:pPr>
              <w:spacing w:after="0" w:line="247" w:lineRule="auto"/>
            </w:pPr>
            <w:r>
              <w:rPr>
                <w:sz w:val="18"/>
              </w:rPr>
              <w:t>Object</w:t>
            </w:r>
          </w:p>
        </w:tc>
        <w:tc>
          <w:tcPr>
            <w:tcW w:type="dxa" w:w="3312"/>
            <w:vAlign w:val="center"/>
            <w:shd w:fill="FFFFFF"/>
          </w:tcPr>
          <w:p>
            <w:pPr>
              <w:spacing w:after="0" w:line="247" w:lineRule="auto"/>
            </w:pPr>
            <w:r>
              <w:rPr>
                <w:sz w:val="18"/>
              </w:rPr>
              <w:t>object_id, owner, current_version, lifecycle_state</w:t>
            </w:r>
          </w:p>
        </w:tc>
        <w:tc>
          <w:tcPr>
            <w:tcW w:type="dxa" w:w="4392"/>
            <w:vAlign w:val="center"/>
            <w:shd w:fill="FFFFFF"/>
          </w:tcPr>
          <w:p>
            <w:pPr>
              <w:spacing w:after="0" w:line="247" w:lineRule="auto"/>
            </w:pPr>
            <w:r>
              <w:rPr>
                <w:sz w:val="18"/>
              </w:rPr>
              <w:t>Stable ID survives supported rename and version changes</w:t>
            </w:r>
          </w:p>
        </w:tc>
      </w:tr>
      <w:tr>
        <w:trPr>
          <w:cantSplit/>
        </w:trPr>
        <w:tc>
          <w:tcPr>
            <w:tcW w:type="dxa" w:w="2376"/>
            <w:vAlign w:val="center"/>
            <w:shd w:fill="F6F8FA"/>
          </w:tcPr>
          <w:p>
            <w:pPr>
              <w:spacing w:after="0" w:line="247" w:lineRule="auto"/>
            </w:pPr>
            <w:r>
              <w:rPr>
                <w:sz w:val="18"/>
              </w:rPr>
              <w:t>Version</w:t>
            </w:r>
          </w:p>
        </w:tc>
        <w:tc>
          <w:tcPr>
            <w:tcW w:type="dxa" w:w="3312"/>
            <w:vAlign w:val="center"/>
            <w:shd w:fill="F6F8FA"/>
          </w:tcPr>
          <w:p>
            <w:pPr>
              <w:spacing w:after="0" w:line="247" w:lineRule="auto"/>
            </w:pPr>
            <w:r>
              <w:rPr>
                <w:sz w:val="18"/>
              </w:rPr>
              <w:t>version_id, object_id, content_hash, size, MIME, created_at</w:t>
            </w:r>
          </w:p>
        </w:tc>
        <w:tc>
          <w:tcPr>
            <w:tcW w:type="dxa" w:w="4392"/>
            <w:vAlign w:val="center"/>
            <w:shd w:fill="F6F8FA"/>
          </w:tcPr>
          <w:p>
            <w:pPr>
              <w:spacing w:after="0" w:line="247" w:lineRule="auto"/>
            </w:pPr>
            <w:r>
              <w:rPr>
                <w:sz w:val="18"/>
              </w:rPr>
              <w:t>Published versions are immutable</w:t>
            </w:r>
          </w:p>
        </w:tc>
      </w:tr>
      <w:tr>
        <w:trPr>
          <w:cantSplit/>
        </w:trPr>
        <w:tc>
          <w:tcPr>
            <w:tcW w:type="dxa" w:w="2376"/>
            <w:vAlign w:val="center"/>
            <w:shd w:fill="FFFFFF"/>
          </w:tcPr>
          <w:p>
            <w:pPr>
              <w:spacing w:after="0" w:line="247" w:lineRule="auto"/>
            </w:pPr>
            <w:r>
              <w:rPr>
                <w:sz w:val="18"/>
              </w:rPr>
              <w:t>PathBinding</w:t>
            </w:r>
          </w:p>
        </w:tc>
        <w:tc>
          <w:tcPr>
            <w:tcW w:type="dxa" w:w="3312"/>
            <w:vAlign w:val="center"/>
            <w:shd w:fill="FFFFFF"/>
          </w:tcPr>
          <w:p>
            <w:pPr>
              <w:spacing w:after="0" w:line="247" w:lineRule="auto"/>
            </w:pPr>
            <w:r>
              <w:rPr>
                <w:sz w:val="18"/>
              </w:rPr>
              <w:t>volume_id, path, object_id, binding_revision</w:t>
            </w:r>
          </w:p>
        </w:tc>
        <w:tc>
          <w:tcPr>
            <w:tcW w:type="dxa" w:w="4392"/>
            <w:vAlign w:val="center"/>
            <w:shd w:fill="FFFFFF"/>
          </w:tcPr>
          <w:p>
            <w:pPr>
              <w:spacing w:after="0" w:line="247" w:lineRule="auto"/>
            </w:pPr>
            <w:r>
              <w:rPr>
                <w:sz w:val="18"/>
              </w:rPr>
              <w:t>Paths are aliases, not universal identity</w:t>
            </w:r>
          </w:p>
        </w:tc>
      </w:tr>
      <w:tr>
        <w:trPr>
          <w:cantSplit/>
        </w:trPr>
        <w:tc>
          <w:tcPr>
            <w:tcW w:type="dxa" w:w="2376"/>
            <w:vAlign w:val="center"/>
            <w:shd w:fill="F6F8FA"/>
          </w:tcPr>
          <w:p>
            <w:pPr>
              <w:spacing w:after="0" w:line="247" w:lineRule="auto"/>
            </w:pPr>
            <w:r>
              <w:rPr>
                <w:sz w:val="18"/>
              </w:rPr>
              <w:t>Collection</w:t>
            </w:r>
          </w:p>
        </w:tc>
        <w:tc>
          <w:tcPr>
            <w:tcW w:type="dxa" w:w="3312"/>
            <w:vAlign w:val="center"/>
            <w:shd w:fill="F6F8FA"/>
          </w:tcPr>
          <w:p>
            <w:pPr>
              <w:spacing w:after="0" w:line="247" w:lineRule="auto"/>
            </w:pPr>
            <w:r>
              <w:rPr>
                <w:sz w:val="18"/>
              </w:rPr>
              <w:t>collection_id, owner, query or explicit membership</w:t>
            </w:r>
          </w:p>
        </w:tc>
        <w:tc>
          <w:tcPr>
            <w:tcW w:type="dxa" w:w="4392"/>
            <w:vAlign w:val="center"/>
            <w:shd w:fill="F6F8FA"/>
          </w:tcPr>
          <w:p>
            <w:pPr>
              <w:spacing w:after="0" w:line="247" w:lineRule="auto"/>
            </w:pPr>
            <w:r>
              <w:rPr>
                <w:sz w:val="18"/>
              </w:rPr>
              <w:t>Membership never grants file access</w:t>
            </w:r>
          </w:p>
        </w:tc>
      </w:tr>
      <w:tr>
        <w:trPr>
          <w:cantSplit/>
        </w:trPr>
        <w:tc>
          <w:tcPr>
            <w:tcW w:type="dxa" w:w="2376"/>
            <w:vAlign w:val="center"/>
            <w:shd w:fill="FFFFFF"/>
          </w:tcPr>
          <w:p>
            <w:pPr>
              <w:spacing w:after="0" w:line="247" w:lineRule="auto"/>
            </w:pPr>
            <w:r>
              <w:rPr>
                <w:sz w:val="18"/>
              </w:rPr>
              <w:t>Annotation</w:t>
            </w:r>
          </w:p>
        </w:tc>
        <w:tc>
          <w:tcPr>
            <w:tcW w:type="dxa" w:w="3312"/>
            <w:vAlign w:val="center"/>
            <w:shd w:fill="FFFFFF"/>
          </w:tcPr>
          <w:p>
            <w:pPr>
              <w:spacing w:after="0" w:line="247" w:lineRule="auto"/>
            </w:pPr>
            <w:r>
              <w:rPr>
                <w:sz w:val="18"/>
              </w:rPr>
              <w:t>object_id, version_id, type, value, confidence, origin</w:t>
            </w:r>
          </w:p>
        </w:tc>
        <w:tc>
          <w:tcPr>
            <w:tcW w:type="dxa" w:w="4392"/>
            <w:vAlign w:val="center"/>
            <w:shd w:fill="FFFFFF"/>
          </w:tcPr>
          <w:p>
            <w:pPr>
              <w:spacing w:after="0" w:line="247" w:lineRule="auto"/>
            </w:pPr>
            <w:r>
              <w:rPr>
                <w:sz w:val="18"/>
              </w:rPr>
              <w:t>Inferred metadata remains distinguishable from user metadata</w:t>
            </w:r>
          </w:p>
        </w:tc>
      </w:tr>
      <w:tr>
        <w:trPr>
          <w:cantSplit/>
        </w:trPr>
        <w:tc>
          <w:tcPr>
            <w:tcW w:type="dxa" w:w="2376"/>
            <w:vAlign w:val="center"/>
            <w:shd w:fill="F6F8FA"/>
          </w:tcPr>
          <w:p>
            <w:pPr>
              <w:spacing w:after="0" w:line="247" w:lineRule="auto"/>
            </w:pPr>
            <w:r>
              <w:rPr>
                <w:sz w:val="18"/>
              </w:rPr>
              <w:t>Chunk</w:t>
            </w:r>
          </w:p>
        </w:tc>
        <w:tc>
          <w:tcPr>
            <w:tcW w:type="dxa" w:w="3312"/>
            <w:vAlign w:val="center"/>
            <w:shd w:fill="F6F8FA"/>
          </w:tcPr>
          <w:p>
            <w:pPr>
              <w:spacing w:after="0" w:line="247" w:lineRule="auto"/>
            </w:pPr>
            <w:r>
              <w:rPr>
                <w:sz w:val="18"/>
              </w:rPr>
              <w:t>version_id, offsets, text_hash, embedding_model</w:t>
            </w:r>
          </w:p>
        </w:tc>
        <w:tc>
          <w:tcPr>
            <w:tcW w:type="dxa" w:w="4392"/>
            <w:vAlign w:val="center"/>
            <w:shd w:fill="F6F8FA"/>
          </w:tcPr>
          <w:p>
            <w:pPr>
              <w:spacing w:after="0" w:line="247" w:lineRule="auto"/>
            </w:pPr>
            <w:r>
              <w:rPr>
                <w:sz w:val="18"/>
              </w:rPr>
              <w:t>Rebuildable from the source version</w:t>
            </w:r>
          </w:p>
        </w:tc>
      </w:tr>
      <w:tr>
        <w:trPr>
          <w:cantSplit/>
        </w:trPr>
        <w:tc>
          <w:tcPr>
            <w:tcW w:type="dxa" w:w="2376"/>
            <w:vAlign w:val="center"/>
            <w:shd w:fill="FFFFFF"/>
          </w:tcPr>
          <w:p>
            <w:pPr>
              <w:spacing w:after="0" w:line="247" w:lineRule="auto"/>
            </w:pPr>
            <w:r>
              <w:rPr>
                <w:sz w:val="18"/>
              </w:rPr>
              <w:t>Permission</w:t>
            </w:r>
          </w:p>
        </w:tc>
        <w:tc>
          <w:tcPr>
            <w:tcW w:type="dxa" w:w="3312"/>
            <w:vAlign w:val="center"/>
            <w:shd w:fill="FFFFFF"/>
          </w:tcPr>
          <w:p>
            <w:pPr>
              <w:spacing w:after="0" w:line="247" w:lineRule="auto"/>
            </w:pPr>
            <w:r>
              <w:rPr>
                <w:sz w:val="18"/>
              </w:rPr>
              <w:t>principal, object_id, grant, revision</w:t>
            </w:r>
          </w:p>
        </w:tc>
        <w:tc>
          <w:tcPr>
            <w:tcW w:type="dxa" w:w="4392"/>
            <w:vAlign w:val="center"/>
            <w:shd w:fill="FFFFFF"/>
          </w:tcPr>
          <w:p>
            <w:pPr>
              <w:spacing w:after="0" w:line="247" w:lineRule="auto"/>
            </w:pPr>
            <w:r>
              <w:rPr>
                <w:sz w:val="18"/>
              </w:rPr>
              <w:t>Authorization checked again at execution</w:t>
            </w:r>
          </w:p>
        </w:tc>
      </w:tr>
      <w:tr>
        <w:trPr>
          <w:cantSplit/>
        </w:trPr>
        <w:tc>
          <w:tcPr>
            <w:tcW w:type="dxa" w:w="2376"/>
            <w:vAlign w:val="center"/>
            <w:shd w:fill="F6F8FA"/>
          </w:tcPr>
          <w:p>
            <w:pPr>
              <w:spacing w:after="0" w:line="247" w:lineRule="auto"/>
            </w:pPr>
            <w:r>
              <w:rPr>
                <w:sz w:val="18"/>
              </w:rPr>
              <w:t>Operation</w:t>
            </w:r>
          </w:p>
        </w:tc>
        <w:tc>
          <w:tcPr>
            <w:tcW w:type="dxa" w:w="3312"/>
            <w:vAlign w:val="center"/>
            <w:shd w:fill="F6F8FA"/>
          </w:tcPr>
          <w:p>
            <w:pPr>
              <w:spacing w:after="0" w:line="247" w:lineRule="auto"/>
            </w:pPr>
            <w:r>
              <w:rPr>
                <w:sz w:val="18"/>
              </w:rPr>
              <w:t>operation_id, plan_hash, status, preconditions, outputs</w:t>
            </w:r>
          </w:p>
        </w:tc>
        <w:tc>
          <w:tcPr>
            <w:tcW w:type="dxa" w:w="4392"/>
            <w:vAlign w:val="center"/>
            <w:shd w:fill="F6F8FA"/>
          </w:tcPr>
          <w:p>
            <w:pPr>
              <w:spacing w:after="0" w:line="247" w:lineRule="auto"/>
            </w:pPr>
            <w:r>
              <w:rPr>
                <w:sz w:val="18"/>
              </w:rPr>
              <w:t>Durable operation state supports reconciliation</w:t>
            </w:r>
          </w:p>
        </w:tc>
      </w:tr>
      <w:tr>
        <w:trPr>
          <w:cantSplit/>
        </w:trPr>
        <w:tc>
          <w:tcPr>
            <w:tcW w:type="dxa" w:w="2376"/>
            <w:vAlign w:val="center"/>
            <w:shd w:fill="FFFFFF"/>
          </w:tcPr>
          <w:p>
            <w:pPr>
              <w:spacing w:after="0" w:line="247" w:lineRule="auto"/>
            </w:pPr>
            <w:r>
              <w:rPr>
                <w:sz w:val="18"/>
              </w:rPr>
              <w:t>Provenance</w:t>
            </w:r>
          </w:p>
        </w:tc>
        <w:tc>
          <w:tcPr>
            <w:tcW w:type="dxa" w:w="3312"/>
            <w:vAlign w:val="center"/>
            <w:shd w:fill="FFFFFF"/>
          </w:tcPr>
          <w:p>
            <w:pPr>
              <w:spacing w:after="0" w:line="247" w:lineRule="auto"/>
            </w:pPr>
            <w:r>
              <w:rPr>
                <w:sz w:val="18"/>
              </w:rPr>
              <w:t>output_version, input_versions, skill_digest, model_digest</w:t>
            </w:r>
          </w:p>
        </w:tc>
        <w:tc>
          <w:tcPr>
            <w:tcW w:type="dxa" w:w="4392"/>
            <w:vAlign w:val="center"/>
            <w:shd w:fill="FFFFFF"/>
          </w:tcPr>
          <w:p>
            <w:pPr>
              <w:spacing w:after="0" w:line="247" w:lineRule="auto"/>
            </w:pPr>
            <w:r>
              <w:rPr>
                <w:sz w:val="18"/>
              </w:rPr>
              <w:t>Outputs link to the inputs actually used</w:t>
            </w:r>
          </w:p>
        </w:tc>
      </w:tr>
    </w:tbl>
    <w:p>
      <w:pPr>
        <w:spacing w:after="20"/>
      </w:pPr>
    </w:p>
    <w:p>
      <w:r>
        <w:t>The metadata database uses transactional SQLite with WAL on a single-user device; concurrency and scale tests determine whether a different database is needed later. Full-text and vector indexes are derived stores. Index corruption must never prevent normal file access. When external applications modify files, filesystem notifications trigger re-indexing, and periodic reconciliation repairs missed events. Inode reuse alone is insufficient to establish identity; use volume identity, maintained bindings, content change checks, and reconciliation rules.</w:t>
      </w:r>
    </w:p>
    <w:p>
      <w:pPr>
        <w:pStyle w:val="Heading2"/>
      </w:pPr>
      <w:r>
        <w:t>8.3 Local commit protocol</w:t>
      </w:r>
    </w:p>
    <w:p>
      <w:r>
        <w:t>The artifact service records PREPARED with input version preconditions and intended outputs, then writes new content to staging on the target filesystem. It flushes completed file data, verifies format and hashes, creates immutable version content, and flushes affected directories. It commits object-version references, operation status, and the indexing outbox in one metadata transaction. The namespace projection is then updated and reconciled from that authoritative metadata if interrupted.</w:t>
      </w:r>
    </w:p>
    <w:p>
      <w:r>
        <w:t>There is no universal atomic transaction spanning arbitrary filesystem writes, SQLite, application databases, and external APIs. Within the managed object store, publish immutable data before committing references so a crash leaves either the old committed version or a recoverable orphan. A native application editing a normal path uses the legacy-path reconciliation route; do not promise a transaction across its private save protocol. Multiple ordinary path updates may be partially visible and must be tracked as a multi-step operation.</w:t>
      </w:r>
    </w:p>
    <w:p>
      <w:pPr>
        <w:keepNext/>
        <w:jc w:val="center"/>
      </w:pPr>
      <w:r>
        <w:drawing>
          <wp:inline xmlns:a="http://schemas.openxmlformats.org/drawingml/2006/main" xmlns:pic="http://schemas.openxmlformats.org/drawingml/2006/picture">
            <wp:extent cx="6355080" cy="4070450"/>
            <wp:docPr id="3" name="Picture 3" descr="Managed storage commit ordering and crash recovery with an independently updated search index."/>
            <wp:cNvGraphicFramePr>
              <a:graphicFrameLocks noChangeAspect="1"/>
            </wp:cNvGraphicFramePr>
            <a:graphic>
              <a:graphicData uri="http://schemas.openxmlformats.org/drawingml/2006/picture">
                <pic:pic>
                  <pic:nvPicPr>
                    <pic:cNvPr id="0" name="storage.png"/>
                    <pic:cNvPicPr/>
                  </pic:nvPicPr>
                  <pic:blipFill>
                    <a:blip r:embed="rId19"/>
                    <a:stretch>
                      <a:fillRect/>
                    </a:stretch>
                  </pic:blipFill>
                  <pic:spPr>
                    <a:xfrm>
                      <a:off x="0" y="0"/>
                      <a:ext cx="6355080" cy="4070450"/>
                    </a:xfrm>
                    <a:prstGeom prst="rect"/>
                  </pic:spPr>
                </pic:pic>
              </a:graphicData>
            </a:graphic>
          </wp:inline>
        </w:drawing>
      </w:r>
    </w:p>
    <w:p>
      <w:r>
        <w:t>On restart, reconcile PREPARED and IN_PROGRESS operations. Unreferenced staged content is retained for recovery and later garbage collected; committed content is never deleted merely because the index has not caught up. If the filesystem commit completed but the client missed the receipt, the same idempotency key returns the original result. The broker uses directory handles and secure path resolution to resist symlink substitution and time-of-check/time-of-use races.</w:t>
      </w:r>
    </w:p>
    <w:p>
      <w:pPr>
        <w:pStyle w:val="Heading2"/>
      </w:pPr>
      <w:r>
        <w:t>8.4 Search privacy and lifecycle</w:t>
      </w:r>
    </w:p>
    <w:p>
      <w:r>
        <w:t>Filter candidate objects by the current principal and permission revision before returning content, snippets, or embeddings to a model. A revoked grant invalidates cached search results and model contexts carrying that data where feasible; subsequent operations must recheck authorization. Search cannot expose the existence of another user’s files through titles, counts, or previews.</w:t>
      </w:r>
    </w:p>
    <w:p>
      <w:r>
        <w:t>Deletion uses a recoverable tombstone and retention interval before physical removal. Backups, snapshots, exports, and remote copies have separate retention policies; the UI must distinguish deleting a live object from erasing every historical copy. Encryption at rest covers source files, conversation records, indexes, and temporary content. Embeddings and summaries are treated as potentially sensitive derivatives. Key rotation, lost-key recovery, and backup restore are independent tested workflows.</w:t>
      </w:r>
    </w:p>
    <w:p>
      <w:pPr>
        <w:pStyle w:val="Heading1"/>
      </w:pPr>
      <w:r>
        <w:t>9 Workflow orchestration and flash applications</w:t>
      </w:r>
    </w:p>
    <w:p>
      <w:pPr>
        <w:pStyle w:val="Heading2"/>
      </w:pPr>
      <w:r>
        <w:t>9.1 Planning and execution</w:t>
      </w:r>
    </w:p>
    <w:p>
      <w:r>
        <w:t>A plan is a directed acyclic graph of typed operations. Every node specifies skill ID and version, arguments, input references, expected effects, dependencies, deadlines, and retry policy. The engine rejects cycles, unknown skills, missing dependencies, inconsistent types, and out-of-scope resources. Planning uses a bounded number of iterations, initially three, with a maximum of 20 steps per workflow. Larger tasks become explicit subworkflows with progress checkpoints.</w:t>
      </w:r>
    </w:p>
    <w:p>
      <w:r>
        <w:t>Execution transitions through DRAFT, VALIDATED, AUTHORIZED, RUNNING, and then SUCCEEDED, FAILED, CANCELLED, or PARTIAL. WAITING_USER and WAITING_RESOURCE are durable suspension states. A model completion cannot directly set SUCCEEDED; only verified tool receipts and artifact commits can do so. Each node stores its own state and attempt number.</w:t>
      </w:r>
    </w:p>
    <w:p>
      <w:r>
        <w:t>Read-only operations may retry automatically with bounded backoff. Reversible local writes retry using the same idempotency key and preconditions. External commitments need provider idempotency or reconciliation; if their status is uncertain, mark UNKNOWN_EXTERNAL_STATUS and stop automatic replay. Compensation is a separate permitted action, not a claim that every effect can be rolled back.</w:t>
      </w:r>
    </w:p>
    <w:p>
      <w:pPr>
        <w:pStyle w:val="Heading2"/>
      </w:pPr>
      <w:r>
        <w:t>9.2 Resource and worker behavior</w:t>
      </w:r>
    </w:p>
    <w:p>
      <w:r>
        <w:t>A task begins with a resource estimate including main-model state, skill working set, source data, and output storage. The supervisor reserves the budget before worker creation. Workers checkpoint state in the workflow store instead of depending on a long-lived process. A spreadsheet skill can start for a workbook transformation and exit; an editor stays alive while its session is open. Both expose capabilities through the same interface.</w:t>
      </w:r>
    </w:p>
    <w:p>
      <w:r>
        <w:t>Cancellation revokes future launches immediately and sends a cooperative cancel to active workers. After a grace period the supervisor terminates eligible workers and marks incomplete staged output as aborted. A critical local commit may finish before reporting cancellation to preserve consistency. A sent email or completed payment cannot be undone by killing a worker; cancellation records the actual effect status.</w:t>
      </w:r>
    </w:p>
    <w:p>
      <w:pPr>
        <w:pStyle w:val="Heading2"/>
      </w:pPr>
      <w:r>
        <w:t>9.3 Worked personal workflow</w:t>
      </w:r>
    </w:p>
    <w:p>
      <w:r>
        <w:t>Request: “Use my electricity bills for January to June, compare monthly costs, create an editable sheet, and animate the trend.” Search returns only accessible candidate bills. The user selects among ambiguous accounts. Extraction produces amounts, currencies, billing dates, and source-page references. A deterministic calculation skill normalizes dates and sums values; it does not let the LLM invent missing amounts. The sheet contains formulas and source links. A chart skill creates an editable chart specification, and an animation skill renders a timeline from the same data. The output bundle receives provenance and a commit receipt.</w:t>
      </w:r>
    </w:p>
    <w:p>
      <w:r>
        <w:t>Acceptance checks include six covered months or an explicit missing-data warning, currency consistency, arithmetic reconciliation, formulas that recalculate, and an animation derived from the same series. No email is sent unless the request or an existing grant authorizes that separate effect.</w:t>
      </w:r>
    </w:p>
    <w:p>
      <w:pPr>
        <w:pStyle w:val="Heading2"/>
      </w:pPr>
      <w:r>
        <w:t>9.4 Worked enterprise and system workflows</w:t>
      </w:r>
    </w:p>
    <w:p>
      <w:r>
        <w:t>For “Compare these supplier quotations and prepare a purchase request,” adapters read granted documents, a deterministic engine calculates comparable costs, and the model summarizes assumptions. The OS saves a draft purchase request. Sending it into a procurement system is a separately authorized operation with an external receipt and reconciliation behavior.</w:t>
      </w:r>
    </w:p>
    <w:p>
      <w:r>
        <w:t>For “Keep the laptop quiet during this call and finish the video later,” the hardware skill applies a qualified energy profile, the scheduler pauses background generation, and audio retains priority. Firmware thermal protection continues independently. When the call ends, the profile expires or reverts, and the queued task resumes from a checkpoint.</w:t>
      </w:r>
    </w:p>
    <w:p>
      <w:pPr>
        <w:pStyle w:val="Heading1"/>
      </w:pPr>
      <w:r>
        <w:t>10 Multimodal interaction and content generation</w:t>
      </w:r>
    </w:p>
    <w:p>
      <w:pPr>
        <w:pStyle w:val="Heading2"/>
      </w:pPr>
      <w:r>
        <w:t>10.1 Input pipeline</w:t>
      </w:r>
    </w:p>
    <w:p>
      <w:r>
        <w:t>Each input event includes source, timestamp, modality, user/session identity, consent scope, and an artifact reference. Speech recognition produces text with confidence and time spans; the intent resolver confirms ambiguous names or numbers before consequential changes. Vision produces regions and grounded references. Screen capture comes from an explicit window or screen grant. Video is sampled or processed as a stream under a declared frame and resolution budget.</w:t>
      </w:r>
    </w:p>
    <w:p>
      <w:r>
        <w:t>For speech plus pointing, maintain a short synchronized event buffer and resolve references against the foreground canvas at the utterance timestamp. When the visible object changes, require re-resolution. Webcam and microphone use must have visible indicators and a quick stop control. Passive always-on capture is off by default. An optional local wake detector must run separately from the main LLM and have its own consent and power budget.</w:t>
      </w:r>
    </w:p>
    <w:p>
      <w:pPr>
        <w:pStyle w:val="Heading2"/>
      </w:pPr>
      <w:r>
        <w:t>10.2 Output engines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3312"/>
        <w:gridCol w:w="4392"/>
      </w:tblGrid>
      <w:tr>
        <w:trPr>
          <w:cantSplit/>
          <w:tblHeader/>
        </w:trPr>
        <w:tc>
          <w:tcPr>
            <w:tcW w:type="dxa" w:w="2376"/>
            <w:vAlign w:val="center"/>
            <w:shd w:fill="DCE6EE"/>
          </w:tcPr>
          <w:p>
            <w:pPr>
              <w:keepNext/>
              <w:spacing w:after="0" w:line="247" w:lineRule="auto"/>
            </w:pPr>
            <w:r>
              <w:rPr>
                <w:b/>
                <w:sz w:val="18"/>
              </w:rPr>
              <w:t>Output</w:t>
            </w:r>
          </w:p>
        </w:tc>
        <w:tc>
          <w:tcPr>
            <w:tcW w:type="dxa" w:w="3312"/>
            <w:vAlign w:val="center"/>
            <w:shd w:fill="DCE6EE"/>
          </w:tcPr>
          <w:p>
            <w:pPr>
              <w:keepNext/>
              <w:spacing w:after="0" w:line="247" w:lineRule="auto"/>
            </w:pPr>
            <w:r>
              <w:rPr>
                <w:b/>
                <w:sz w:val="18"/>
              </w:rPr>
              <w:t>Model responsibility</w:t>
            </w:r>
          </w:p>
        </w:tc>
        <w:tc>
          <w:tcPr>
            <w:tcW w:type="dxa" w:w="4392"/>
            <w:vAlign w:val="center"/>
            <w:shd w:fill="DCE6EE"/>
          </w:tcPr>
          <w:p>
            <w:pPr>
              <w:keepNext/>
              <w:spacing w:after="0" w:line="247" w:lineRule="auto"/>
            </w:pPr>
            <w:r>
              <w:rPr>
                <w:b/>
                <w:sz w:val="18"/>
              </w:rPr>
              <w:t>Deterministic engine and acceptance</w:t>
            </w:r>
          </w:p>
        </w:tc>
      </w:tr>
      <w:tr>
        <w:trPr>
          <w:cantSplit/>
        </w:trPr>
        <w:tc>
          <w:tcPr>
            <w:tcW w:type="dxa" w:w="2376"/>
            <w:vAlign w:val="center"/>
            <w:shd w:fill="FFFFFF"/>
          </w:tcPr>
          <w:p>
            <w:pPr>
              <w:spacing w:after="0" w:line="247" w:lineRule="auto"/>
            </w:pPr>
            <w:r>
              <w:rPr>
                <w:sz w:val="18"/>
              </w:rPr>
              <w:t>Data tables</w:t>
            </w:r>
          </w:p>
        </w:tc>
        <w:tc>
          <w:tcPr>
            <w:tcW w:type="dxa" w:w="3312"/>
            <w:vAlign w:val="center"/>
            <w:shd w:fill="FFFFFF"/>
          </w:tcPr>
          <w:p>
            <w:pPr>
              <w:spacing w:after="0" w:line="247" w:lineRule="auto"/>
            </w:pPr>
            <w:r>
              <w:rPr>
                <w:sz w:val="18"/>
              </w:rPr>
              <w:t>Propose extraction and transformation</w:t>
            </w:r>
          </w:p>
        </w:tc>
        <w:tc>
          <w:tcPr>
            <w:tcW w:type="dxa" w:w="4392"/>
            <w:vAlign w:val="center"/>
            <w:shd w:fill="FFFFFF"/>
          </w:tcPr>
          <w:p>
            <w:pPr>
              <w:spacing w:after="0" w:line="247" w:lineRule="auto"/>
            </w:pPr>
            <w:r>
              <w:rPr>
                <w:sz w:val="18"/>
              </w:rPr>
              <w:t>Typed dataframe operations; schema and arithmetic checks</w:t>
            </w:r>
          </w:p>
        </w:tc>
      </w:tr>
      <w:tr>
        <w:trPr>
          <w:cantSplit/>
        </w:trPr>
        <w:tc>
          <w:tcPr>
            <w:tcW w:type="dxa" w:w="2376"/>
            <w:vAlign w:val="center"/>
            <w:shd w:fill="F6F8FA"/>
          </w:tcPr>
          <w:p>
            <w:pPr>
              <w:spacing w:after="0" w:line="247" w:lineRule="auto"/>
            </w:pPr>
            <w:r>
              <w:rPr>
                <w:sz w:val="18"/>
              </w:rPr>
              <w:t>Spreadsheets</w:t>
            </w:r>
          </w:p>
        </w:tc>
        <w:tc>
          <w:tcPr>
            <w:tcW w:type="dxa" w:w="3312"/>
            <w:vAlign w:val="center"/>
            <w:shd w:fill="F6F8FA"/>
          </w:tcPr>
          <w:p>
            <w:pPr>
              <w:spacing w:after="0" w:line="247" w:lineRule="auto"/>
            </w:pPr>
            <w:r>
              <w:rPr>
                <w:sz w:val="18"/>
              </w:rPr>
              <w:t>Select structure and formulas</w:t>
            </w:r>
          </w:p>
        </w:tc>
        <w:tc>
          <w:tcPr>
            <w:tcW w:type="dxa" w:w="4392"/>
            <w:vAlign w:val="center"/>
            <w:shd w:fill="F6F8FA"/>
          </w:tcPr>
          <w:p>
            <w:pPr>
              <w:spacing w:after="0" w:line="247" w:lineRule="auto"/>
            </w:pPr>
            <w:r>
              <w:rPr>
                <w:sz w:val="18"/>
              </w:rPr>
              <w:t>Workbook engine; real formulas; recalculate and reopen test</w:t>
            </w:r>
          </w:p>
        </w:tc>
      </w:tr>
      <w:tr>
        <w:trPr>
          <w:cantSplit/>
        </w:trPr>
        <w:tc>
          <w:tcPr>
            <w:tcW w:type="dxa" w:w="2376"/>
            <w:vAlign w:val="center"/>
            <w:shd w:fill="FFFFFF"/>
          </w:tcPr>
          <w:p>
            <w:pPr>
              <w:spacing w:after="0" w:line="247" w:lineRule="auto"/>
            </w:pPr>
            <w:r>
              <w:rPr>
                <w:sz w:val="18"/>
              </w:rPr>
              <w:t>Documents and presentations</w:t>
            </w:r>
          </w:p>
        </w:tc>
        <w:tc>
          <w:tcPr>
            <w:tcW w:type="dxa" w:w="3312"/>
            <w:vAlign w:val="center"/>
            <w:shd w:fill="FFFFFF"/>
          </w:tcPr>
          <w:p>
            <w:pPr>
              <w:spacing w:after="0" w:line="247" w:lineRule="auto"/>
            </w:pPr>
            <w:r>
              <w:rPr>
                <w:sz w:val="18"/>
              </w:rPr>
              <w:t>Draft content and layout intent</w:t>
            </w:r>
          </w:p>
        </w:tc>
        <w:tc>
          <w:tcPr>
            <w:tcW w:type="dxa" w:w="4392"/>
            <w:vAlign w:val="center"/>
            <w:shd w:fill="FFFFFF"/>
          </w:tcPr>
          <w:p>
            <w:pPr>
              <w:spacing w:after="0" w:line="247" w:lineRule="auto"/>
            </w:pPr>
            <w:r>
              <w:rPr>
                <w:sz w:val="18"/>
              </w:rPr>
              <w:t>Format-specific libraries; render and inspect layout</w:t>
            </w:r>
          </w:p>
        </w:tc>
      </w:tr>
      <w:tr>
        <w:trPr>
          <w:cantSplit/>
        </w:trPr>
        <w:tc>
          <w:tcPr>
            <w:tcW w:type="dxa" w:w="2376"/>
            <w:vAlign w:val="center"/>
            <w:shd w:fill="F6F8FA"/>
          </w:tcPr>
          <w:p>
            <w:pPr>
              <w:spacing w:after="0" w:line="247" w:lineRule="auto"/>
            </w:pPr>
            <w:r>
              <w:rPr>
                <w:sz w:val="18"/>
              </w:rPr>
              <w:t>Charts and diagrams</w:t>
            </w:r>
          </w:p>
        </w:tc>
        <w:tc>
          <w:tcPr>
            <w:tcW w:type="dxa" w:w="3312"/>
            <w:vAlign w:val="center"/>
            <w:shd w:fill="F6F8FA"/>
          </w:tcPr>
          <w:p>
            <w:pPr>
              <w:spacing w:after="0" w:line="247" w:lineRule="auto"/>
            </w:pPr>
            <w:r>
              <w:rPr>
                <w:sz w:val="18"/>
              </w:rPr>
              <w:t>Select encoding and describe relations</w:t>
            </w:r>
          </w:p>
        </w:tc>
        <w:tc>
          <w:tcPr>
            <w:tcW w:type="dxa" w:w="4392"/>
            <w:vAlign w:val="center"/>
            <w:shd w:fill="F6F8FA"/>
          </w:tcPr>
          <w:p>
            <w:pPr>
              <w:spacing w:after="0" w:line="247" w:lineRule="auto"/>
            </w:pPr>
            <w:r>
              <w:rPr>
                <w:sz w:val="18"/>
              </w:rPr>
              <w:t>Structured chart or graph specification; valid labels and source values</w:t>
            </w:r>
          </w:p>
        </w:tc>
      </w:tr>
      <w:tr>
        <w:trPr>
          <w:cantSplit/>
        </w:trPr>
        <w:tc>
          <w:tcPr>
            <w:tcW w:type="dxa" w:w="2376"/>
            <w:vAlign w:val="center"/>
            <w:shd w:fill="FFFFFF"/>
          </w:tcPr>
          <w:p>
            <w:pPr>
              <w:spacing w:after="0" w:line="247" w:lineRule="auto"/>
            </w:pPr>
            <w:r>
              <w:rPr>
                <w:sz w:val="18"/>
              </w:rPr>
              <w:t>Programmatic animation</w:t>
            </w:r>
          </w:p>
        </w:tc>
        <w:tc>
          <w:tcPr>
            <w:tcW w:type="dxa" w:w="3312"/>
            <w:vAlign w:val="center"/>
            <w:shd w:fill="FFFFFF"/>
          </w:tcPr>
          <w:p>
            <w:pPr>
              <w:spacing w:after="0" w:line="247" w:lineRule="auto"/>
            </w:pPr>
            <w:r>
              <w:rPr>
                <w:sz w:val="18"/>
              </w:rPr>
              <w:t>Produce timeline and scene specification</w:t>
            </w:r>
          </w:p>
        </w:tc>
        <w:tc>
          <w:tcPr>
            <w:tcW w:type="dxa" w:w="4392"/>
            <w:vAlign w:val="center"/>
            <w:shd w:fill="FFFFFF"/>
          </w:tcPr>
          <w:p>
            <w:pPr>
              <w:spacing w:after="0" w:line="247" w:lineRule="auto"/>
            </w:pPr>
            <w:r>
              <w:rPr>
                <w:sz w:val="18"/>
              </w:rPr>
              <w:t>SVG, canvas or scene renderer; editable source and rendered preview</w:t>
            </w:r>
          </w:p>
        </w:tc>
      </w:tr>
      <w:tr>
        <w:trPr>
          <w:cantSplit/>
        </w:trPr>
        <w:tc>
          <w:tcPr>
            <w:tcW w:type="dxa" w:w="2376"/>
            <w:vAlign w:val="center"/>
            <w:shd w:fill="F6F8FA"/>
          </w:tcPr>
          <w:p>
            <w:pPr>
              <w:spacing w:after="0" w:line="247" w:lineRule="auto"/>
            </w:pPr>
            <w:r>
              <w:rPr>
                <w:sz w:val="18"/>
              </w:rPr>
              <w:t>Images</w:t>
            </w:r>
          </w:p>
        </w:tc>
        <w:tc>
          <w:tcPr>
            <w:tcW w:type="dxa" w:w="3312"/>
            <w:vAlign w:val="center"/>
            <w:shd w:fill="F6F8FA"/>
          </w:tcPr>
          <w:p>
            <w:pPr>
              <w:spacing w:after="0" w:line="247" w:lineRule="auto"/>
            </w:pPr>
            <w:r>
              <w:rPr>
                <w:sz w:val="18"/>
              </w:rPr>
              <w:t>Produce prompt and constraints</w:t>
            </w:r>
          </w:p>
        </w:tc>
        <w:tc>
          <w:tcPr>
            <w:tcW w:type="dxa" w:w="4392"/>
            <w:vAlign w:val="center"/>
            <w:shd w:fill="F6F8FA"/>
          </w:tcPr>
          <w:p>
            <w:pPr>
              <w:spacing w:after="0" w:line="247" w:lineRule="auto"/>
            </w:pPr>
            <w:r>
              <w:rPr>
                <w:sz w:val="18"/>
              </w:rPr>
              <w:t>Optional image-generation model; resource and output checks</w:t>
            </w:r>
          </w:p>
        </w:tc>
      </w:tr>
      <w:tr>
        <w:trPr>
          <w:cantSplit/>
        </w:trPr>
        <w:tc>
          <w:tcPr>
            <w:tcW w:type="dxa" w:w="2376"/>
            <w:vAlign w:val="center"/>
            <w:shd w:fill="FFFFFF"/>
          </w:tcPr>
          <w:p>
            <w:pPr>
              <w:spacing w:after="0" w:line="247" w:lineRule="auto"/>
            </w:pPr>
            <w:r>
              <w:rPr>
                <w:sz w:val="18"/>
              </w:rPr>
              <w:t>Video synthesis</w:t>
            </w:r>
          </w:p>
        </w:tc>
        <w:tc>
          <w:tcPr>
            <w:tcW w:type="dxa" w:w="3312"/>
            <w:vAlign w:val="center"/>
            <w:shd w:fill="FFFFFF"/>
          </w:tcPr>
          <w:p>
            <w:pPr>
              <w:spacing w:after="0" w:line="247" w:lineRule="auto"/>
            </w:pPr>
            <w:r>
              <w:rPr>
                <w:sz w:val="18"/>
              </w:rPr>
              <w:t>Produce storyboard and clips plan</w:t>
            </w:r>
          </w:p>
        </w:tc>
        <w:tc>
          <w:tcPr>
            <w:tcW w:type="dxa" w:w="4392"/>
            <w:vAlign w:val="center"/>
            <w:shd w:fill="FFFFFF"/>
          </w:tcPr>
          <w:p>
            <w:pPr>
              <w:spacing w:after="0" w:line="247" w:lineRule="auto"/>
            </w:pPr>
            <w:r>
              <w:rPr>
                <w:sz w:val="18"/>
              </w:rPr>
              <w:t>Optional heavy generative pipeline; explicit hardware and duration limits</w:t>
            </w:r>
          </w:p>
        </w:tc>
      </w:tr>
      <w:tr>
        <w:trPr>
          <w:cantSplit/>
        </w:trPr>
        <w:tc>
          <w:tcPr>
            <w:tcW w:type="dxa" w:w="2376"/>
            <w:vAlign w:val="center"/>
            <w:shd w:fill="F6F8FA"/>
          </w:tcPr>
          <w:p>
            <w:pPr>
              <w:spacing w:after="0" w:line="247" w:lineRule="auto"/>
            </w:pPr>
            <w:r>
              <w:rPr>
                <w:sz w:val="18"/>
              </w:rPr>
              <w:t>Custom code</w:t>
            </w:r>
          </w:p>
        </w:tc>
        <w:tc>
          <w:tcPr>
            <w:tcW w:type="dxa" w:w="3312"/>
            <w:vAlign w:val="center"/>
            <w:shd w:fill="F6F8FA"/>
          </w:tcPr>
          <w:p>
            <w:pPr>
              <w:spacing w:after="0" w:line="247" w:lineRule="auto"/>
            </w:pPr>
            <w:r>
              <w:rPr>
                <w:sz w:val="18"/>
              </w:rPr>
              <w:t>Generate source and tests</w:t>
            </w:r>
          </w:p>
        </w:tc>
        <w:tc>
          <w:tcPr>
            <w:tcW w:type="dxa" w:w="4392"/>
            <w:vAlign w:val="center"/>
            <w:shd w:fill="F6F8FA"/>
          </w:tcPr>
          <w:p>
            <w:pPr>
              <w:spacing w:after="0" w:line="247" w:lineRule="auto"/>
            </w:pPr>
            <w:r>
              <w:rPr>
                <w:sz w:val="18"/>
              </w:rPr>
              <w:t>Isolated build and execution; dependency locks; output validation</w:t>
            </w:r>
          </w:p>
        </w:tc>
      </w:tr>
    </w:tbl>
    <w:p>
      <w:pPr>
        <w:spacing w:after="20"/>
      </w:pPr>
    </w:p>
    <w:p>
      <w:r>
        <w:t>The language model should request operations such as group_by, sum, plot, and export rather than calculate a financial table in prose. Generated or estimated data must be labeled, and unknown source values remain unknown. Complex documents need layout verification in addition to a syntactically valid file. A valid archive is not sufficient evidence of a usable spreadsheet or presentation.</w:t>
      </w:r>
    </w:p>
    <w:p>
      <w:pPr>
        <w:pStyle w:val="Heading2"/>
      </w:pPr>
      <w:r>
        <w:t>10.3 Code generation workflow</w:t>
      </w:r>
    </w:p>
    <w:p>
      <w:r>
        <w:t>The code skill receives a task contract, allowed libraries, input schema, expected outputs, time budget, and execution profile. It generates source into a workspace, performs static checks, builds in isolation, and runs meaningful tests against the task contract. The artifact service inspects outputs for type, size, and allowed content before publishing. Dependency resolution uses a signed, pinned cache; arbitrary internet package installation is disabled in the default worker profile.</w:t>
      </w:r>
    </w:p>
    <w:p>
      <w:r>
        <w:t>The user can inspect and export source. Promoting generated code into a reusable installed skill requires a manifest, declared capabilities, tests, and package signing or local developer approval. Promotion does not grant hardware privileges. The OS must clearly distinguish generated drafts, validated local outputs, and installed persistent applications.</w:t>
      </w:r>
    </w:p>
    <w:p>
      <w:pPr>
        <w:pStyle w:val="Heading2"/>
      </w:pPr>
      <w:r>
        <w:t>10.4 Accessibility and interaction continuity</w:t>
      </w:r>
    </w:p>
    <w:p>
      <w:r>
        <w:t>The desktop supports keyboard-only operation, screen-reader metadata, captioned speech output, text alternatives for sound, and reduced-motion preferences. Chat responses can be interrupted. The activity view provides progress and errors even while the model is unavailable. Long generation runs return early with a job ID and estimated status, then deliver an artifact when completed; they must not freeze input or make an idle microphone appear active.</w:t>
      </w:r>
    </w:p>
    <w:p>
      <w:pPr>
        <w:pStyle w:val="Heading1"/>
      </w:pPr>
      <w:r>
        <w:t>11 Existing application compatibility</w:t>
      </w:r>
    </w:p>
    <w:p>
      <w:pPr>
        <w:pStyle w:val="Heading2"/>
      </w:pPr>
      <w:r>
        <w:t>11.1 Compatibility strategy</w:t>
      </w:r>
    </w:p>
    <w:p>
      <w:r>
        <w:t>Support conventional applications through adapters that advertise typed capabilities. Preferred interfaces are stable application APIs, CLI commands with structured arguments, document formats, and desktop IPC. Accessibility automation is a fallback and must verify the visible target before each effect. Screen-coordinate scripts are too fragile to serve as the main integration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3312"/>
        <w:gridCol w:w="4392"/>
      </w:tblGrid>
      <w:tr>
        <w:trPr>
          <w:cantSplit/>
          <w:tblHeader/>
        </w:trPr>
        <w:tc>
          <w:tcPr>
            <w:tcW w:type="dxa" w:w="2376"/>
            <w:vAlign w:val="center"/>
            <w:shd w:fill="DCE6EE"/>
          </w:tcPr>
          <w:p>
            <w:pPr>
              <w:keepNext/>
              <w:spacing w:after="0" w:line="247" w:lineRule="auto"/>
            </w:pPr>
            <w:r>
              <w:rPr>
                <w:b/>
                <w:sz w:val="18"/>
              </w:rPr>
              <w:t>Application class</w:t>
            </w:r>
          </w:p>
        </w:tc>
        <w:tc>
          <w:tcPr>
            <w:tcW w:type="dxa" w:w="3312"/>
            <w:vAlign w:val="center"/>
            <w:shd w:fill="DCE6EE"/>
          </w:tcPr>
          <w:p>
            <w:pPr>
              <w:keepNext/>
              <w:spacing w:after="0" w:line="247" w:lineRule="auto"/>
            </w:pPr>
            <w:r>
              <w:rPr>
                <w:b/>
                <w:sz w:val="18"/>
              </w:rPr>
              <w:t>Proposed execution</w:t>
            </w:r>
          </w:p>
        </w:tc>
        <w:tc>
          <w:tcPr>
            <w:tcW w:type="dxa" w:w="4392"/>
            <w:vAlign w:val="center"/>
            <w:shd w:fill="DCE6EE"/>
          </w:tcPr>
          <w:p>
            <w:pPr>
              <w:keepNext/>
              <w:spacing w:after="0" w:line="247" w:lineRule="auto"/>
            </w:pPr>
            <w:r>
              <w:rPr>
                <w:b/>
                <w:sz w:val="18"/>
              </w:rPr>
              <w:t>Support commitment</w:t>
            </w:r>
          </w:p>
        </w:tc>
      </w:tr>
      <w:tr>
        <w:trPr>
          <w:cantSplit/>
        </w:trPr>
        <w:tc>
          <w:tcPr>
            <w:tcW w:type="dxa" w:w="2376"/>
            <w:vAlign w:val="center"/>
            <w:shd w:fill="FFFFFF"/>
          </w:tcPr>
          <w:p>
            <w:pPr>
              <w:spacing w:after="0" w:line="247" w:lineRule="auto"/>
            </w:pPr>
            <w:r>
              <w:rPr>
                <w:sz w:val="18"/>
              </w:rPr>
              <w:t>Native Linux x86-64</w:t>
            </w:r>
          </w:p>
        </w:tc>
        <w:tc>
          <w:tcPr>
            <w:tcW w:type="dxa" w:w="3312"/>
            <w:vAlign w:val="center"/>
            <w:shd w:fill="FFFFFF"/>
          </w:tcPr>
          <w:p>
            <w:pPr>
              <w:spacing w:after="0" w:line="247" w:lineRule="auto"/>
            </w:pPr>
            <w:r>
              <w:rPr>
                <w:sz w:val="18"/>
              </w:rPr>
              <w:t>Qualified packages and sandboxed adapters</w:t>
            </w:r>
          </w:p>
        </w:tc>
        <w:tc>
          <w:tcPr>
            <w:tcW w:type="dxa" w:w="4392"/>
            <w:vAlign w:val="center"/>
            <w:shd w:fill="FFFFFF"/>
          </w:tcPr>
          <w:p>
            <w:pPr>
              <w:spacing w:after="0" w:line="247" w:lineRule="auto"/>
            </w:pPr>
            <w:r>
              <w:rPr>
                <w:sz w:val="18"/>
              </w:rPr>
              <w:t>R1 named application and version list</w:t>
            </w:r>
          </w:p>
        </w:tc>
      </w:tr>
      <w:tr>
        <w:trPr>
          <w:cantSplit/>
        </w:trPr>
        <w:tc>
          <w:tcPr>
            <w:tcW w:type="dxa" w:w="2376"/>
            <w:vAlign w:val="center"/>
            <w:shd w:fill="F6F8FA"/>
          </w:tcPr>
          <w:p>
            <w:pPr>
              <w:spacing w:after="0" w:line="247" w:lineRule="auto"/>
            </w:pPr>
            <w:r>
              <w:rPr>
                <w:sz w:val="18"/>
              </w:rPr>
              <w:t>Web applications</w:t>
            </w:r>
          </w:p>
        </w:tc>
        <w:tc>
          <w:tcPr>
            <w:tcW w:type="dxa" w:w="3312"/>
            <w:vAlign w:val="center"/>
            <w:shd w:fill="F6F8FA"/>
          </w:tcPr>
          <w:p>
            <w:pPr>
              <w:spacing w:after="0" w:line="247" w:lineRule="auto"/>
            </w:pPr>
            <w:r>
              <w:rPr>
                <w:sz w:val="18"/>
              </w:rPr>
              <w:t>Browser or PWA with explicit authentication and site permissions</w:t>
            </w:r>
          </w:p>
        </w:tc>
        <w:tc>
          <w:tcPr>
            <w:tcW w:type="dxa" w:w="4392"/>
            <w:vAlign w:val="center"/>
            <w:shd w:fill="F6F8FA"/>
          </w:tcPr>
          <w:p>
            <w:pPr>
              <w:spacing w:after="0" w:line="247" w:lineRule="auto"/>
            </w:pPr>
            <w:r>
              <w:rPr>
                <w:sz w:val="18"/>
              </w:rPr>
              <w:t>R1 selected integrations; network dependence disclosed</w:t>
            </w:r>
          </w:p>
        </w:tc>
      </w:tr>
      <w:tr>
        <w:trPr>
          <w:cantSplit/>
        </w:trPr>
        <w:tc>
          <w:tcPr>
            <w:tcW w:type="dxa" w:w="2376"/>
            <w:vAlign w:val="center"/>
            <w:shd w:fill="FFFFFF"/>
          </w:tcPr>
          <w:p>
            <w:pPr>
              <w:spacing w:after="0" w:line="247" w:lineRule="auto"/>
            </w:pPr>
            <w:r>
              <w:rPr>
                <w:sz w:val="18"/>
              </w:rPr>
              <w:t>Portable computation</w:t>
            </w:r>
          </w:p>
        </w:tc>
        <w:tc>
          <w:tcPr>
            <w:tcW w:type="dxa" w:w="3312"/>
            <w:vAlign w:val="center"/>
            <w:shd w:fill="FFFFFF"/>
          </w:tcPr>
          <w:p>
            <w:pPr>
              <w:spacing w:after="0" w:line="247" w:lineRule="auto"/>
            </w:pPr>
            <w:r>
              <w:rPr>
                <w:sz w:val="18"/>
              </w:rPr>
              <w:t>WASI component or containerized skill</w:t>
            </w:r>
          </w:p>
        </w:tc>
        <w:tc>
          <w:tcPr>
            <w:tcW w:type="dxa" w:w="4392"/>
            <w:vAlign w:val="center"/>
            <w:shd w:fill="FFFFFF"/>
          </w:tcPr>
          <w:p>
            <w:pPr>
              <w:spacing w:after="0" w:line="247" w:lineRule="auto"/>
            </w:pPr>
            <w:r>
              <w:rPr>
                <w:sz w:val="18"/>
              </w:rPr>
              <w:t>R1 qualified runtime profiles</w:t>
            </w:r>
          </w:p>
        </w:tc>
      </w:tr>
      <w:tr>
        <w:trPr>
          <w:cantSplit/>
        </w:trPr>
        <w:tc>
          <w:tcPr>
            <w:tcW w:type="dxa" w:w="2376"/>
            <w:vAlign w:val="center"/>
            <w:shd w:fill="F6F8FA"/>
          </w:tcPr>
          <w:p>
            <w:pPr>
              <w:spacing w:after="0" w:line="247" w:lineRule="auto"/>
            </w:pPr>
            <w:r>
              <w:rPr>
                <w:sz w:val="18"/>
              </w:rPr>
              <w:t>Linux ARM64</w:t>
            </w:r>
          </w:p>
        </w:tc>
        <w:tc>
          <w:tcPr>
            <w:tcW w:type="dxa" w:w="3312"/>
            <w:vAlign w:val="center"/>
            <w:shd w:fill="F6F8FA"/>
          </w:tcPr>
          <w:p>
            <w:pPr>
              <w:spacing w:after="0" w:line="247" w:lineRule="auto"/>
            </w:pPr>
            <w:r>
              <w:rPr>
                <w:sz w:val="18"/>
              </w:rPr>
              <w:t>Rebuilt native packages</w:t>
            </w:r>
          </w:p>
        </w:tc>
        <w:tc>
          <w:tcPr>
            <w:tcW w:type="dxa" w:w="4392"/>
            <w:vAlign w:val="center"/>
            <w:shd w:fill="F6F8FA"/>
          </w:tcPr>
          <w:p>
            <w:pPr>
              <w:spacing w:after="0" w:line="247" w:lineRule="auto"/>
            </w:pPr>
            <w:r>
              <w:rPr>
                <w:sz w:val="18"/>
              </w:rPr>
              <w:t>R2 separate ARM64 qualification</w:t>
            </w:r>
          </w:p>
        </w:tc>
      </w:tr>
      <w:tr>
        <w:trPr>
          <w:cantSplit/>
        </w:trPr>
        <w:tc>
          <w:tcPr>
            <w:tcW w:type="dxa" w:w="2376"/>
            <w:vAlign w:val="center"/>
            <w:shd w:fill="FFFFFF"/>
          </w:tcPr>
          <w:p>
            <w:pPr>
              <w:spacing w:after="0" w:line="247" w:lineRule="auto"/>
            </w:pPr>
            <w:r>
              <w:rPr>
                <w:sz w:val="18"/>
              </w:rPr>
              <w:t>Windows desktop</w:t>
            </w:r>
          </w:p>
        </w:tc>
        <w:tc>
          <w:tcPr>
            <w:tcW w:type="dxa" w:w="3312"/>
            <w:vAlign w:val="center"/>
            <w:shd w:fill="FFFFFF"/>
          </w:tcPr>
          <w:p>
            <w:pPr>
              <w:spacing w:after="0" w:line="247" w:lineRule="auto"/>
            </w:pPr>
            <w:r>
              <w:rPr>
                <w:sz w:val="18"/>
              </w:rPr>
              <w:t>Wine or a licensed Windows VM where suitable</w:t>
            </w:r>
          </w:p>
        </w:tc>
        <w:tc>
          <w:tcPr>
            <w:tcW w:type="dxa" w:w="4392"/>
            <w:vAlign w:val="center"/>
            <w:shd w:fill="FFFFFF"/>
          </w:tcPr>
          <w:p>
            <w:pPr>
              <w:spacing w:after="0" w:line="247" w:lineRule="auto"/>
            </w:pPr>
            <w:r>
              <w:rPr>
                <w:sz w:val="18"/>
              </w:rPr>
              <w:t>R2 selected applications only; no universal guarantee</w:t>
            </w:r>
          </w:p>
        </w:tc>
      </w:tr>
      <w:tr>
        <w:trPr>
          <w:cantSplit/>
        </w:trPr>
        <w:tc>
          <w:tcPr>
            <w:tcW w:type="dxa" w:w="2376"/>
            <w:vAlign w:val="center"/>
            <w:shd w:fill="F6F8FA"/>
          </w:tcPr>
          <w:p>
            <w:pPr>
              <w:spacing w:after="0" w:line="247" w:lineRule="auto"/>
            </w:pPr>
            <w:r>
              <w:rPr>
                <w:sz w:val="18"/>
              </w:rPr>
              <w:t>macOS binaries</w:t>
            </w:r>
          </w:p>
        </w:tc>
        <w:tc>
          <w:tcPr>
            <w:tcW w:type="dxa" w:w="3312"/>
            <w:vAlign w:val="center"/>
            <w:shd w:fill="F6F8FA"/>
          </w:tcPr>
          <w:p>
            <w:pPr>
              <w:spacing w:after="0" w:line="247" w:lineRule="auto"/>
            </w:pPr>
            <w:r>
              <w:rPr>
                <w:sz w:val="18"/>
              </w:rPr>
              <w:t>Supported web or cross-platform equivalents</w:t>
            </w:r>
          </w:p>
        </w:tc>
        <w:tc>
          <w:tcPr>
            <w:tcW w:type="dxa" w:w="4392"/>
            <w:vAlign w:val="center"/>
            <w:shd w:fill="F6F8FA"/>
          </w:tcPr>
          <w:p>
            <w:pPr>
              <w:spacing w:after="0" w:line="247" w:lineRule="auto"/>
            </w:pPr>
            <w:r>
              <w:rPr>
                <w:sz w:val="18"/>
              </w:rPr>
              <w:t>Direct compatibility excluded from baseline</w:t>
            </w:r>
          </w:p>
        </w:tc>
      </w:tr>
      <w:tr>
        <w:trPr>
          <w:cantSplit/>
        </w:trPr>
        <w:tc>
          <w:tcPr>
            <w:tcW w:type="dxa" w:w="2376"/>
            <w:vAlign w:val="center"/>
            <w:shd w:fill="FFFFFF"/>
          </w:tcPr>
          <w:p>
            <w:pPr>
              <w:spacing w:after="0" w:line="247" w:lineRule="auto"/>
            </w:pPr>
            <w:r>
              <w:rPr>
                <w:sz w:val="18"/>
              </w:rPr>
              <w:t>Games and protected software</w:t>
            </w:r>
          </w:p>
        </w:tc>
        <w:tc>
          <w:tcPr>
            <w:tcW w:type="dxa" w:w="3312"/>
            <w:vAlign w:val="center"/>
            <w:shd w:fill="FFFFFF"/>
          </w:tcPr>
          <w:p>
            <w:pPr>
              <w:spacing w:after="0" w:line="247" w:lineRule="auto"/>
            </w:pPr>
            <w:r>
              <w:rPr>
                <w:sz w:val="18"/>
              </w:rPr>
              <w:t>Native ports or individually tested compatibility</w:t>
            </w:r>
          </w:p>
        </w:tc>
        <w:tc>
          <w:tcPr>
            <w:tcW w:type="dxa" w:w="4392"/>
            <w:vAlign w:val="center"/>
            <w:shd w:fill="FFFFFF"/>
          </w:tcPr>
          <w:p>
            <w:pPr>
              <w:spacing w:after="0" w:line="247" w:lineRule="auto"/>
            </w:pPr>
            <w:r>
              <w:rPr>
                <w:sz w:val="18"/>
              </w:rPr>
              <w:t>No blanket support for DRM, anti-cheat or proprietary drivers</w:t>
            </w:r>
          </w:p>
        </w:tc>
      </w:tr>
    </w:tbl>
    <w:p>
      <w:pPr>
        <w:spacing w:after="20"/>
      </w:pPr>
    </w:p>
    <w:p>
      <w:r>
        <w:t>A legacy application is not automatically decomposable into short-lived services. Its adapter can expose launch, open, inspect, edit, save, and close while maintaining a session. File locking, dialogs, plug-ins, graphics context, and license state may require a persistent process. The OS should surface this honestly while retaining the same conversational entry point.</w:t>
      </w:r>
    </w:p>
    <w:p>
      <w:pPr>
        <w:pStyle w:val="Heading2"/>
      </w:pPr>
      <w:r>
        <w:t>11.2 Adapter requirements</w:t>
      </w:r>
    </w:p>
    <w:p>
      <w:r>
        <w:t>Each adapter declares application ID, executable digest or trusted package version, supported actions, UI or API dependencies, session state, input/output types, and how to determine completion. Save operations return the actual saved path and observed version. An application crash or unexpected dialog produces a recoverable failure, not a fabricated result. Password fields, secure prompts, and unrelated windows are excluded from general screen-reading grants.</w:t>
      </w:r>
    </w:p>
    <w:p>
      <w:r>
        <w:t>Compatibility tests cover startup, open/edit/save round trips, Unicode paths, long names, file locks, concurrent external edits, large files, permissions, suspend/resume, and application upgrade. A capability that cannot be verified is classified as experimental. Office macros, proprietary fonts, embedded objects, and format fidelity need explicit tests rather than claims of general document compatibility.</w:t>
      </w:r>
    </w:p>
    <w:p>
      <w:pPr>
        <w:pStyle w:val="Heading1"/>
      </w:pPr>
      <w:r>
        <w:t>12 Security isolation and audit</w:t>
      </w:r>
    </w:p>
    <w:p>
      <w:pPr>
        <w:pStyle w:val="Heading2"/>
      </w:pPr>
      <w:r>
        <w:t>12.1 Authority model</w:t>
      </w:r>
    </w:p>
    <w:p>
      <w:r>
        <w:t>Use explicit principals for the user, session, skill instance, and system service. The policy broker issues short-lived opaque handles bound to subject, operation, resource IDs, allowed destinations, data revision, expiry, and workflow. A worker cannot widen or transfer authority by describing a different role. Privileged helpers accept only broker-issued handles and typed arguments.</w:t>
      </w:r>
    </w:p>
    <w:p>
      <w:r>
        <w:t>Authorization happens when the plan is prepared and again immediately before an effect. A grant can cover a bounded class of repetitive reversible work; the OS need not prompt for every file read. Privileged configuration changes and external commitments follow the configured user policy. The approval screen comes from the trusted shell and displays the actual destination and diff supplied by the executor, not persuasive text generated by the model.</w:t>
      </w:r>
    </w:p>
    <w:p>
      <w:pPr>
        <w:pStyle w:val="Heading2"/>
      </w:pPr>
      <w:r>
        <w:t>12.2 Threat model and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3312"/>
        <w:gridCol w:w="4392"/>
      </w:tblGrid>
      <w:tr>
        <w:trPr>
          <w:cantSplit/>
          <w:tblHeader/>
        </w:trPr>
        <w:tc>
          <w:tcPr>
            <w:tcW w:type="dxa" w:w="2376"/>
            <w:vAlign w:val="center"/>
            <w:shd w:fill="DCE6EE"/>
          </w:tcPr>
          <w:p>
            <w:pPr>
              <w:keepNext/>
              <w:spacing w:after="0" w:line="247" w:lineRule="auto"/>
            </w:pPr>
            <w:r>
              <w:rPr>
                <w:b/>
                <w:sz w:val="18"/>
              </w:rPr>
              <w:t>Threat</w:t>
            </w:r>
          </w:p>
        </w:tc>
        <w:tc>
          <w:tcPr>
            <w:tcW w:type="dxa" w:w="3312"/>
            <w:vAlign w:val="center"/>
            <w:shd w:fill="DCE6EE"/>
          </w:tcPr>
          <w:p>
            <w:pPr>
              <w:keepNext/>
              <w:spacing w:after="0" w:line="247" w:lineRule="auto"/>
            </w:pPr>
            <w:r>
              <w:rPr>
                <w:b/>
                <w:sz w:val="18"/>
              </w:rPr>
              <w:t>Control</w:t>
            </w:r>
          </w:p>
        </w:tc>
        <w:tc>
          <w:tcPr>
            <w:tcW w:type="dxa" w:w="4392"/>
            <w:vAlign w:val="center"/>
            <w:shd w:fill="DCE6EE"/>
          </w:tcPr>
          <w:p>
            <w:pPr>
              <w:keepNext/>
              <w:spacing w:after="0" w:line="247" w:lineRule="auto"/>
            </w:pPr>
            <w:r>
              <w:rPr>
                <w:b/>
                <w:sz w:val="18"/>
              </w:rPr>
              <w:t>Verification</w:t>
            </w:r>
          </w:p>
        </w:tc>
      </w:tr>
      <w:tr>
        <w:trPr>
          <w:cantSplit/>
        </w:trPr>
        <w:tc>
          <w:tcPr>
            <w:tcW w:type="dxa" w:w="2376"/>
            <w:vAlign w:val="center"/>
            <w:shd w:fill="FFFFFF"/>
          </w:tcPr>
          <w:p>
            <w:pPr>
              <w:spacing w:after="0" w:line="247" w:lineRule="auto"/>
            </w:pPr>
            <w:r>
              <w:rPr>
                <w:sz w:val="18"/>
              </w:rPr>
              <w:t>Instructions hidden in files or web pages</w:t>
            </w:r>
          </w:p>
        </w:tc>
        <w:tc>
          <w:tcPr>
            <w:tcW w:type="dxa" w:w="3312"/>
            <w:vAlign w:val="center"/>
            <w:shd w:fill="FFFFFF"/>
          </w:tcPr>
          <w:p>
            <w:pPr>
              <w:spacing w:after="0" w:line="247" w:lineRule="auto"/>
            </w:pPr>
            <w:r>
              <w:rPr>
                <w:sz w:val="18"/>
              </w:rPr>
              <w:t>Treat retrieved content as untrusted data; separate it from capability definitions</w:t>
            </w:r>
          </w:p>
        </w:tc>
        <w:tc>
          <w:tcPr>
            <w:tcW w:type="dxa" w:w="4392"/>
            <w:vAlign w:val="center"/>
            <w:shd w:fill="FFFFFF"/>
          </w:tcPr>
          <w:p>
            <w:pPr>
              <w:spacing w:after="0" w:line="247" w:lineRule="auto"/>
            </w:pPr>
            <w:r>
              <w:rPr>
                <w:sz w:val="18"/>
              </w:rPr>
              <w:t>Injection suite with hostile documents and tool outputs</w:t>
            </w:r>
          </w:p>
        </w:tc>
      </w:tr>
      <w:tr>
        <w:trPr>
          <w:cantSplit/>
        </w:trPr>
        <w:tc>
          <w:tcPr>
            <w:tcW w:type="dxa" w:w="2376"/>
            <w:vAlign w:val="center"/>
            <w:shd w:fill="F6F8FA"/>
          </w:tcPr>
          <w:p>
            <w:pPr>
              <w:spacing w:after="0" w:line="247" w:lineRule="auto"/>
            </w:pPr>
            <w:r>
              <w:rPr>
                <w:sz w:val="18"/>
              </w:rPr>
              <w:t>Hallucinated resource or command</w:t>
            </w:r>
          </w:p>
        </w:tc>
        <w:tc>
          <w:tcPr>
            <w:tcW w:type="dxa" w:w="3312"/>
            <w:vAlign w:val="center"/>
            <w:shd w:fill="F6F8FA"/>
          </w:tcPr>
          <w:p>
            <w:pPr>
              <w:spacing w:after="0" w:line="247" w:lineRule="auto"/>
            </w:pPr>
            <w:r>
              <w:rPr>
                <w:sz w:val="18"/>
              </w:rPr>
              <w:t>Registry IDs, strict schemas, live object resolution</w:t>
            </w:r>
          </w:p>
        </w:tc>
        <w:tc>
          <w:tcPr>
            <w:tcW w:type="dxa" w:w="4392"/>
            <w:vAlign w:val="center"/>
            <w:shd w:fill="F6F8FA"/>
          </w:tcPr>
          <w:p>
            <w:pPr>
              <w:spacing w:after="0" w:line="247" w:lineRule="auto"/>
            </w:pPr>
            <w:r>
              <w:rPr>
                <w:sz w:val="18"/>
              </w:rPr>
              <w:t>Reject unknown tool IDs, paths and enum values</w:t>
            </w:r>
          </w:p>
        </w:tc>
      </w:tr>
      <w:tr>
        <w:trPr>
          <w:cantSplit/>
        </w:trPr>
        <w:tc>
          <w:tcPr>
            <w:tcW w:type="dxa" w:w="2376"/>
            <w:vAlign w:val="center"/>
            <w:shd w:fill="FFFFFF"/>
          </w:tcPr>
          <w:p>
            <w:pPr>
              <w:spacing w:after="0" w:line="247" w:lineRule="auto"/>
            </w:pPr>
            <w:r>
              <w:rPr>
                <w:sz w:val="18"/>
              </w:rPr>
              <w:t>Confused-deputy escalation</w:t>
            </w:r>
          </w:p>
        </w:tc>
        <w:tc>
          <w:tcPr>
            <w:tcW w:type="dxa" w:w="3312"/>
            <w:vAlign w:val="center"/>
            <w:shd w:fill="FFFFFF"/>
          </w:tcPr>
          <w:p>
            <w:pPr>
              <w:spacing w:after="0" w:line="247" w:lineRule="auto"/>
            </w:pPr>
            <w:r>
              <w:rPr>
                <w:sz w:val="18"/>
              </w:rPr>
              <w:t>Identity-bound capabilities and effect-time checks</w:t>
            </w:r>
          </w:p>
        </w:tc>
        <w:tc>
          <w:tcPr>
            <w:tcW w:type="dxa" w:w="4392"/>
            <w:vAlign w:val="center"/>
            <w:shd w:fill="FFFFFF"/>
          </w:tcPr>
          <w:p>
            <w:pPr>
              <w:spacing w:after="0" w:line="247" w:lineRule="auto"/>
            </w:pPr>
            <w:r>
              <w:rPr>
                <w:sz w:val="18"/>
              </w:rPr>
              <w:t>Cross-user, stale-grant and delegated-call tests</w:t>
            </w:r>
          </w:p>
        </w:tc>
      </w:tr>
      <w:tr>
        <w:trPr>
          <w:cantSplit/>
        </w:trPr>
        <w:tc>
          <w:tcPr>
            <w:tcW w:type="dxa" w:w="2376"/>
            <w:vAlign w:val="center"/>
            <w:shd w:fill="F6F8FA"/>
          </w:tcPr>
          <w:p>
            <w:pPr>
              <w:spacing w:after="0" w:line="247" w:lineRule="auto"/>
            </w:pPr>
            <w:r>
              <w:rPr>
                <w:sz w:val="18"/>
              </w:rPr>
              <w:t>Malicious generated code</w:t>
            </w:r>
          </w:p>
        </w:tc>
        <w:tc>
          <w:tcPr>
            <w:tcW w:type="dxa" w:w="3312"/>
            <w:vAlign w:val="center"/>
            <w:shd w:fill="F6F8FA"/>
          </w:tcPr>
          <w:p>
            <w:pPr>
              <w:spacing w:after="0" w:line="247" w:lineRule="auto"/>
            </w:pPr>
            <w:r>
              <w:rPr>
                <w:sz w:val="18"/>
              </w:rPr>
              <w:t>Sandboxes, no default network or secrets, bounded mounts</w:t>
            </w:r>
          </w:p>
        </w:tc>
        <w:tc>
          <w:tcPr>
            <w:tcW w:type="dxa" w:w="4392"/>
            <w:vAlign w:val="center"/>
            <w:shd w:fill="F6F8FA"/>
          </w:tcPr>
          <w:p>
            <w:pPr>
              <w:spacing w:after="0" w:line="247" w:lineRule="auto"/>
            </w:pPr>
            <w:r>
              <w:rPr>
                <w:sz w:val="18"/>
              </w:rPr>
              <w:t>Escape attempts and output exfiltration tests</w:t>
            </w:r>
          </w:p>
        </w:tc>
      </w:tr>
      <w:tr>
        <w:trPr>
          <w:cantSplit/>
        </w:trPr>
        <w:tc>
          <w:tcPr>
            <w:tcW w:type="dxa" w:w="2376"/>
            <w:vAlign w:val="center"/>
            <w:shd w:fill="FFFFFF"/>
          </w:tcPr>
          <w:p>
            <w:pPr>
              <w:spacing w:after="0" w:line="247" w:lineRule="auto"/>
            </w:pPr>
            <w:r>
              <w:rPr>
                <w:sz w:val="18"/>
              </w:rPr>
              <w:t>Corrupted model or skill update</w:t>
            </w:r>
          </w:p>
        </w:tc>
        <w:tc>
          <w:tcPr>
            <w:tcW w:type="dxa" w:w="3312"/>
            <w:vAlign w:val="center"/>
            <w:shd w:fill="FFFFFF"/>
          </w:tcPr>
          <w:p>
            <w:pPr>
              <w:spacing w:after="0" w:line="247" w:lineRule="auto"/>
            </w:pPr>
            <w:r>
              <w:rPr>
                <w:sz w:val="18"/>
              </w:rPr>
              <w:t>Signed manifests, digest checks, compatibility and rollback</w:t>
            </w:r>
          </w:p>
        </w:tc>
        <w:tc>
          <w:tcPr>
            <w:tcW w:type="dxa" w:w="4392"/>
            <w:vAlign w:val="center"/>
            <w:shd w:fill="FFFFFF"/>
          </w:tcPr>
          <w:p>
            <w:pPr>
              <w:spacing w:after="0" w:line="247" w:lineRule="auto"/>
            </w:pPr>
            <w:r>
              <w:rPr>
                <w:sz w:val="18"/>
              </w:rPr>
              <w:t>Modified package and interrupted-update tests</w:t>
            </w:r>
          </w:p>
        </w:tc>
      </w:tr>
      <w:tr>
        <w:trPr>
          <w:cantSplit/>
        </w:trPr>
        <w:tc>
          <w:tcPr>
            <w:tcW w:type="dxa" w:w="2376"/>
            <w:vAlign w:val="center"/>
            <w:shd w:fill="F6F8FA"/>
          </w:tcPr>
          <w:p>
            <w:pPr>
              <w:spacing w:after="0" w:line="247" w:lineRule="auto"/>
            </w:pPr>
            <w:r>
              <w:rPr>
                <w:sz w:val="18"/>
              </w:rPr>
              <w:t>Sensitive semantic index leakage</w:t>
            </w:r>
          </w:p>
        </w:tc>
        <w:tc>
          <w:tcPr>
            <w:tcW w:type="dxa" w:w="3312"/>
            <w:vAlign w:val="center"/>
            <w:shd w:fill="F6F8FA"/>
          </w:tcPr>
          <w:p>
            <w:pPr>
              <w:spacing w:after="0" w:line="247" w:lineRule="auto"/>
            </w:pPr>
            <w:r>
              <w:rPr>
                <w:sz w:val="18"/>
              </w:rPr>
              <w:t>Per-user access, encrypted derivatives, filtered retrieval</w:t>
            </w:r>
          </w:p>
        </w:tc>
        <w:tc>
          <w:tcPr>
            <w:tcW w:type="dxa" w:w="4392"/>
            <w:vAlign w:val="center"/>
            <w:shd w:fill="F6F8FA"/>
          </w:tcPr>
          <w:p>
            <w:pPr>
              <w:spacing w:after="0" w:line="247" w:lineRule="auto"/>
            </w:pPr>
            <w:r>
              <w:rPr>
                <w:sz w:val="18"/>
              </w:rPr>
              <w:t>Revocation, search-count and cached-context tests</w:t>
            </w:r>
          </w:p>
        </w:tc>
      </w:tr>
      <w:tr>
        <w:trPr>
          <w:cantSplit/>
        </w:trPr>
        <w:tc>
          <w:tcPr>
            <w:tcW w:type="dxa" w:w="2376"/>
            <w:vAlign w:val="center"/>
            <w:shd w:fill="FFFFFF"/>
          </w:tcPr>
          <w:p>
            <w:pPr>
              <w:spacing w:after="0" w:line="247" w:lineRule="auto"/>
            </w:pPr>
            <w:r>
              <w:rPr>
                <w:sz w:val="18"/>
              </w:rPr>
              <w:t>Resource exhaustion</w:t>
            </w:r>
          </w:p>
        </w:tc>
        <w:tc>
          <w:tcPr>
            <w:tcW w:type="dxa" w:w="3312"/>
            <w:vAlign w:val="center"/>
            <w:shd w:fill="FFFFFF"/>
          </w:tcPr>
          <w:p>
            <w:pPr>
              <w:spacing w:after="0" w:line="247" w:lineRule="auto"/>
            </w:pPr>
            <w:r>
              <w:rPr>
                <w:sz w:val="18"/>
              </w:rPr>
              <w:t>Admission control, worker quotas, accelerator accounting</w:t>
            </w:r>
          </w:p>
        </w:tc>
        <w:tc>
          <w:tcPr>
            <w:tcW w:type="dxa" w:w="4392"/>
            <w:vAlign w:val="center"/>
            <w:shd w:fill="FFFFFF"/>
          </w:tcPr>
          <w:p>
            <w:pPr>
              <w:spacing w:after="0" w:line="247" w:lineRule="auto"/>
            </w:pPr>
            <w:r>
              <w:rPr>
                <w:sz w:val="18"/>
              </w:rPr>
              <w:t>Oversized prompt, image and output stress</w:t>
            </w:r>
          </w:p>
        </w:tc>
      </w:tr>
      <w:tr>
        <w:trPr>
          <w:cantSplit/>
        </w:trPr>
        <w:tc>
          <w:tcPr>
            <w:tcW w:type="dxa" w:w="2376"/>
            <w:vAlign w:val="center"/>
            <w:shd w:fill="F6F8FA"/>
          </w:tcPr>
          <w:p>
            <w:pPr>
              <w:spacing w:after="0" w:line="247" w:lineRule="auto"/>
            </w:pPr>
            <w:r>
              <w:rPr>
                <w:sz w:val="18"/>
              </w:rPr>
              <w:t>Storage corruption or partial effect</w:t>
            </w:r>
          </w:p>
        </w:tc>
        <w:tc>
          <w:tcPr>
            <w:tcW w:type="dxa" w:w="3312"/>
            <w:vAlign w:val="center"/>
            <w:shd w:fill="F6F8FA"/>
          </w:tcPr>
          <w:p>
            <w:pPr>
              <w:spacing w:after="0" w:line="247" w:lineRule="auto"/>
            </w:pPr>
            <w:r>
              <w:rPr>
                <w:sz w:val="18"/>
              </w:rPr>
              <w:t>Journals, immutable versions, reconciliation and backups</w:t>
            </w:r>
          </w:p>
        </w:tc>
        <w:tc>
          <w:tcPr>
            <w:tcW w:type="dxa" w:w="4392"/>
            <w:vAlign w:val="center"/>
            <w:shd w:fill="F6F8FA"/>
          </w:tcPr>
          <w:p>
            <w:pPr>
              <w:spacing w:after="0" w:line="247" w:lineRule="auto"/>
            </w:pPr>
            <w:r>
              <w:rPr>
                <w:sz w:val="18"/>
              </w:rPr>
              <w:t>Crash injection and recovery verification</w:t>
            </w:r>
          </w:p>
        </w:tc>
      </w:tr>
      <w:tr>
        <w:trPr>
          <w:cantSplit/>
        </w:trPr>
        <w:tc>
          <w:tcPr>
            <w:tcW w:type="dxa" w:w="2376"/>
            <w:vAlign w:val="center"/>
            <w:shd w:fill="FFFFFF"/>
          </w:tcPr>
          <w:p>
            <w:pPr>
              <w:spacing w:after="0" w:line="247" w:lineRule="auto"/>
            </w:pPr>
            <w:r>
              <w:rPr>
                <w:sz w:val="18"/>
              </w:rPr>
              <w:t>Spoofed voice or visual approval</w:t>
            </w:r>
          </w:p>
        </w:tc>
        <w:tc>
          <w:tcPr>
            <w:tcW w:type="dxa" w:w="3312"/>
            <w:vAlign w:val="center"/>
            <w:shd w:fill="FFFFFF"/>
          </w:tcPr>
          <w:p>
            <w:pPr>
              <w:spacing w:after="0" w:line="247" w:lineRule="auto"/>
            </w:pPr>
            <w:r>
              <w:rPr>
                <w:sz w:val="18"/>
              </w:rPr>
              <w:t>Trusted explicit confirmation for configured sensitive actions</w:t>
            </w:r>
          </w:p>
        </w:tc>
        <w:tc>
          <w:tcPr>
            <w:tcW w:type="dxa" w:w="4392"/>
            <w:vAlign w:val="center"/>
            <w:shd w:fill="FFFFFF"/>
          </w:tcPr>
          <w:p>
            <w:pPr>
              <w:spacing w:after="0" w:line="247" w:lineRule="auto"/>
            </w:pPr>
            <w:r>
              <w:rPr>
                <w:sz w:val="18"/>
              </w:rPr>
              <w:t>Replay, accidental wake and screen-spoof tests</w:t>
            </w:r>
          </w:p>
        </w:tc>
      </w:tr>
      <w:tr>
        <w:trPr>
          <w:cantSplit/>
        </w:trPr>
        <w:tc>
          <w:tcPr>
            <w:tcW w:type="dxa" w:w="2376"/>
            <w:vAlign w:val="center"/>
            <w:shd w:fill="F6F8FA"/>
          </w:tcPr>
          <w:p>
            <w:pPr>
              <w:spacing w:after="0" w:line="247" w:lineRule="auto"/>
            </w:pPr>
            <w:r>
              <w:rPr>
                <w:sz w:val="18"/>
              </w:rPr>
              <w:t>Device DMA or driver failure</w:t>
            </w:r>
          </w:p>
        </w:tc>
        <w:tc>
          <w:tcPr>
            <w:tcW w:type="dxa" w:w="3312"/>
            <w:vAlign w:val="center"/>
            <w:shd w:fill="F6F8FA"/>
          </w:tcPr>
          <w:p>
            <w:pPr>
              <w:spacing w:after="0" w:line="247" w:lineRule="auto"/>
            </w:pPr>
            <w:r>
              <w:rPr>
                <w:sz w:val="18"/>
              </w:rPr>
              <w:t>Qualified drivers, IOMMU where supported, recovery</w:t>
            </w:r>
          </w:p>
        </w:tc>
        <w:tc>
          <w:tcPr>
            <w:tcW w:type="dxa" w:w="4392"/>
            <w:vAlign w:val="center"/>
            <w:shd w:fill="F6F8FA"/>
          </w:tcPr>
          <w:p>
            <w:pPr>
              <w:spacing w:after="0" w:line="247" w:lineRule="auto"/>
            </w:pPr>
            <w:r>
              <w:rPr>
                <w:sz w:val="18"/>
              </w:rPr>
              <w:t>Device reset, hotplug and fault-injection tests</w:t>
            </w:r>
          </w:p>
        </w:tc>
      </w:tr>
    </w:tbl>
    <w:p>
      <w:pPr>
        <w:spacing w:after="20"/>
      </w:pPr>
    </w:p>
    <w:p>
      <w:r>
        <w:t>Prompt filtering is a supplementary measure. The decisive defense is that a model output cannot exceed the capabilities granted to the executor. Tool-returned text, filenames, PDFs, OCR, and package descriptions may all contain hostile instructions. Training the model to ignore them helps usability but is not the sole enforcement mechanism.</w:t>
      </w:r>
    </w:p>
    <w:p>
      <w:pPr>
        <w:pStyle w:val="Heading2"/>
      </w:pPr>
      <w:r>
        <w:t>12.3 Data lifecycle and audit</w:t>
      </w:r>
    </w:p>
    <w:p>
      <w:r>
        <w:t>Logs capture user-visible request summaries, plan hashes, authorization decisions, skill and model versions, input/output IDs, timestamps, resource use, and receipts. Do not store secrets, raw microphone streams, or full document content in operational logs by default. Sensitive debug tracing is temporary and user controlled. Local audit records use protected append semantics and integrity checks; a local administrator remains a distinct threat boundary unless a stronger external attestation design is added.</w:t>
      </w:r>
    </w:p>
    <w:p>
      <w:r>
        <w:t>The model runtime has no ambient access to credentials. Network adapters obtain scoped credentials from a secret broker, apply them internally, and redact them from returned results. Tenant or user contexts cannot share inference caches unless equivalence and isolation are proven. Suspend, hibernation, swap, crash dumps, and temporary render directories are included in the data-protection design.</w:t>
      </w:r>
    </w:p>
    <w:p>
      <w:pPr>
        <w:pStyle w:val="Heading1"/>
      </w:pPr>
      <w:r>
        <w:t>13 Low level interfaces and data contracts</w:t>
      </w:r>
    </w:p>
    <w:p>
      <w:pPr>
        <w:pStyle w:val="Heading2"/>
      </w:pPr>
      <w:r>
        <w:t>13.1 Transport and versioning</w:t>
      </w:r>
    </w:p>
    <w:p>
      <w:r>
        <w:t>Use Unix-domain sockets for local control RPC, with OS peer credentials and a versioned Protobuf interface. Use shared-memory or descriptor transfer for large binary data. HTTP may be exposed by a separately authenticated developer gateway, disabled by default; the core model service does not listen on a public interface. Desktop integration may use D-Bus through adapters.</w:t>
      </w:r>
    </w:p>
    <w:p>
      <w:r>
        <w:t>Every control request contains protocol_version, request_id, principal_context, deadline, and trace_id. Every mutating request also contains an idempotency_key, expected resource revisions, and a capability_handle. The broker derives authenticated identity from the transport and session registry; it never trusts a user_id supplied by the model. Unknown schema fields are rejected in authority-bearing messages. Additive observational fields can follow a documented forward-compatibility policy.</w:t>
      </w:r>
    </w:p>
    <w:p>
      <w:pPr>
        <w:pStyle w:val="Heading2"/>
      </w:pPr>
      <w:r>
        <w:t>13.2 Service API 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3672"/>
        <w:gridCol w:w="4032"/>
      </w:tblGrid>
      <w:tr>
        <w:trPr>
          <w:cantSplit/>
          <w:tblHeader/>
        </w:trPr>
        <w:tc>
          <w:tcPr>
            <w:tcW w:type="dxa" w:w="2376"/>
            <w:vAlign w:val="center"/>
            <w:shd w:fill="DCE6EE"/>
          </w:tcPr>
          <w:p>
            <w:pPr>
              <w:keepNext/>
              <w:spacing w:after="0" w:line="247" w:lineRule="auto"/>
            </w:pPr>
            <w:r>
              <w:rPr>
                <w:b/>
                <w:sz w:val="18"/>
              </w:rPr>
              <w:t>RPC</w:t>
            </w:r>
          </w:p>
        </w:tc>
        <w:tc>
          <w:tcPr>
            <w:tcW w:type="dxa" w:w="3672"/>
            <w:vAlign w:val="center"/>
            <w:shd w:fill="DCE6EE"/>
          </w:tcPr>
          <w:p>
            <w:pPr>
              <w:keepNext/>
              <w:spacing w:after="0" w:line="247" w:lineRule="auto"/>
            </w:pPr>
            <w:r>
              <w:rPr>
                <w:b/>
                <w:sz w:val="18"/>
              </w:rPr>
              <w:t>Input</w:t>
            </w:r>
          </w:p>
        </w:tc>
        <w:tc>
          <w:tcPr>
            <w:tcW w:type="dxa" w:w="4032"/>
            <w:vAlign w:val="center"/>
            <w:shd w:fill="DCE6EE"/>
          </w:tcPr>
          <w:p>
            <w:pPr>
              <w:keepNext/>
              <w:spacing w:after="0" w:line="247" w:lineRule="auto"/>
            </w:pPr>
            <w:r>
              <w:rPr>
                <w:b/>
                <w:sz w:val="18"/>
              </w:rPr>
              <w:t>Result and principal errors</w:t>
            </w:r>
          </w:p>
        </w:tc>
      </w:tr>
      <w:tr>
        <w:trPr>
          <w:cantSplit/>
        </w:trPr>
        <w:tc>
          <w:tcPr>
            <w:tcW w:type="dxa" w:w="2376"/>
            <w:vAlign w:val="center"/>
            <w:shd w:fill="FFFFFF"/>
          </w:tcPr>
          <w:p>
            <w:pPr>
              <w:spacing w:after="0" w:line="247" w:lineRule="auto"/>
            </w:pPr>
            <w:r>
              <w:rPr>
                <w:sz w:val="18"/>
              </w:rPr>
              <w:t>Session.Submit</w:t>
            </w:r>
          </w:p>
        </w:tc>
        <w:tc>
          <w:tcPr>
            <w:tcW w:type="dxa" w:w="3672"/>
            <w:vAlign w:val="center"/>
            <w:shd w:fill="FFFFFF"/>
          </w:tcPr>
          <w:p>
            <w:pPr>
              <w:spacing w:after="0" w:line="247" w:lineRule="auto"/>
            </w:pPr>
            <w:r>
              <w:rPr>
                <w:sz w:val="18"/>
              </w:rPr>
              <w:t>Modal references and user request</w:t>
            </w:r>
          </w:p>
        </w:tc>
        <w:tc>
          <w:tcPr>
            <w:tcW w:type="dxa" w:w="4032"/>
            <w:vAlign w:val="center"/>
            <w:shd w:fill="FFFFFF"/>
          </w:tcPr>
          <w:p>
            <w:pPr>
              <w:spacing w:after="0" w:line="247" w:lineRule="auto"/>
            </w:pPr>
            <w:r>
              <w:rPr>
                <w:sz w:val="18"/>
              </w:rPr>
              <w:t>workflow_id; INVALID_REFERENCE</w:t>
            </w:r>
          </w:p>
        </w:tc>
      </w:tr>
      <w:tr>
        <w:trPr>
          <w:cantSplit/>
        </w:trPr>
        <w:tc>
          <w:tcPr>
            <w:tcW w:type="dxa" w:w="2376"/>
            <w:vAlign w:val="center"/>
            <w:shd w:fill="F6F8FA"/>
          </w:tcPr>
          <w:p>
            <w:pPr>
              <w:spacing w:after="0" w:line="247" w:lineRule="auto"/>
            </w:pPr>
            <w:r>
              <w:rPr>
                <w:sz w:val="18"/>
              </w:rPr>
              <w:t>Registry.Resolve</w:t>
            </w:r>
          </w:p>
        </w:tc>
        <w:tc>
          <w:tcPr>
            <w:tcW w:type="dxa" w:w="3672"/>
            <w:vAlign w:val="center"/>
            <w:shd w:fill="F6F8FA"/>
          </w:tcPr>
          <w:p>
            <w:pPr>
              <w:spacing w:after="0" w:line="247" w:lineRule="auto"/>
            </w:pPr>
            <w:r>
              <w:rPr>
                <w:sz w:val="18"/>
              </w:rPr>
              <w:t>Intent types and installed catalog revision</w:t>
            </w:r>
          </w:p>
        </w:tc>
        <w:tc>
          <w:tcPr>
            <w:tcW w:type="dxa" w:w="4032"/>
            <w:vAlign w:val="center"/>
            <w:shd w:fill="F6F8FA"/>
          </w:tcPr>
          <w:p>
            <w:pPr>
              <w:spacing w:after="0" w:line="247" w:lineRule="auto"/>
            </w:pPr>
            <w:r>
              <w:rPr>
                <w:sz w:val="18"/>
              </w:rPr>
              <w:t>Eligible skill descriptors; NO_CAPABILITY</w:t>
            </w:r>
          </w:p>
        </w:tc>
      </w:tr>
      <w:tr>
        <w:trPr>
          <w:cantSplit/>
        </w:trPr>
        <w:tc>
          <w:tcPr>
            <w:tcW w:type="dxa" w:w="2376"/>
            <w:vAlign w:val="center"/>
            <w:shd w:fill="FFFFFF"/>
          </w:tcPr>
          <w:p>
            <w:pPr>
              <w:spacing w:after="0" w:line="247" w:lineRule="auto"/>
            </w:pPr>
            <w:r>
              <w:rPr>
                <w:sz w:val="18"/>
              </w:rPr>
              <w:t>Planner.Create</w:t>
            </w:r>
          </w:p>
        </w:tc>
        <w:tc>
          <w:tcPr>
            <w:tcW w:type="dxa" w:w="3672"/>
            <w:vAlign w:val="center"/>
            <w:shd w:fill="FFFFFF"/>
          </w:tcPr>
          <w:p>
            <w:pPr>
              <w:spacing w:after="0" w:line="247" w:lineRule="auto"/>
            </w:pPr>
            <w:r>
              <w:rPr>
                <w:sz w:val="18"/>
              </w:rPr>
              <w:t>Scoped context and candidate skills</w:t>
            </w:r>
          </w:p>
        </w:tc>
        <w:tc>
          <w:tcPr>
            <w:tcW w:type="dxa" w:w="4032"/>
            <w:vAlign w:val="center"/>
            <w:shd w:fill="FFFFFF"/>
          </w:tcPr>
          <w:p>
            <w:pPr>
              <w:spacing w:after="0" w:line="247" w:lineRule="auto"/>
            </w:pPr>
            <w:r>
              <w:rPr>
                <w:sz w:val="18"/>
              </w:rPr>
              <w:t>Typed plan; PLAN_LIMIT_EXCEEDED</w:t>
            </w:r>
          </w:p>
        </w:tc>
      </w:tr>
      <w:tr>
        <w:trPr>
          <w:cantSplit/>
        </w:trPr>
        <w:tc>
          <w:tcPr>
            <w:tcW w:type="dxa" w:w="2376"/>
            <w:vAlign w:val="center"/>
            <w:shd w:fill="F6F8FA"/>
          </w:tcPr>
          <w:p>
            <w:pPr>
              <w:spacing w:after="0" w:line="247" w:lineRule="auto"/>
            </w:pPr>
            <w:r>
              <w:rPr>
                <w:sz w:val="18"/>
              </w:rPr>
              <w:t>Workflow.Validate</w:t>
            </w:r>
          </w:p>
        </w:tc>
        <w:tc>
          <w:tcPr>
            <w:tcW w:type="dxa" w:w="3672"/>
            <w:vAlign w:val="center"/>
            <w:shd w:fill="F6F8FA"/>
          </w:tcPr>
          <w:p>
            <w:pPr>
              <w:spacing w:after="0" w:line="247" w:lineRule="auto"/>
            </w:pPr>
            <w:r>
              <w:rPr>
                <w:sz w:val="18"/>
              </w:rPr>
              <w:t>Plan and resource revisions</w:t>
            </w:r>
          </w:p>
        </w:tc>
        <w:tc>
          <w:tcPr>
            <w:tcW w:type="dxa" w:w="4032"/>
            <w:vAlign w:val="center"/>
            <w:shd w:fill="F6F8FA"/>
          </w:tcPr>
          <w:p>
            <w:pPr>
              <w:spacing w:after="0" w:line="247" w:lineRule="auto"/>
            </w:pPr>
            <w:r>
              <w:rPr>
                <w:sz w:val="18"/>
              </w:rPr>
              <w:t>Validation report; TYPE_MISMATCH or CONFLICT</w:t>
            </w:r>
          </w:p>
        </w:tc>
      </w:tr>
      <w:tr>
        <w:trPr>
          <w:cantSplit/>
        </w:trPr>
        <w:tc>
          <w:tcPr>
            <w:tcW w:type="dxa" w:w="2376"/>
            <w:vAlign w:val="center"/>
            <w:shd w:fill="FFFFFF"/>
          </w:tcPr>
          <w:p>
            <w:pPr>
              <w:spacing w:after="0" w:line="247" w:lineRule="auto"/>
            </w:pPr>
            <w:r>
              <w:rPr>
                <w:sz w:val="18"/>
              </w:rPr>
              <w:t>Policy.Authorize</w:t>
            </w:r>
          </w:p>
        </w:tc>
        <w:tc>
          <w:tcPr>
            <w:tcW w:type="dxa" w:w="3672"/>
            <w:vAlign w:val="center"/>
            <w:shd w:fill="FFFFFF"/>
          </w:tcPr>
          <w:p>
            <w:pPr>
              <w:spacing w:after="0" w:line="247" w:lineRule="auto"/>
            </w:pPr>
            <w:r>
              <w:rPr>
                <w:sz w:val="18"/>
              </w:rPr>
              <w:t>Plan hash and effect scope</w:t>
            </w:r>
          </w:p>
        </w:tc>
        <w:tc>
          <w:tcPr>
            <w:tcW w:type="dxa" w:w="4032"/>
            <w:vAlign w:val="center"/>
            <w:shd w:fill="FFFFFF"/>
          </w:tcPr>
          <w:p>
            <w:pPr>
              <w:spacing w:after="0" w:line="247" w:lineRule="auto"/>
            </w:pPr>
            <w:r>
              <w:rPr>
                <w:sz w:val="18"/>
              </w:rPr>
              <w:t>Capability handles or WAITING_USER; DENIED</w:t>
            </w:r>
          </w:p>
        </w:tc>
      </w:tr>
      <w:tr>
        <w:trPr>
          <w:cantSplit/>
        </w:trPr>
        <w:tc>
          <w:tcPr>
            <w:tcW w:type="dxa" w:w="2376"/>
            <w:vAlign w:val="center"/>
            <w:shd w:fill="F6F8FA"/>
          </w:tcPr>
          <w:p>
            <w:pPr>
              <w:spacing w:after="0" w:line="247" w:lineRule="auto"/>
            </w:pPr>
            <w:r>
              <w:rPr>
                <w:sz w:val="18"/>
              </w:rPr>
              <w:t>Workflow.Start</w:t>
            </w:r>
          </w:p>
        </w:tc>
        <w:tc>
          <w:tcPr>
            <w:tcW w:type="dxa" w:w="3672"/>
            <w:vAlign w:val="center"/>
            <w:shd w:fill="F6F8FA"/>
          </w:tcPr>
          <w:p>
            <w:pPr>
              <w:spacing w:after="0" w:line="247" w:lineRule="auto"/>
            </w:pPr>
            <w:r>
              <w:rPr>
                <w:sz w:val="18"/>
              </w:rPr>
              <w:t>Validated plan ID and grants</w:t>
            </w:r>
          </w:p>
        </w:tc>
        <w:tc>
          <w:tcPr>
            <w:tcW w:type="dxa" w:w="4032"/>
            <w:vAlign w:val="center"/>
            <w:shd w:fill="F6F8FA"/>
          </w:tcPr>
          <w:p>
            <w:pPr>
              <w:spacing w:after="0" w:line="247" w:lineRule="auto"/>
            </w:pPr>
            <w:r>
              <w:rPr>
                <w:sz w:val="18"/>
              </w:rPr>
              <w:t>Running job ID; RESOURCE_EXHAUSTED</w:t>
            </w:r>
          </w:p>
        </w:tc>
      </w:tr>
      <w:tr>
        <w:trPr>
          <w:cantSplit/>
        </w:trPr>
        <w:tc>
          <w:tcPr>
            <w:tcW w:type="dxa" w:w="2376"/>
            <w:vAlign w:val="center"/>
            <w:shd w:fill="FFFFFF"/>
          </w:tcPr>
          <w:p>
            <w:pPr>
              <w:spacing w:after="0" w:line="247" w:lineRule="auto"/>
            </w:pPr>
            <w:r>
              <w:rPr>
                <w:sz w:val="18"/>
              </w:rPr>
              <w:t>Workflow.Status</w:t>
            </w:r>
          </w:p>
        </w:tc>
        <w:tc>
          <w:tcPr>
            <w:tcW w:type="dxa" w:w="3672"/>
            <w:vAlign w:val="center"/>
            <w:shd w:fill="FFFFFF"/>
          </w:tcPr>
          <w:p>
            <w:pPr>
              <w:spacing w:after="0" w:line="247" w:lineRule="auto"/>
            </w:pPr>
            <w:r>
              <w:rPr>
                <w:sz w:val="18"/>
              </w:rPr>
              <w:t>workflow_id and event cursor</w:t>
            </w:r>
          </w:p>
        </w:tc>
        <w:tc>
          <w:tcPr>
            <w:tcW w:type="dxa" w:w="4032"/>
            <w:vAlign w:val="center"/>
            <w:shd w:fill="FFFFFF"/>
          </w:tcPr>
          <w:p>
            <w:pPr>
              <w:spacing w:after="0" w:line="247" w:lineRule="auto"/>
            </w:pPr>
            <w:r>
              <w:rPr>
                <w:sz w:val="18"/>
              </w:rPr>
              <w:t>Durable step states and receipts</w:t>
            </w:r>
          </w:p>
        </w:tc>
      </w:tr>
      <w:tr>
        <w:trPr>
          <w:cantSplit/>
        </w:trPr>
        <w:tc>
          <w:tcPr>
            <w:tcW w:type="dxa" w:w="2376"/>
            <w:vAlign w:val="center"/>
            <w:shd w:fill="F6F8FA"/>
          </w:tcPr>
          <w:p>
            <w:pPr>
              <w:spacing w:after="0" w:line="247" w:lineRule="auto"/>
            </w:pPr>
            <w:r>
              <w:rPr>
                <w:sz w:val="18"/>
              </w:rPr>
              <w:t>Workflow.Cancel</w:t>
            </w:r>
          </w:p>
        </w:tc>
        <w:tc>
          <w:tcPr>
            <w:tcW w:type="dxa" w:w="3672"/>
            <w:vAlign w:val="center"/>
            <w:shd w:fill="F6F8FA"/>
          </w:tcPr>
          <w:p>
            <w:pPr>
              <w:spacing w:after="0" w:line="247" w:lineRule="auto"/>
            </w:pPr>
            <w:r>
              <w:rPr>
                <w:sz w:val="18"/>
              </w:rPr>
              <w:t>workflow_id and expected revision</w:t>
            </w:r>
          </w:p>
        </w:tc>
        <w:tc>
          <w:tcPr>
            <w:tcW w:type="dxa" w:w="4032"/>
            <w:vAlign w:val="center"/>
            <w:shd w:fill="F6F8FA"/>
          </w:tcPr>
          <w:p>
            <w:pPr>
              <w:spacing w:after="0" w:line="247" w:lineRule="auto"/>
            </w:pPr>
            <w:r>
              <w:rPr>
                <w:sz w:val="18"/>
              </w:rPr>
              <w:t>Cancel state; ALREADY_COMMITTED</w:t>
            </w:r>
          </w:p>
        </w:tc>
      </w:tr>
      <w:tr>
        <w:trPr>
          <w:cantSplit/>
        </w:trPr>
        <w:tc>
          <w:tcPr>
            <w:tcW w:type="dxa" w:w="2376"/>
            <w:vAlign w:val="center"/>
            <w:shd w:fill="FFFFFF"/>
          </w:tcPr>
          <w:p>
            <w:pPr>
              <w:spacing w:after="0" w:line="247" w:lineRule="auto"/>
            </w:pPr>
            <w:r>
              <w:rPr>
                <w:sz w:val="18"/>
              </w:rPr>
              <w:t>Artifact.Search</w:t>
            </w:r>
          </w:p>
        </w:tc>
        <w:tc>
          <w:tcPr>
            <w:tcW w:type="dxa" w:w="3672"/>
            <w:vAlign w:val="center"/>
            <w:shd w:fill="FFFFFF"/>
          </w:tcPr>
          <w:p>
            <w:pPr>
              <w:spacing w:after="0" w:line="247" w:lineRule="auto"/>
            </w:pPr>
            <w:r>
              <w:rPr>
                <w:sz w:val="18"/>
              </w:rPr>
              <w:t>Query and principal scope</w:t>
            </w:r>
          </w:p>
        </w:tc>
        <w:tc>
          <w:tcPr>
            <w:tcW w:type="dxa" w:w="4032"/>
            <w:vAlign w:val="center"/>
            <w:shd w:fill="FFFFFF"/>
          </w:tcPr>
          <w:p>
            <w:pPr>
              <w:spacing w:after="0" w:line="247" w:lineRule="auto"/>
            </w:pPr>
            <w:r>
              <w:rPr>
                <w:sz w:val="18"/>
              </w:rPr>
              <w:t>Object/version references; INDEX_UNAVAILABLE</w:t>
            </w:r>
          </w:p>
        </w:tc>
      </w:tr>
      <w:tr>
        <w:trPr>
          <w:cantSplit/>
        </w:trPr>
        <w:tc>
          <w:tcPr>
            <w:tcW w:type="dxa" w:w="2376"/>
            <w:vAlign w:val="center"/>
            <w:shd w:fill="F6F8FA"/>
          </w:tcPr>
          <w:p>
            <w:pPr>
              <w:spacing w:after="0" w:line="247" w:lineRule="auto"/>
            </w:pPr>
            <w:r>
              <w:rPr>
                <w:sz w:val="18"/>
              </w:rPr>
              <w:t>Artifact.Stage</w:t>
            </w:r>
          </w:p>
        </w:tc>
        <w:tc>
          <w:tcPr>
            <w:tcW w:type="dxa" w:w="3672"/>
            <w:vAlign w:val="center"/>
            <w:shd w:fill="F6F8FA"/>
          </w:tcPr>
          <w:p>
            <w:pPr>
              <w:spacing w:after="0" w:line="247" w:lineRule="auto"/>
            </w:pPr>
            <w:r>
              <w:rPr>
                <w:sz w:val="18"/>
              </w:rPr>
              <w:t>Input versions and output declaration</w:t>
            </w:r>
          </w:p>
        </w:tc>
        <w:tc>
          <w:tcPr>
            <w:tcW w:type="dxa" w:w="4032"/>
            <w:vAlign w:val="center"/>
            <w:shd w:fill="F6F8FA"/>
          </w:tcPr>
          <w:p>
            <w:pPr>
              <w:spacing w:after="0" w:line="247" w:lineRule="auto"/>
            </w:pPr>
            <w:r>
              <w:rPr>
                <w:sz w:val="18"/>
              </w:rPr>
              <w:t>Staging handles and operation_id</w:t>
            </w:r>
          </w:p>
        </w:tc>
      </w:tr>
      <w:tr>
        <w:trPr>
          <w:cantSplit/>
        </w:trPr>
        <w:tc>
          <w:tcPr>
            <w:tcW w:type="dxa" w:w="2376"/>
            <w:vAlign w:val="center"/>
            <w:shd w:fill="FFFFFF"/>
          </w:tcPr>
          <w:p>
            <w:pPr>
              <w:spacing w:after="0" w:line="247" w:lineRule="auto"/>
            </w:pPr>
            <w:r>
              <w:rPr>
                <w:sz w:val="18"/>
              </w:rPr>
              <w:t>Artifact.Commit</w:t>
            </w:r>
          </w:p>
        </w:tc>
        <w:tc>
          <w:tcPr>
            <w:tcW w:type="dxa" w:w="3672"/>
            <w:vAlign w:val="center"/>
            <w:shd w:fill="FFFFFF"/>
          </w:tcPr>
          <w:p>
            <w:pPr>
              <w:spacing w:after="0" w:line="247" w:lineRule="auto"/>
            </w:pPr>
            <w:r>
              <w:rPr>
                <w:sz w:val="18"/>
              </w:rPr>
              <w:t>Operation ID, hashes and preconditions</w:t>
            </w:r>
          </w:p>
        </w:tc>
        <w:tc>
          <w:tcPr>
            <w:tcW w:type="dxa" w:w="4032"/>
            <w:vAlign w:val="center"/>
            <w:shd w:fill="FFFFFF"/>
          </w:tcPr>
          <w:p>
            <w:pPr>
              <w:spacing w:after="0" w:line="247" w:lineRule="auto"/>
            </w:pPr>
            <w:r>
              <w:rPr>
                <w:sz w:val="18"/>
              </w:rPr>
              <w:t>Published versions; CONFLICT or NO_SPACE</w:t>
            </w:r>
          </w:p>
        </w:tc>
      </w:tr>
      <w:tr>
        <w:trPr>
          <w:cantSplit/>
        </w:trPr>
        <w:tc>
          <w:tcPr>
            <w:tcW w:type="dxa" w:w="2376"/>
            <w:vAlign w:val="center"/>
            <w:shd w:fill="F6F8FA"/>
          </w:tcPr>
          <w:p>
            <w:pPr>
              <w:spacing w:after="0" w:line="247" w:lineRule="auto"/>
            </w:pPr>
            <w:r>
              <w:rPr>
                <w:sz w:val="18"/>
              </w:rPr>
              <w:t>Inference.Run</w:t>
            </w:r>
          </w:p>
        </w:tc>
        <w:tc>
          <w:tcPr>
            <w:tcW w:type="dxa" w:w="3672"/>
            <w:vAlign w:val="center"/>
            <w:shd w:fill="F6F8FA"/>
          </w:tcPr>
          <w:p>
            <w:pPr>
              <w:spacing w:after="0" w:line="247" w:lineRule="auto"/>
            </w:pPr>
            <w:r>
              <w:rPr>
                <w:sz w:val="18"/>
              </w:rPr>
              <w:t>Model/profile, input refs, budgets</w:t>
            </w:r>
          </w:p>
        </w:tc>
        <w:tc>
          <w:tcPr>
            <w:tcW w:type="dxa" w:w="4032"/>
            <w:vAlign w:val="center"/>
            <w:shd w:fill="F6F8FA"/>
          </w:tcPr>
          <w:p>
            <w:pPr>
              <w:spacing w:after="0" w:line="247" w:lineRule="auto"/>
            </w:pPr>
            <w:r>
              <w:rPr>
                <w:sz w:val="18"/>
              </w:rPr>
              <w:t>Token or structured-output stream; UNSUPPORTED_PROFILE</w:t>
            </w:r>
          </w:p>
        </w:tc>
      </w:tr>
      <w:tr>
        <w:trPr>
          <w:cantSplit/>
        </w:trPr>
        <w:tc>
          <w:tcPr>
            <w:tcW w:type="dxa" w:w="2376"/>
            <w:vAlign w:val="center"/>
            <w:shd w:fill="FFFFFF"/>
          </w:tcPr>
          <w:p>
            <w:pPr>
              <w:spacing w:after="0" w:line="247" w:lineRule="auto"/>
            </w:pPr>
            <w:r>
              <w:rPr>
                <w:sz w:val="18"/>
              </w:rPr>
              <w:t>Hardware.ApplyPolicy</w:t>
            </w:r>
          </w:p>
        </w:tc>
        <w:tc>
          <w:tcPr>
            <w:tcW w:type="dxa" w:w="3672"/>
            <w:vAlign w:val="center"/>
            <w:shd w:fill="FFFFFF"/>
          </w:tcPr>
          <w:p>
            <w:pPr>
              <w:spacing w:after="0" w:line="247" w:lineRule="auto"/>
            </w:pPr>
            <w:r>
              <w:rPr>
                <w:sz w:val="18"/>
              </w:rPr>
              <w:t>Device generation and validated profile</w:t>
            </w:r>
          </w:p>
        </w:tc>
        <w:tc>
          <w:tcPr>
            <w:tcW w:type="dxa" w:w="4032"/>
            <w:vAlign w:val="center"/>
            <w:shd w:fill="FFFFFF"/>
          </w:tcPr>
          <w:p>
            <w:pPr>
              <w:spacing w:after="0" w:line="247" w:lineRule="auto"/>
            </w:pPr>
            <w:r>
              <w:rPr>
                <w:sz w:val="18"/>
              </w:rPr>
              <w:t>Configuration receipt; DEVICE_REMOVED</w:t>
            </w:r>
          </w:p>
        </w:tc>
      </w:tr>
      <w:tr>
        <w:trPr>
          <w:cantSplit/>
        </w:trPr>
        <w:tc>
          <w:tcPr>
            <w:tcW w:type="dxa" w:w="2376"/>
            <w:vAlign w:val="center"/>
            <w:shd w:fill="F6F8FA"/>
          </w:tcPr>
          <w:p>
            <w:pPr>
              <w:spacing w:after="0" w:line="247" w:lineRule="auto"/>
            </w:pPr>
            <w:r>
              <w:rPr>
                <w:sz w:val="18"/>
              </w:rPr>
              <w:t>Update.Stage</w:t>
            </w:r>
          </w:p>
        </w:tc>
        <w:tc>
          <w:tcPr>
            <w:tcW w:type="dxa" w:w="3672"/>
            <w:vAlign w:val="center"/>
            <w:shd w:fill="F6F8FA"/>
          </w:tcPr>
          <w:p>
            <w:pPr>
              <w:spacing w:after="0" w:line="247" w:lineRule="auto"/>
            </w:pPr>
            <w:r>
              <w:rPr>
                <w:sz w:val="18"/>
              </w:rPr>
              <w:t>Signed release manifest</w:t>
            </w:r>
          </w:p>
        </w:tc>
        <w:tc>
          <w:tcPr>
            <w:tcW w:type="dxa" w:w="4032"/>
            <w:vAlign w:val="center"/>
            <w:shd w:fill="F6F8FA"/>
          </w:tcPr>
          <w:p>
            <w:pPr>
              <w:spacing w:after="0" w:line="247" w:lineRule="auto"/>
            </w:pPr>
            <w:r>
              <w:rPr>
                <w:sz w:val="18"/>
              </w:rPr>
              <w:t>Trial slot ID; INCOMPATIBLE_RELEASE</w:t>
            </w:r>
          </w:p>
        </w:tc>
      </w:tr>
    </w:tbl>
    <w:p>
      <w:pPr>
        <w:spacing w:after="20"/>
      </w:pPr>
    </w:p>
    <w:p>
      <w:pPr>
        <w:pStyle w:val="Heading2"/>
      </w:pPr>
      <w:r>
        <w:t>13.3 Illustrative skill manifest</w:t>
      </w:r>
    </w:p>
    <w:p>
      <w:r>
        <w:t>The example below is a proposed contract, not an existing standard. Resource numbers are defaults for the example worker and exclude memory owned by the shared model service. Real releases shall publish the full JSON Schema and generated SDK bindings.</w:t>
      </w:r>
    </w:p>
    <w:p>
      <w:pPr>
        <w:pStyle w:val="Code"/>
        <w:keepNext w:val="0"/>
      </w:pPr>
      <w:r>
        <w:t>{</w:t>
      </w:r>
    </w:p>
    <w:p>
      <w:pPr>
        <w:pStyle w:val="Code"/>
        <w:keepNext w:val="0"/>
      </w:pPr>
      <w:r>
        <w:t xml:space="preserve">  "schema_version": "1.0",</w:t>
      </w:r>
    </w:p>
    <w:p>
      <w:pPr>
        <w:pStyle w:val="Code"/>
        <w:keepNext w:val="0"/>
      </w:pPr>
      <w:r>
        <w:t xml:space="preserve">  "skill_id": "local.sheet.create",</w:t>
      </w:r>
    </w:p>
    <w:p>
      <w:pPr>
        <w:pStyle w:val="Code"/>
        <w:keepNext w:val="0"/>
      </w:pPr>
      <w:r>
        <w:t xml:space="preserve">  "version": "1.0.0",</w:t>
      </w:r>
    </w:p>
    <w:p>
      <w:pPr>
        <w:pStyle w:val="Code"/>
        <w:keepNext w:val="0"/>
      </w:pPr>
      <w:r>
        <w:t xml:space="preserve">  "runtime": "linux-sandbox",</w:t>
      </w:r>
    </w:p>
    <w:p>
      <w:pPr>
        <w:pStyle w:val="Code"/>
        <w:keepNext w:val="0"/>
      </w:pPr>
      <w:r>
        <w:t xml:space="preserve">  "architectures": ["x86_64", "aarch64"],</w:t>
      </w:r>
    </w:p>
    <w:p>
      <w:pPr>
        <w:pStyle w:val="Code"/>
        <w:keepNext w:val="0"/>
      </w:pPr>
      <w:r>
        <w:t xml:space="preserve">  "entrypoint": "/skill/bin/create-sheet",</w:t>
      </w:r>
    </w:p>
    <w:p>
      <w:pPr>
        <w:pStyle w:val="Code"/>
        <w:keepNext w:val="0"/>
      </w:pPr>
      <w:r>
        <w:t xml:space="preserve">  "input_schema": "schemas/input.json",</w:t>
      </w:r>
    </w:p>
    <w:p>
      <w:pPr>
        <w:pStyle w:val="Code"/>
        <w:keepNext w:val="0"/>
      </w:pPr>
      <w:r>
        <w:t xml:space="preserve">  "output_schema": "schemas/output.json",</w:t>
      </w:r>
    </w:p>
    <w:p>
      <w:pPr>
        <w:pStyle w:val="Code"/>
        <w:keepNext w:val="0"/>
      </w:pPr>
      <w:r>
        <w:t xml:space="preserve">  "effect": "reversible_local_write",</w:t>
      </w:r>
    </w:p>
    <w:p>
      <w:pPr>
        <w:pStyle w:val="Code"/>
        <w:keepNext w:val="0"/>
      </w:pPr>
      <w:r>
        <w:t xml:space="preserve">  "capabilities": ["artifact.read", "artifact.stage"],</w:t>
      </w:r>
    </w:p>
    <w:p>
      <w:pPr>
        <w:pStyle w:val="Code"/>
        <w:keepNext w:val="0"/>
      </w:pPr>
      <w:r>
        <w:t xml:space="preserve">  "network": "deny",</w:t>
      </w:r>
    </w:p>
    <w:p>
      <w:pPr>
        <w:pStyle w:val="Code"/>
        <w:keepNext w:val="0"/>
      </w:pPr>
      <w:r>
        <w:t xml:space="preserve">  "limits": {</w:t>
      </w:r>
    </w:p>
    <w:p>
      <w:pPr>
        <w:pStyle w:val="Code"/>
        <w:keepNext w:val="0"/>
      </w:pPr>
      <w:r>
        <w:t xml:space="preserve">    "memory_mib": 2048, "cpu_cores": 2,</w:t>
      </w:r>
    </w:p>
    <w:p>
      <w:pPr>
        <w:pStyle w:val="Code"/>
        <w:keepNext w:val="0"/>
      </w:pPr>
      <w:r>
        <w:t xml:space="preserve">    "scratch_mib": 4096, "timeout_seconds": 120</w:t>
      </w:r>
    </w:p>
    <w:p>
      <w:pPr>
        <w:pStyle w:val="Code"/>
        <w:keepNext w:val="0"/>
      </w:pPr>
      <w:r>
        <w:t xml:space="preserve">  },</w:t>
      </w:r>
    </w:p>
    <w:p>
      <w:pPr>
        <w:pStyle w:val="Code"/>
        <w:keepNext w:val="0"/>
      </w:pPr>
      <w:r>
        <w:t xml:space="preserve">  "state": "external_checkpoint",</w:t>
      </w:r>
    </w:p>
    <w:p>
      <w:pPr>
        <w:pStyle w:val="Code"/>
        <w:keepNext w:val="0"/>
      </w:pPr>
      <w:r>
        <w:t xml:space="preserve">  "publisher": "os-core",</w:t>
      </w:r>
    </w:p>
    <w:p>
      <w:pPr>
        <w:pStyle w:val="Code"/>
        <w:keepNext w:val="0"/>
      </w:pPr>
      <w:r>
        <w:t xml:space="preserve">  "content_manifest": "hashes.json"</w:t>
      </w:r>
    </w:p>
    <w:p>
      <w:pPr>
        <w:pStyle w:val="Code"/>
        <w:keepNext w:val="0"/>
      </w:pPr>
      <w:r>
        <w:t>}</w:t>
      </w:r>
    </w:p>
    <w:p/>
    <w:p>
      <w:pPr>
        <w:pStyle w:val="Heading2"/>
      </w:pPr>
      <w:r>
        <w:t>13.4 Illustrative plan fragment</w:t>
      </w:r>
    </w:p>
    <w:p>
      <w:pPr>
        <w:pStyle w:val="Code"/>
        <w:keepNext w:val="0"/>
      </w:pPr>
      <w:r>
        <w:t>{</w:t>
      </w:r>
    </w:p>
    <w:p>
      <w:pPr>
        <w:pStyle w:val="Code"/>
        <w:keepNext w:val="0"/>
      </w:pPr>
      <w:r>
        <w:t xml:space="preserve">  "plan_version": "1.0",</w:t>
      </w:r>
    </w:p>
    <w:p>
      <w:pPr>
        <w:pStyle w:val="Code"/>
        <w:keepNext w:val="0"/>
      </w:pPr>
      <w:r>
        <w:t xml:space="preserve">  "workflow_id": "wf-example-001",</w:t>
      </w:r>
    </w:p>
    <w:p>
      <w:pPr>
        <w:pStyle w:val="Code"/>
        <w:keepNext w:val="0"/>
      </w:pPr>
      <w:r>
        <w:t xml:space="preserve">  "steps": [</w:t>
      </w:r>
    </w:p>
    <w:p>
      <w:pPr>
        <w:pStyle w:val="Code"/>
        <w:keepNext w:val="0"/>
      </w:pPr>
      <w:r>
        <w:t xml:space="preserve">    {</w:t>
      </w:r>
    </w:p>
    <w:p>
      <w:pPr>
        <w:pStyle w:val="Code"/>
        <w:keepNext w:val="0"/>
      </w:pPr>
      <w:r>
        <w:t xml:space="preserve">      "id": "calculate",</w:t>
      </w:r>
    </w:p>
    <w:p>
      <w:pPr>
        <w:pStyle w:val="Code"/>
        <w:keepNext w:val="0"/>
      </w:pPr>
      <w:r>
        <w:t xml:space="preserve">      "skill": "local.data.aggregate@1.0.0",</w:t>
      </w:r>
    </w:p>
    <w:p>
      <w:pPr>
        <w:pStyle w:val="Code"/>
        <w:keepNext w:val="0"/>
      </w:pPr>
      <w:r>
        <w:t xml:space="preserve">      "inputs": [{"object_id": "obj-17", "version": 4}],</w:t>
      </w:r>
    </w:p>
    <w:p>
      <w:pPr>
        <w:pStyle w:val="Code"/>
        <w:keepNext w:val="0"/>
      </w:pPr>
      <w:r>
        <w:t xml:space="preserve">      "args": {"group_by": "month", "sum": "amount"},</w:t>
      </w:r>
    </w:p>
    <w:p>
      <w:pPr>
        <w:pStyle w:val="Code"/>
        <w:keepNext w:val="0"/>
      </w:pPr>
      <w:r>
        <w:t xml:space="preserve">      "effect": "read",</w:t>
      </w:r>
    </w:p>
    <w:p>
      <w:pPr>
        <w:pStyle w:val="Code"/>
        <w:keepNext w:val="0"/>
      </w:pPr>
      <w:r>
        <w:t xml:space="preserve">      "depends_on": []</w:t>
      </w:r>
    </w:p>
    <w:p>
      <w:pPr>
        <w:pStyle w:val="Code"/>
        <w:keepNext w:val="0"/>
      </w:pPr>
      <w:r>
        <w:t xml:space="preserve">    },</w:t>
      </w:r>
    </w:p>
    <w:p>
      <w:pPr>
        <w:pStyle w:val="Code"/>
        <w:keepNext w:val="0"/>
      </w:pPr>
      <w:r>
        <w:t xml:space="preserve">    {</w:t>
      </w:r>
    </w:p>
    <w:p>
      <w:pPr>
        <w:pStyle w:val="Code"/>
        <w:keepNext w:val="0"/>
      </w:pPr>
      <w:r>
        <w:t xml:space="preserve">      "id": "sheet",</w:t>
      </w:r>
    </w:p>
    <w:p>
      <w:pPr>
        <w:pStyle w:val="Code"/>
        <w:keepNext w:val="0"/>
      </w:pPr>
      <w:r>
        <w:t xml:space="preserve">      "skill": "local.sheet.create@1.0.0",</w:t>
      </w:r>
    </w:p>
    <w:p>
      <w:pPr>
        <w:pStyle w:val="Code"/>
        <w:keepNext w:val="0"/>
      </w:pPr>
      <w:r>
        <w:t xml:space="preserve">      "inputs": [{"step_output": "calculate.table"}],</w:t>
      </w:r>
    </w:p>
    <w:p>
      <w:pPr>
        <w:pStyle w:val="Code"/>
        <w:keepNext w:val="0"/>
      </w:pPr>
      <w:r>
        <w:t xml:space="preserve">      "args": {"name": "Electricity Costs.xlsx"},</w:t>
      </w:r>
    </w:p>
    <w:p>
      <w:pPr>
        <w:pStyle w:val="Code"/>
        <w:keepNext w:val="0"/>
      </w:pPr>
      <w:r>
        <w:t xml:space="preserve">      "effect": "reversible_local_write",</w:t>
      </w:r>
    </w:p>
    <w:p>
      <w:pPr>
        <w:pStyle w:val="Code"/>
        <w:keepNext w:val="0"/>
      </w:pPr>
      <w:r>
        <w:t xml:space="preserve">      "depends_on": ["calculate"]</w:t>
      </w:r>
    </w:p>
    <w:p>
      <w:pPr>
        <w:pStyle w:val="Code"/>
        <w:keepNext w:val="0"/>
      </w:pPr>
      <w:r>
        <w:t xml:space="preserve">    }</w:t>
      </w:r>
    </w:p>
    <w:p>
      <w:pPr>
        <w:pStyle w:val="Code"/>
        <w:keepNext w:val="0"/>
      </w:pPr>
      <w:r>
        <w:t xml:space="preserve">  ],</w:t>
      </w:r>
    </w:p>
    <w:p>
      <w:pPr>
        <w:pStyle w:val="Code"/>
        <w:keepNext w:val="0"/>
      </w:pPr>
      <w:r>
        <w:t xml:space="preserve">  "limits": {"max_steps": 20, "wall_seconds": 180}</w:t>
      </w:r>
    </w:p>
    <w:p>
      <w:pPr>
        <w:pStyle w:val="Code"/>
        <w:keepNext w:val="0"/>
      </w:pPr>
      <w:r>
        <w:t>}</w:t>
      </w:r>
    </w:p>
    <w:p/>
    <w:p>
      <w:r>
        <w:t>Object IDs above are illustrative. The engine replaces symbolic step outputs with validated immutable references, resolves the exact skill digests, and computes a canonical plan hash before authorization. Authorization handles are supplied by the broker after validation and are not generated inside this plan.</w:t>
      </w:r>
    </w:p>
    <w:p>
      <w:pPr>
        <w:pStyle w:val="Heading2"/>
      </w:pPr>
      <w:r>
        <w:t>13.5 Effect execution algorithm</w:t>
      </w:r>
    </w:p>
    <w:p>
      <w:pPr>
        <w:pStyle w:val="Code"/>
        <w:keepNext/>
      </w:pPr>
      <w:r>
        <w:t>receive request and authenticate local peer</w:t>
      </w:r>
    </w:p>
    <w:p>
      <w:pPr>
        <w:pStyle w:val="Code"/>
        <w:keepNext/>
      </w:pPr>
      <w:r>
        <w:t>resolve workflow and skill digest</w:t>
      </w:r>
    </w:p>
    <w:p>
      <w:pPr>
        <w:pStyle w:val="Code"/>
        <w:keepNext/>
      </w:pPr>
      <w:r>
        <w:t>validate schema and immutable input versions</w:t>
      </w:r>
    </w:p>
    <w:p>
      <w:pPr>
        <w:pStyle w:val="Code"/>
        <w:keepNext/>
      </w:pPr>
      <w:r>
        <w:t>check deadline and resource reservation</w:t>
      </w:r>
    </w:p>
    <w:p>
      <w:pPr>
        <w:pStyle w:val="Code"/>
        <w:keepNext/>
      </w:pPr>
      <w:r>
        <w:t>resolve existing result for idempotency key</w:t>
      </w:r>
    </w:p>
    <w:p>
      <w:pPr>
        <w:pStyle w:val="Code"/>
        <w:keepNext/>
      </w:pPr>
      <w:r>
        <w:t>check capability scope and revocation revision</w:t>
      </w:r>
    </w:p>
    <w:p>
      <w:pPr>
        <w:pStyle w:val="Code"/>
        <w:keepNext/>
      </w:pPr>
      <w:r>
        <w:t>start isolated worker with scoped handles</w:t>
      </w:r>
    </w:p>
    <w:p>
      <w:pPr>
        <w:pStyle w:val="Code"/>
        <w:keepNext/>
      </w:pPr>
      <w:r>
        <w:t>receive structured output and verify declared effects</w:t>
      </w:r>
    </w:p>
    <w:p>
      <w:pPr>
        <w:pStyle w:val="Code"/>
        <w:keepNext/>
      </w:pPr>
      <w:r>
        <w:t>stage and validate local artifacts</w:t>
      </w:r>
    </w:p>
    <w:p>
      <w:pPr>
        <w:pStyle w:val="Code"/>
        <w:keepNext/>
      </w:pPr>
      <w:r>
        <w:t>commit with version preconditions</w:t>
      </w:r>
    </w:p>
    <w:p>
      <w:pPr>
        <w:pStyle w:val="Code"/>
        <w:keepNext w:val="0"/>
      </w:pPr>
      <w:r>
        <w:t>record receipt and release resource leases</w:t>
      </w:r>
    </w:p>
    <w:p/>
    <w:p>
      <w:r>
        <w:t>Validation failures do not trigger execution. Runtime failures include a stable error code, retriable flag, last durable state, and safe diagnostic summary. The executor records whether any effect occurred. Raw stack traces remain in restricted diagnostic logs. Deadlines are monotonic within a boot session; persisted jobs translate deadlines safely after restart instead of assuming a wall-clock correction grants unlimited time.</w:t>
      </w:r>
    </w:p>
    <w:p>
      <w:pPr>
        <w:pStyle w:val="Heading1"/>
      </w:pPr>
      <w:r>
        <w:t>14 Model size memory and performance sizing</w:t>
      </w:r>
    </w:p>
    <w:p>
      <w:pPr>
        <w:pStyle w:val="Heading2"/>
      </w:pPr>
      <w:r>
        <w:t>14.1 Recommended parameter range</w:t>
      </w:r>
    </w:p>
    <w:p>
      <w:r>
        <w:t>For an initial mainstream product, target an 8–9B main model at approximately 4-bit weights on a 32 GB system, with an 8K context and one active foreground generation. This range balances local capability with memory and responsiveness. It remains a hypothesis until the selected model passes OS-specific tasks on the actual accelerator. A well-tuned 4B model with reliable skills may outperform a larger untuned model on this product’s workflows.</w:t>
      </w:r>
    </w:p>
    <w:p>
      <w:r>
        <w:t>A 3–4B model is the compact edition for 16 GB devices, battery modes, or backends limited to prepared small models. A 14B specialist fits more comfortably on 64 GB machines or a discrete GPU with adequate dedicated memory. A 24–32B model is a premium on-demand coding or reasoning option on 64–128 GB unified-memory systems or sufficiently large GPUs. It should not be the universally resident OS controller.</w:t>
      </w:r>
    </w:p>
    <w:p>
      <w:r>
        <w:t>Do not use active parameters of a mixture-of-experts model as the memory budget. Total resident experts, embeddings, shared layers, and routing state determine storage and much of the memory requirement unless a measured expert-offload strategy is used. Offloading can introduce storage or host-device latency. Likewise, parameter count does not include all temporary buffers or guarantee equal ability across architectures.</w:t>
      </w:r>
    </w:p>
    <w:p>
      <w:pPr>
        <w:pStyle w:val="Heading2"/>
      </w:pPr>
      <w:r>
        <w:t>14.2 Weight storage calculation</w:t>
      </w:r>
    </w:p>
    <w:p>
      <w:r>
        <w:t>An idealized weight payload equals parameter count multiplied by bits per weight divided by eight. Actual packages add scales, zero points, mixed-precision tensors, alignment, tokenizer data, and other model components. The table uses decimal GB for weight bytes; memory planning elsewhere uses GiB, where 1 GiB equals 1,073,741,824 bytes.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944"/>
        <w:gridCol w:w="2448"/>
        <w:gridCol w:w="2520"/>
        <w:gridCol w:w="3168"/>
      </w:tblGrid>
      <w:tr>
        <w:trPr>
          <w:cantSplit/>
          <w:tblHeader/>
        </w:trPr>
        <w:tc>
          <w:tcPr>
            <w:tcW w:type="dxa" w:w="1944"/>
            <w:vAlign w:val="center"/>
            <w:shd w:fill="DCE6EE"/>
          </w:tcPr>
          <w:p>
            <w:pPr>
              <w:keepNext/>
              <w:spacing w:after="0" w:line="247" w:lineRule="auto"/>
            </w:pPr>
            <w:r>
              <w:rPr>
                <w:b/>
                <w:sz w:val="18"/>
              </w:rPr>
              <w:t>Nominal size</w:t>
            </w:r>
          </w:p>
        </w:tc>
        <w:tc>
          <w:tcPr>
            <w:tcW w:type="dxa" w:w="2448"/>
            <w:vAlign w:val="center"/>
            <w:shd w:fill="DCE6EE"/>
          </w:tcPr>
          <w:p>
            <w:pPr>
              <w:keepNext/>
              <w:spacing w:after="0" w:line="247" w:lineRule="auto"/>
            </w:pPr>
            <w:r>
              <w:rPr>
                <w:b/>
                <w:sz w:val="18"/>
              </w:rPr>
              <w:t>Ideal 4 bit weights in GB</w:t>
            </w:r>
          </w:p>
        </w:tc>
        <w:tc>
          <w:tcPr>
            <w:tcW w:type="dxa" w:w="2520"/>
            <w:vAlign w:val="center"/>
            <w:shd w:fill="DCE6EE"/>
          </w:tcPr>
          <w:p>
            <w:pPr>
              <w:keepNext/>
              <w:spacing w:after="0" w:line="247" w:lineRule="auto"/>
            </w:pPr>
            <w:r>
              <w:rPr>
                <w:b/>
                <w:sz w:val="18"/>
              </w:rPr>
              <w:t>Planning weight package in GB</w:t>
            </w:r>
          </w:p>
        </w:tc>
        <w:tc>
          <w:tcPr>
            <w:tcW w:type="dxa" w:w="3168"/>
            <w:vAlign w:val="center"/>
            <w:shd w:fill="DCE6EE"/>
          </w:tcPr>
          <w:p>
            <w:pPr>
              <w:keepNext/>
              <w:spacing w:after="0" w:line="247" w:lineRule="auto"/>
            </w:pPr>
            <w:r>
              <w:rPr>
                <w:b/>
                <w:sz w:val="18"/>
              </w:rPr>
              <w:t>Suggested system RAM</w:t>
            </w:r>
          </w:p>
        </w:tc>
      </w:tr>
      <w:tr>
        <w:trPr>
          <w:cantSplit/>
        </w:trPr>
        <w:tc>
          <w:tcPr>
            <w:tcW w:type="dxa" w:w="1944"/>
            <w:vAlign w:val="center"/>
            <w:shd w:fill="FFFFFF"/>
          </w:tcPr>
          <w:p>
            <w:pPr>
              <w:spacing w:after="0" w:line="247" w:lineRule="auto"/>
            </w:pPr>
            <w:r>
              <w:rPr>
                <w:sz w:val="18"/>
              </w:rPr>
              <w:t>3B</w:t>
            </w:r>
          </w:p>
        </w:tc>
        <w:tc>
          <w:tcPr>
            <w:tcW w:type="dxa" w:w="2448"/>
            <w:vAlign w:val="center"/>
            <w:shd w:fill="FFFFFF"/>
          </w:tcPr>
          <w:p>
            <w:pPr>
              <w:spacing w:after="0" w:line="247" w:lineRule="auto"/>
            </w:pPr>
            <w:r>
              <w:rPr>
                <w:sz w:val="18"/>
              </w:rPr>
              <w:t>1.5</w:t>
            </w:r>
          </w:p>
        </w:tc>
        <w:tc>
          <w:tcPr>
            <w:tcW w:type="dxa" w:w="2520"/>
            <w:vAlign w:val="center"/>
            <w:shd w:fill="FFFFFF"/>
          </w:tcPr>
          <w:p>
            <w:pPr>
              <w:spacing w:after="0" w:line="247" w:lineRule="auto"/>
            </w:pPr>
            <w:r>
              <w:rPr>
                <w:sz w:val="18"/>
              </w:rPr>
              <w:t>1.8–2.4</w:t>
            </w:r>
          </w:p>
        </w:tc>
        <w:tc>
          <w:tcPr>
            <w:tcW w:type="dxa" w:w="3168"/>
            <w:vAlign w:val="center"/>
            <w:shd w:fill="FFFFFF"/>
          </w:tcPr>
          <w:p>
            <w:pPr>
              <w:spacing w:after="0" w:line="247" w:lineRule="auto"/>
            </w:pPr>
            <w:r>
              <w:rPr>
                <w:sz w:val="18"/>
              </w:rPr>
              <w:t>16 GB compact</w:t>
            </w:r>
          </w:p>
        </w:tc>
      </w:tr>
      <w:tr>
        <w:trPr>
          <w:cantSplit/>
        </w:trPr>
        <w:tc>
          <w:tcPr>
            <w:tcW w:type="dxa" w:w="1944"/>
            <w:vAlign w:val="center"/>
            <w:shd w:fill="F6F8FA"/>
          </w:tcPr>
          <w:p>
            <w:pPr>
              <w:spacing w:after="0" w:line="247" w:lineRule="auto"/>
            </w:pPr>
            <w:r>
              <w:rPr>
                <w:sz w:val="18"/>
              </w:rPr>
              <w:t>4B</w:t>
            </w:r>
          </w:p>
        </w:tc>
        <w:tc>
          <w:tcPr>
            <w:tcW w:type="dxa" w:w="2448"/>
            <w:vAlign w:val="center"/>
            <w:shd w:fill="F6F8FA"/>
          </w:tcPr>
          <w:p>
            <w:pPr>
              <w:spacing w:after="0" w:line="247" w:lineRule="auto"/>
            </w:pPr>
            <w:r>
              <w:rPr>
                <w:sz w:val="18"/>
              </w:rPr>
              <w:t>2.0</w:t>
            </w:r>
          </w:p>
        </w:tc>
        <w:tc>
          <w:tcPr>
            <w:tcW w:type="dxa" w:w="2520"/>
            <w:vAlign w:val="center"/>
            <w:shd w:fill="F6F8FA"/>
          </w:tcPr>
          <w:p>
            <w:pPr>
              <w:spacing w:after="0" w:line="247" w:lineRule="auto"/>
            </w:pPr>
            <w:r>
              <w:rPr>
                <w:sz w:val="18"/>
              </w:rPr>
              <w:t>2.4–3.2</w:t>
            </w:r>
          </w:p>
        </w:tc>
        <w:tc>
          <w:tcPr>
            <w:tcW w:type="dxa" w:w="3168"/>
            <w:vAlign w:val="center"/>
            <w:shd w:fill="F6F8FA"/>
          </w:tcPr>
          <w:p>
            <w:pPr>
              <w:spacing w:after="0" w:line="247" w:lineRule="auto"/>
            </w:pPr>
            <w:r>
              <w:rPr>
                <w:sz w:val="18"/>
              </w:rPr>
              <w:t>16 GB compact or 32 GB</w:t>
            </w:r>
          </w:p>
        </w:tc>
      </w:tr>
      <w:tr>
        <w:trPr>
          <w:cantSplit/>
        </w:trPr>
        <w:tc>
          <w:tcPr>
            <w:tcW w:type="dxa" w:w="1944"/>
            <w:vAlign w:val="center"/>
            <w:shd w:fill="FFFFFF"/>
          </w:tcPr>
          <w:p>
            <w:pPr>
              <w:spacing w:after="0" w:line="247" w:lineRule="auto"/>
            </w:pPr>
            <w:r>
              <w:rPr>
                <w:sz w:val="18"/>
              </w:rPr>
              <w:t>8B</w:t>
            </w:r>
          </w:p>
        </w:tc>
        <w:tc>
          <w:tcPr>
            <w:tcW w:type="dxa" w:w="2448"/>
            <w:vAlign w:val="center"/>
            <w:shd w:fill="FFFFFF"/>
          </w:tcPr>
          <w:p>
            <w:pPr>
              <w:spacing w:after="0" w:line="247" w:lineRule="auto"/>
            </w:pPr>
            <w:r>
              <w:rPr>
                <w:sz w:val="18"/>
              </w:rPr>
              <w:t>4.0</w:t>
            </w:r>
          </w:p>
        </w:tc>
        <w:tc>
          <w:tcPr>
            <w:tcW w:type="dxa" w:w="2520"/>
            <w:vAlign w:val="center"/>
            <w:shd w:fill="FFFFFF"/>
          </w:tcPr>
          <w:p>
            <w:pPr>
              <w:spacing w:after="0" w:line="247" w:lineRule="auto"/>
            </w:pPr>
            <w:r>
              <w:rPr>
                <w:sz w:val="18"/>
              </w:rPr>
              <w:t>4.6–5.6</w:t>
            </w:r>
          </w:p>
        </w:tc>
        <w:tc>
          <w:tcPr>
            <w:tcW w:type="dxa" w:w="3168"/>
            <w:vAlign w:val="center"/>
            <w:shd w:fill="FFFFFF"/>
          </w:tcPr>
          <w:p>
            <w:pPr>
              <w:spacing w:after="0" w:line="247" w:lineRule="auto"/>
            </w:pPr>
            <w:r>
              <w:rPr>
                <w:sz w:val="18"/>
              </w:rPr>
              <w:t>32 GB mainstream</w:t>
            </w:r>
          </w:p>
        </w:tc>
      </w:tr>
      <w:tr>
        <w:trPr>
          <w:cantSplit/>
        </w:trPr>
        <w:tc>
          <w:tcPr>
            <w:tcW w:type="dxa" w:w="1944"/>
            <w:vAlign w:val="center"/>
            <w:shd w:fill="F6F8FA"/>
          </w:tcPr>
          <w:p>
            <w:pPr>
              <w:spacing w:after="0" w:line="247" w:lineRule="auto"/>
            </w:pPr>
            <w:r>
              <w:rPr>
                <w:sz w:val="18"/>
              </w:rPr>
              <w:t>9B</w:t>
            </w:r>
          </w:p>
        </w:tc>
        <w:tc>
          <w:tcPr>
            <w:tcW w:type="dxa" w:w="2448"/>
            <w:vAlign w:val="center"/>
            <w:shd w:fill="F6F8FA"/>
          </w:tcPr>
          <w:p>
            <w:pPr>
              <w:spacing w:after="0" w:line="247" w:lineRule="auto"/>
            </w:pPr>
            <w:r>
              <w:rPr>
                <w:sz w:val="18"/>
              </w:rPr>
              <w:t>4.5</w:t>
            </w:r>
          </w:p>
        </w:tc>
        <w:tc>
          <w:tcPr>
            <w:tcW w:type="dxa" w:w="2520"/>
            <w:vAlign w:val="center"/>
            <w:shd w:fill="F6F8FA"/>
          </w:tcPr>
          <w:p>
            <w:pPr>
              <w:spacing w:after="0" w:line="247" w:lineRule="auto"/>
            </w:pPr>
            <w:r>
              <w:rPr>
                <w:sz w:val="18"/>
              </w:rPr>
              <w:t>5.2–6.3</w:t>
            </w:r>
          </w:p>
        </w:tc>
        <w:tc>
          <w:tcPr>
            <w:tcW w:type="dxa" w:w="3168"/>
            <w:vAlign w:val="center"/>
            <w:shd w:fill="F6F8FA"/>
          </w:tcPr>
          <w:p>
            <w:pPr>
              <w:spacing w:after="0" w:line="247" w:lineRule="auto"/>
            </w:pPr>
            <w:r>
              <w:rPr>
                <w:sz w:val="18"/>
              </w:rPr>
              <w:t>32 GB mainstream</w:t>
            </w:r>
          </w:p>
        </w:tc>
      </w:tr>
      <w:tr>
        <w:trPr>
          <w:cantSplit/>
        </w:trPr>
        <w:tc>
          <w:tcPr>
            <w:tcW w:type="dxa" w:w="1944"/>
            <w:vAlign w:val="center"/>
            <w:shd w:fill="FFFFFF"/>
          </w:tcPr>
          <w:p>
            <w:pPr>
              <w:spacing w:after="0" w:line="247" w:lineRule="auto"/>
            </w:pPr>
            <w:r>
              <w:rPr>
                <w:sz w:val="18"/>
              </w:rPr>
              <w:t>14B</w:t>
            </w:r>
          </w:p>
        </w:tc>
        <w:tc>
          <w:tcPr>
            <w:tcW w:type="dxa" w:w="2448"/>
            <w:vAlign w:val="center"/>
            <w:shd w:fill="FFFFFF"/>
          </w:tcPr>
          <w:p>
            <w:pPr>
              <w:spacing w:after="0" w:line="247" w:lineRule="auto"/>
            </w:pPr>
            <w:r>
              <w:rPr>
                <w:sz w:val="18"/>
              </w:rPr>
              <w:t>7.0</w:t>
            </w:r>
          </w:p>
        </w:tc>
        <w:tc>
          <w:tcPr>
            <w:tcW w:type="dxa" w:w="2520"/>
            <w:vAlign w:val="center"/>
            <w:shd w:fill="FFFFFF"/>
          </w:tcPr>
          <w:p>
            <w:pPr>
              <w:spacing w:after="0" w:line="247" w:lineRule="auto"/>
            </w:pPr>
            <w:r>
              <w:rPr>
                <w:sz w:val="18"/>
              </w:rPr>
              <w:t>8.0–10.0</w:t>
            </w:r>
          </w:p>
        </w:tc>
        <w:tc>
          <w:tcPr>
            <w:tcW w:type="dxa" w:w="3168"/>
            <w:vAlign w:val="center"/>
            <w:shd w:fill="FFFFFF"/>
          </w:tcPr>
          <w:p>
            <w:pPr>
              <w:spacing w:after="0" w:line="247" w:lineRule="auto"/>
            </w:pPr>
            <w:r>
              <w:rPr>
                <w:sz w:val="18"/>
              </w:rPr>
              <w:t>32 GB constrained or 64 GB preferred</w:t>
            </w:r>
          </w:p>
        </w:tc>
      </w:tr>
      <w:tr>
        <w:trPr>
          <w:cantSplit/>
        </w:trPr>
        <w:tc>
          <w:tcPr>
            <w:tcW w:type="dxa" w:w="1944"/>
            <w:vAlign w:val="center"/>
            <w:shd w:fill="F6F8FA"/>
          </w:tcPr>
          <w:p>
            <w:pPr>
              <w:spacing w:after="0" w:line="247" w:lineRule="auto"/>
            </w:pPr>
            <w:r>
              <w:rPr>
                <w:sz w:val="18"/>
              </w:rPr>
              <w:t>24B</w:t>
            </w:r>
          </w:p>
        </w:tc>
        <w:tc>
          <w:tcPr>
            <w:tcW w:type="dxa" w:w="2448"/>
            <w:vAlign w:val="center"/>
            <w:shd w:fill="F6F8FA"/>
          </w:tcPr>
          <w:p>
            <w:pPr>
              <w:spacing w:after="0" w:line="247" w:lineRule="auto"/>
            </w:pPr>
            <w:r>
              <w:rPr>
                <w:sz w:val="18"/>
              </w:rPr>
              <w:t>12.0</w:t>
            </w:r>
          </w:p>
        </w:tc>
        <w:tc>
          <w:tcPr>
            <w:tcW w:type="dxa" w:w="2520"/>
            <w:vAlign w:val="center"/>
            <w:shd w:fill="F6F8FA"/>
          </w:tcPr>
          <w:p>
            <w:pPr>
              <w:spacing w:after="0" w:line="247" w:lineRule="auto"/>
            </w:pPr>
            <w:r>
              <w:rPr>
                <w:sz w:val="18"/>
              </w:rPr>
              <w:t>13.5–16.5</w:t>
            </w:r>
          </w:p>
        </w:tc>
        <w:tc>
          <w:tcPr>
            <w:tcW w:type="dxa" w:w="3168"/>
            <w:vAlign w:val="center"/>
            <w:shd w:fill="F6F8FA"/>
          </w:tcPr>
          <w:p>
            <w:pPr>
              <w:spacing w:after="0" w:line="247" w:lineRule="auto"/>
            </w:pPr>
            <w:r>
              <w:rPr>
                <w:sz w:val="18"/>
              </w:rPr>
              <w:t>64 GB premium</w:t>
            </w:r>
          </w:p>
        </w:tc>
      </w:tr>
      <w:tr>
        <w:trPr>
          <w:cantSplit/>
        </w:trPr>
        <w:tc>
          <w:tcPr>
            <w:tcW w:type="dxa" w:w="1944"/>
            <w:vAlign w:val="center"/>
            <w:shd w:fill="FFFFFF"/>
          </w:tcPr>
          <w:p>
            <w:pPr>
              <w:spacing w:after="0" w:line="247" w:lineRule="auto"/>
            </w:pPr>
            <w:r>
              <w:rPr>
                <w:sz w:val="18"/>
              </w:rPr>
              <w:t>32B</w:t>
            </w:r>
          </w:p>
        </w:tc>
        <w:tc>
          <w:tcPr>
            <w:tcW w:type="dxa" w:w="2448"/>
            <w:vAlign w:val="center"/>
            <w:shd w:fill="FFFFFF"/>
          </w:tcPr>
          <w:p>
            <w:pPr>
              <w:spacing w:after="0" w:line="247" w:lineRule="auto"/>
            </w:pPr>
            <w:r>
              <w:rPr>
                <w:sz w:val="18"/>
              </w:rPr>
              <w:t>16.0</w:t>
            </w:r>
          </w:p>
        </w:tc>
        <w:tc>
          <w:tcPr>
            <w:tcW w:type="dxa" w:w="2520"/>
            <w:vAlign w:val="center"/>
            <w:shd w:fill="FFFFFF"/>
          </w:tcPr>
          <w:p>
            <w:pPr>
              <w:spacing w:after="0" w:line="247" w:lineRule="auto"/>
            </w:pPr>
            <w:r>
              <w:rPr>
                <w:sz w:val="18"/>
              </w:rPr>
              <w:t>18.0–22.0</w:t>
            </w:r>
          </w:p>
        </w:tc>
        <w:tc>
          <w:tcPr>
            <w:tcW w:type="dxa" w:w="3168"/>
            <w:vAlign w:val="center"/>
            <w:shd w:fill="FFFFFF"/>
          </w:tcPr>
          <w:p>
            <w:pPr>
              <w:spacing w:after="0" w:line="247" w:lineRule="auto"/>
            </w:pPr>
            <w:r>
              <w:rPr>
                <w:sz w:val="18"/>
              </w:rPr>
              <w:t>64–128 GB premium</w:t>
            </w:r>
          </w:p>
        </w:tc>
      </w:tr>
    </w:tbl>
    <w:p>
      <w:pPr>
        <w:spacing w:after="20"/>
      </w:pPr>
    </w:p>
    <w:p>
      <w:r>
        <w:t>Package ranges are planning estimates, not file sizes measured from those model releases. For multimodal models, inspect whether the published parameter total includes the vision encoder, and add any separately shipped encoder or projector. INT4 storage does not mean all operations run in INT4. Some tensors and runtime states use FP16 or higher precision.</w:t>
      </w:r>
    </w:p>
    <w:p>
      <w:pPr>
        <w:pStyle w:val="Heading2"/>
      </w:pPr>
      <w:r>
        <w:t>14.3 Context state calculation</w:t>
      </w:r>
    </w:p>
    <w:p>
      <w:r>
        <w:t>For a conventional decoder using grouped-query attention, FP16 key/value cache bytes equal 2 × layer count × context tokens × KV heads × head dimension × 2 bytes × concurrent sequences. The first factor of two accounts for keys and values. This is only the KV allocation; runtime buffers and model weights are additional.</w:t>
      </w:r>
    </w:p>
    <w:p>
      <w:r>
        <w:t xml:space="preserve">For an illustrative 32-layer decoder with eight KV heads and a head dimension of 128, an 8,192-token sequence uses 1 GiB of FP16 KV state. At 16,384 tokens it uses 2 GiB, and two concurrent sequences double those amounts. Qwen3-8B has 36 layers, so the same head and precision assumptions give 1.125 GiB at 8K and 2.25 GiB at 16K. Confirm the actual model configuration and runtime allocation. </w:t>
      </w:r>
      <w:hyperlink r:id="rId16">
        <w:r>
          <w:rPr>
            <w:color w:val="244F70"/>
          </w:rPr>
          <w:t>[S6]</w:t>
        </w:r>
      </w:hyperlink>
      <w:r/>
    </w:p>
    <w:p>
      <w:r>
        <w:t>Hybrid attention or recurrent architectures, including newer model designs, need their own allocation model; the all-layer KV formula above must not be applied unchanged. Vision tokens, cross-attention, cache quantization, allocator fragmentation, prefix sharing, and static NPU graphs alter memory use. Measure peak committed host memory and device allocations during both prefill and decode, including compilation or loading peaks.</w:t>
      </w:r>
    </w:p>
    <w:p>
      <w:pPr>
        <w:pStyle w:val="Heading2"/>
      </w:pPr>
      <w:r>
        <w:t>14.4 Mainstream unified memory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3312"/>
        <w:gridCol w:w="4392"/>
      </w:tblGrid>
      <w:tr>
        <w:trPr>
          <w:cantSplit/>
          <w:tblHeader/>
        </w:trPr>
        <w:tc>
          <w:tcPr>
            <w:tcW w:type="dxa" w:w="2376"/>
            <w:vAlign w:val="center"/>
            <w:shd w:fill="DCE6EE"/>
          </w:tcPr>
          <w:p>
            <w:pPr>
              <w:keepNext/>
              <w:spacing w:after="0" w:line="247" w:lineRule="auto"/>
            </w:pPr>
            <w:r>
              <w:rPr>
                <w:b/>
                <w:sz w:val="18"/>
              </w:rPr>
              <w:t>Allocation</w:t>
            </w:r>
          </w:p>
        </w:tc>
        <w:tc>
          <w:tcPr>
            <w:tcW w:type="dxa" w:w="3312"/>
            <w:vAlign w:val="center"/>
            <w:shd w:fill="DCE6EE"/>
          </w:tcPr>
          <w:p>
            <w:pPr>
              <w:keepNext/>
              <w:spacing w:after="0" w:line="247" w:lineRule="auto"/>
            </w:pPr>
            <w:r>
              <w:rPr>
                <w:b/>
                <w:sz w:val="18"/>
              </w:rPr>
              <w:t>Proposed budget in GiB</w:t>
            </w:r>
          </w:p>
        </w:tc>
        <w:tc>
          <w:tcPr>
            <w:tcW w:type="dxa" w:w="4392"/>
            <w:vAlign w:val="center"/>
            <w:shd w:fill="DCE6EE"/>
          </w:tcPr>
          <w:p>
            <w:pPr>
              <w:keepNext/>
              <w:spacing w:after="0" w:line="247" w:lineRule="auto"/>
            </w:pPr>
            <w:r>
              <w:rPr>
                <w:b/>
                <w:sz w:val="18"/>
              </w:rPr>
              <w:t>Notes</w:t>
            </w:r>
          </w:p>
        </w:tc>
      </w:tr>
      <w:tr>
        <w:trPr>
          <w:cantSplit/>
        </w:trPr>
        <w:tc>
          <w:tcPr>
            <w:tcW w:type="dxa" w:w="2376"/>
            <w:vAlign w:val="center"/>
            <w:shd w:fill="FFFFFF"/>
          </w:tcPr>
          <w:p>
            <w:pPr>
              <w:spacing w:after="0" w:line="247" w:lineRule="auto"/>
            </w:pPr>
            <w:r>
              <w:rPr>
                <w:sz w:val="18"/>
              </w:rPr>
              <w:t>Base OS and desktop</w:t>
            </w:r>
          </w:p>
        </w:tc>
        <w:tc>
          <w:tcPr>
            <w:tcW w:type="dxa" w:w="3312"/>
            <w:vAlign w:val="center"/>
            <w:shd w:fill="FFFFFF"/>
          </w:tcPr>
          <w:p>
            <w:pPr>
              <w:spacing w:after="0" w:line="247" w:lineRule="auto"/>
            </w:pPr>
            <w:r>
              <w:rPr>
                <w:sz w:val="18"/>
              </w:rPr>
              <w:t>4.0</w:t>
            </w:r>
          </w:p>
        </w:tc>
        <w:tc>
          <w:tcPr>
            <w:tcW w:type="dxa" w:w="4392"/>
            <w:vAlign w:val="center"/>
            <w:shd w:fill="FFFFFF"/>
          </w:tcPr>
          <w:p>
            <w:pPr>
              <w:spacing w:after="0" w:line="247" w:lineRule="auto"/>
            </w:pPr>
            <w:r>
              <w:rPr>
                <w:sz w:val="18"/>
              </w:rPr>
              <w:t>Kernel, compositor, system services and normal caches</w:t>
            </w:r>
          </w:p>
        </w:tc>
      </w:tr>
      <w:tr>
        <w:trPr>
          <w:cantSplit/>
        </w:trPr>
        <w:tc>
          <w:tcPr>
            <w:tcW w:type="dxa" w:w="2376"/>
            <w:vAlign w:val="center"/>
            <w:shd w:fill="F6F8FA"/>
          </w:tcPr>
          <w:p>
            <w:pPr>
              <w:spacing w:after="0" w:line="247" w:lineRule="auto"/>
            </w:pPr>
            <w:r>
              <w:rPr>
                <w:sz w:val="18"/>
              </w:rPr>
              <w:t>Main 8–9B weight allocation</w:t>
            </w:r>
          </w:p>
        </w:tc>
        <w:tc>
          <w:tcPr>
            <w:tcW w:type="dxa" w:w="3312"/>
            <w:vAlign w:val="center"/>
            <w:shd w:fill="F6F8FA"/>
          </w:tcPr>
          <w:p>
            <w:pPr>
              <w:spacing w:after="0" w:line="247" w:lineRule="auto"/>
            </w:pPr>
            <w:r>
              <w:rPr>
                <w:sz w:val="18"/>
              </w:rPr>
              <w:t>5.5</w:t>
            </w:r>
          </w:p>
        </w:tc>
        <w:tc>
          <w:tcPr>
            <w:tcW w:type="dxa" w:w="4392"/>
            <w:vAlign w:val="center"/>
            <w:shd w:fill="F6F8FA"/>
          </w:tcPr>
          <w:p>
            <w:pPr>
              <w:spacing w:after="0" w:line="247" w:lineRule="auto"/>
            </w:pPr>
            <w:r>
              <w:rPr>
                <w:sz w:val="18"/>
              </w:rPr>
              <w:t>Representative quantized allocation; replace with measured value</w:t>
            </w:r>
          </w:p>
        </w:tc>
      </w:tr>
      <w:tr>
        <w:trPr>
          <w:cantSplit/>
        </w:trPr>
        <w:tc>
          <w:tcPr>
            <w:tcW w:type="dxa" w:w="2376"/>
            <w:vAlign w:val="center"/>
            <w:shd w:fill="FFFFFF"/>
          </w:tcPr>
          <w:p>
            <w:pPr>
              <w:spacing w:after="0" w:line="247" w:lineRule="auto"/>
            </w:pPr>
            <w:r>
              <w:rPr>
                <w:sz w:val="18"/>
              </w:rPr>
              <w:t>Context and inference scratch</w:t>
            </w:r>
          </w:p>
        </w:tc>
        <w:tc>
          <w:tcPr>
            <w:tcW w:type="dxa" w:w="3312"/>
            <w:vAlign w:val="center"/>
            <w:shd w:fill="FFFFFF"/>
          </w:tcPr>
          <w:p>
            <w:pPr>
              <w:spacing w:after="0" w:line="247" w:lineRule="auto"/>
            </w:pPr>
            <w:r>
              <w:rPr>
                <w:sz w:val="18"/>
              </w:rPr>
              <w:t>3.0</w:t>
            </w:r>
          </w:p>
        </w:tc>
        <w:tc>
          <w:tcPr>
            <w:tcW w:type="dxa" w:w="4392"/>
            <w:vAlign w:val="center"/>
            <w:shd w:fill="FFFFFF"/>
          </w:tcPr>
          <w:p>
            <w:pPr>
              <w:spacing w:after="0" w:line="247" w:lineRule="auto"/>
            </w:pPr>
            <w:r>
              <w:rPr>
                <w:sz w:val="18"/>
              </w:rPr>
              <w:t>Initial 8K and one foreground generation</w:t>
            </w:r>
          </w:p>
        </w:tc>
      </w:tr>
      <w:tr>
        <w:trPr>
          <w:cantSplit/>
        </w:trPr>
        <w:tc>
          <w:tcPr>
            <w:tcW w:type="dxa" w:w="2376"/>
            <w:vAlign w:val="center"/>
            <w:shd w:fill="F6F8FA"/>
          </w:tcPr>
          <w:p>
            <w:pPr>
              <w:spacing w:after="0" w:line="247" w:lineRule="auto"/>
            </w:pPr>
            <w:r>
              <w:rPr>
                <w:sz w:val="18"/>
              </w:rPr>
              <w:t>Active speech embedding or vision assets</w:t>
            </w:r>
          </w:p>
        </w:tc>
        <w:tc>
          <w:tcPr>
            <w:tcW w:type="dxa" w:w="3312"/>
            <w:vAlign w:val="center"/>
            <w:shd w:fill="F6F8FA"/>
          </w:tcPr>
          <w:p>
            <w:pPr>
              <w:spacing w:after="0" w:line="247" w:lineRule="auto"/>
            </w:pPr>
            <w:r>
              <w:rPr>
                <w:sz w:val="18"/>
              </w:rPr>
              <w:t>2.0</w:t>
            </w:r>
          </w:p>
        </w:tc>
        <w:tc>
          <w:tcPr>
            <w:tcW w:type="dxa" w:w="4392"/>
            <w:vAlign w:val="center"/>
            <w:shd w:fill="F6F8FA"/>
          </w:tcPr>
          <w:p>
            <w:pPr>
              <w:spacing w:after="0" w:line="247" w:lineRule="auto"/>
            </w:pPr>
            <w:r>
              <w:rPr>
                <w:sz w:val="18"/>
              </w:rPr>
              <w:t>Load only the required subset</w:t>
            </w:r>
          </w:p>
        </w:tc>
      </w:tr>
      <w:tr>
        <w:trPr>
          <w:cantSplit/>
        </w:trPr>
        <w:tc>
          <w:tcPr>
            <w:tcW w:type="dxa" w:w="2376"/>
            <w:vAlign w:val="center"/>
            <w:shd w:fill="FFFFFF"/>
          </w:tcPr>
          <w:p>
            <w:pPr>
              <w:spacing w:after="0" w:line="247" w:lineRule="auto"/>
            </w:pPr>
            <w:r>
              <w:rPr>
                <w:sz w:val="18"/>
              </w:rPr>
              <w:t>Artifact services and indexes</w:t>
            </w:r>
          </w:p>
        </w:tc>
        <w:tc>
          <w:tcPr>
            <w:tcW w:type="dxa" w:w="3312"/>
            <w:vAlign w:val="center"/>
            <w:shd w:fill="FFFFFF"/>
          </w:tcPr>
          <w:p>
            <w:pPr>
              <w:spacing w:after="0" w:line="247" w:lineRule="auto"/>
            </w:pPr>
            <w:r>
              <w:rPr>
                <w:sz w:val="18"/>
              </w:rPr>
              <w:t>2.0</w:t>
            </w:r>
          </w:p>
        </w:tc>
        <w:tc>
          <w:tcPr>
            <w:tcW w:type="dxa" w:w="4392"/>
            <w:vAlign w:val="center"/>
            <w:shd w:fill="FFFFFF"/>
          </w:tcPr>
          <w:p>
            <w:pPr>
              <w:spacing w:after="0" w:line="247" w:lineRule="auto"/>
            </w:pPr>
            <w:r>
              <w:rPr>
                <w:sz w:val="18"/>
              </w:rPr>
              <w:t>Cache bounded; disk indexes are larger</w:t>
            </w:r>
          </w:p>
        </w:tc>
      </w:tr>
      <w:tr>
        <w:trPr>
          <w:cantSplit/>
        </w:trPr>
        <w:tc>
          <w:tcPr>
            <w:tcW w:type="dxa" w:w="2376"/>
            <w:vAlign w:val="center"/>
            <w:shd w:fill="F6F8FA"/>
          </w:tcPr>
          <w:p>
            <w:pPr>
              <w:spacing w:after="0" w:line="247" w:lineRule="auto"/>
            </w:pPr>
            <w:r>
              <w:rPr>
                <w:sz w:val="18"/>
              </w:rPr>
              <w:t>Application workers</w:t>
            </w:r>
          </w:p>
        </w:tc>
        <w:tc>
          <w:tcPr>
            <w:tcW w:type="dxa" w:w="3312"/>
            <w:vAlign w:val="center"/>
            <w:shd w:fill="F6F8FA"/>
          </w:tcPr>
          <w:p>
            <w:pPr>
              <w:spacing w:after="0" w:line="247" w:lineRule="auto"/>
            </w:pPr>
            <w:r>
              <w:rPr>
                <w:sz w:val="18"/>
              </w:rPr>
              <w:t>4.0</w:t>
            </w:r>
          </w:p>
        </w:tc>
        <w:tc>
          <w:tcPr>
            <w:tcW w:type="dxa" w:w="4392"/>
            <w:vAlign w:val="center"/>
            <w:shd w:fill="F6F8FA"/>
          </w:tcPr>
          <w:p>
            <w:pPr>
              <w:spacing w:after="0" w:line="247" w:lineRule="auto"/>
            </w:pPr>
            <w:r>
              <w:rPr>
                <w:sz w:val="18"/>
              </w:rPr>
              <w:t>One or two bounded workers</w:t>
            </w:r>
          </w:p>
        </w:tc>
      </w:tr>
      <w:tr>
        <w:trPr>
          <w:cantSplit/>
        </w:trPr>
        <w:tc>
          <w:tcPr>
            <w:tcW w:type="dxa" w:w="2376"/>
            <w:vAlign w:val="center"/>
            <w:shd w:fill="FFFFFF"/>
          </w:tcPr>
          <w:p>
            <w:pPr>
              <w:spacing w:after="0" w:line="247" w:lineRule="auto"/>
            </w:pPr>
            <w:r>
              <w:rPr>
                <w:sz w:val="18"/>
              </w:rPr>
              <w:t>Graphics surfaces and buffers</w:t>
            </w:r>
          </w:p>
        </w:tc>
        <w:tc>
          <w:tcPr>
            <w:tcW w:type="dxa" w:w="3312"/>
            <w:vAlign w:val="center"/>
            <w:shd w:fill="FFFFFF"/>
          </w:tcPr>
          <w:p>
            <w:pPr>
              <w:spacing w:after="0" w:line="247" w:lineRule="auto"/>
            </w:pPr>
            <w:r>
              <w:rPr>
                <w:sz w:val="18"/>
              </w:rPr>
              <w:t>1.5</w:t>
            </w:r>
          </w:p>
        </w:tc>
        <w:tc>
          <w:tcPr>
            <w:tcW w:type="dxa" w:w="4392"/>
            <w:vAlign w:val="center"/>
            <w:shd w:fill="FFFFFF"/>
          </w:tcPr>
          <w:p>
            <w:pPr>
              <w:spacing w:after="0" w:line="247" w:lineRule="auto"/>
            </w:pPr>
            <w:r>
              <w:rPr>
                <w:sz w:val="18"/>
              </w:rPr>
              <w:t>Avoid double-counting shared allocations</w:t>
            </w:r>
          </w:p>
        </w:tc>
      </w:tr>
      <w:tr>
        <w:trPr>
          <w:cantSplit/>
        </w:trPr>
        <w:tc>
          <w:tcPr>
            <w:tcW w:type="dxa" w:w="2376"/>
            <w:vAlign w:val="center"/>
            <w:shd w:fill="F6F8FA"/>
          </w:tcPr>
          <w:p>
            <w:pPr>
              <w:spacing w:after="0" w:line="247" w:lineRule="auto"/>
            </w:pPr>
            <w:r>
              <w:rPr>
                <w:sz w:val="18"/>
              </w:rPr>
              <w:t>Safety reserve</w:t>
            </w:r>
          </w:p>
        </w:tc>
        <w:tc>
          <w:tcPr>
            <w:tcW w:type="dxa" w:w="3312"/>
            <w:vAlign w:val="center"/>
            <w:shd w:fill="F6F8FA"/>
          </w:tcPr>
          <w:p>
            <w:pPr>
              <w:spacing w:after="0" w:line="247" w:lineRule="auto"/>
            </w:pPr>
            <w:r>
              <w:rPr>
                <w:sz w:val="18"/>
              </w:rPr>
              <w:t>4.0</w:t>
            </w:r>
          </w:p>
        </w:tc>
        <w:tc>
          <w:tcPr>
            <w:tcW w:type="dxa" w:w="4392"/>
            <w:vAlign w:val="center"/>
            <w:shd w:fill="F6F8FA"/>
          </w:tcPr>
          <w:p>
            <w:pPr>
              <w:spacing w:after="0" w:line="247" w:lineRule="auto"/>
            </w:pPr>
            <w:r>
              <w:rPr>
                <w:sz w:val="18"/>
              </w:rPr>
              <w:t>Protected headroom for bursts and recovery</w:t>
            </w:r>
          </w:p>
        </w:tc>
      </w:tr>
      <w:tr>
        <w:trPr>
          <w:cantSplit/>
        </w:trPr>
        <w:tc>
          <w:tcPr>
            <w:tcW w:type="dxa" w:w="2376"/>
            <w:vAlign w:val="center"/>
            <w:shd w:fill="FFFFFF"/>
          </w:tcPr>
          <w:p>
            <w:pPr>
              <w:spacing w:after="0" w:line="247" w:lineRule="auto"/>
            </w:pPr>
            <w:r>
              <w:rPr>
                <w:sz w:val="18"/>
              </w:rPr>
              <w:t>Total planning allocation</w:t>
            </w:r>
          </w:p>
        </w:tc>
        <w:tc>
          <w:tcPr>
            <w:tcW w:type="dxa" w:w="3312"/>
            <w:vAlign w:val="center"/>
            <w:shd w:fill="FFFFFF"/>
          </w:tcPr>
          <w:p>
            <w:pPr>
              <w:spacing w:after="0" w:line="247" w:lineRule="auto"/>
            </w:pPr>
            <w:r>
              <w:rPr>
                <w:sz w:val="18"/>
              </w:rPr>
              <w:t>26.0</w:t>
            </w:r>
          </w:p>
        </w:tc>
        <w:tc>
          <w:tcPr>
            <w:tcW w:type="dxa" w:w="4392"/>
            <w:vAlign w:val="center"/>
            <w:shd w:fill="FFFFFF"/>
          </w:tcPr>
          <w:p>
            <w:pPr>
              <w:spacing w:after="0" w:line="247" w:lineRule="auto"/>
            </w:pPr>
            <w:r>
              <w:rPr>
                <w:sz w:val="18"/>
              </w:rPr>
              <w:t>Leaves capacity on a 32 GB class machine; verify usable RAM</w:t>
            </w:r>
          </w:p>
        </w:tc>
      </w:tr>
    </w:tbl>
    <w:p>
      <w:pPr>
        <w:spacing w:after="20"/>
      </w:pPr>
    </w:p>
    <w:p>
      <w:r>
        <w:t>If a “32 GB” configuration exposes only approximately 29.8 GiB before firmware reservations, this plan leaves about 3.8 GiB beyond the stated budgets. Actual firmware and GPU reservations reduce that amount. Host copies of GPU-resident weights can create duplicate allocations; measure unique physical pages where shared memory is used. Disable simultaneous main and specialist residency when admission control would breach the reserve.</w:t>
      </w:r>
    </w:p>
    <w:p>
      <w:r>
        <w:t>For a discrete GPU, VRAM is a separate constraint. Do not add 8 GB of VRAM to 16 GB of system RAM and describe it as interchangeable 24 GB model memory. PCIe transfer, offload, and duplicated buffers affect both performance and capacity. An 8–9B 4-bit model may fit a constrained 8 GB VRAM profile, but 12–16 GB VRAM gives more room for context and buffers. Larger models require a model-specific estimate, not just the weight file size.</w:t>
      </w:r>
    </w:p>
    <w:p>
      <w:pPr>
        <w:pStyle w:val="Heading2"/>
      </w:pPr>
      <w:r>
        <w:t>14.5 Throughput and latency model</w:t>
      </w:r>
    </w:p>
    <w:p>
      <w:r>
        <w:t>Dense batch-one decoding often streams a large portion of the model weights for each output token. As a simplified ceiling, decode tokens per second are bounded by effective memory bandwidth divided by bytes fetched per token, and also by effective compute throughput divided by operations per token. Attention, cache traffic, synchronization, tensor conversion, and graph overhead can lower the actual result substantially.</w:t>
      </w:r>
    </w:p>
    <w:p>
      <w:r>
        <w:t>For an illustrative 5 GB weight fetch per token, 100 GB/s of sustained effective bandwidth gives a 20-token/s ceiling for that part of the calculation; 200 GB/s gives 40 tokens/s. These are arithmetic examples, not predictions for AMD, Qualcomm, or Intel hardware. Cache reuse, sparse activation, and batching can change the bytes per token. Prefill has a different compute profile and must be measured separately.</w:t>
      </w:r>
    </w:p>
    <w:p>
      <w:r>
        <w:t>NPU TOPS typically describes peak arithmetic at a stated precision. It cannot be converted directly into language-model tokens per second. Product comparisons must use the same model, quantization, prompt, output length, context, batch size, power profile, and thermal duration. A fast short-prompt demonstration does not establish long-document latency or simultaneous multimodal performance.</w:t>
      </w:r>
    </w:p>
    <w:p>
      <w:pPr>
        <w:pStyle w:val="Heading2"/>
      </w:pPr>
      <w:r>
        <w:t>14.6 Image and video capacity</w:t>
      </w:r>
    </w:p>
    <w:p>
      <w:r>
        <w:t>Charts, diagrams, and simple animations can be produced using small code and rendering engines without a large generative video model. Photorealistic image generation and video synthesis add separate weights and large activation buffers. Queue them behind interactive work or load them in place of the main model when necessary. Define supported output dimensions, clip duration, iteration count, and time budget for each hardware profile; there is no credible universal real-time generative-video promise for the baseline NPU laptop.</w:t>
      </w:r>
    </w:p>
    <w:p>
      <w:pPr>
        <w:pStyle w:val="Heading1"/>
      </w:pPr>
      <w:r>
        <w:t>15 Hardware platform qualification</w:t>
      </w:r>
    </w:p>
    <w:p>
      <w:pPr>
        <w:pStyle w:val="Heading2"/>
      </w:pPr>
      <w:r>
        <w:t>15.1 Assessment of the named processor families</w:t>
      </w:r>
    </w:p>
    <w:p>
      <w:r>
        <w:t>Vendor figures below describe particular processor families or examples. They do not establish complete laptop support, sustained speed, or that an arbitrary local model uses the NPU. Memory installed by an OEM can be far below the silicon maximum. All model tiers below are recommendations to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944"/>
        <w:gridCol w:w="3168"/>
        <w:gridCol w:w="2088"/>
        <w:gridCol w:w="2880"/>
      </w:tblGrid>
      <w:tr>
        <w:trPr>
          <w:cantSplit/>
          <w:tblHeader/>
        </w:trPr>
        <w:tc>
          <w:tcPr>
            <w:tcW w:type="dxa" w:w="1944"/>
            <w:vAlign w:val="center"/>
            <w:shd w:fill="DCE6EE"/>
          </w:tcPr>
          <w:p>
            <w:pPr>
              <w:keepNext/>
              <w:spacing w:after="0" w:line="247" w:lineRule="auto"/>
            </w:pPr>
            <w:r>
              <w:rPr>
                <w:b/>
                <w:sz w:val="18"/>
              </w:rPr>
              <w:t>Platform</w:t>
            </w:r>
          </w:p>
        </w:tc>
        <w:tc>
          <w:tcPr>
            <w:tcW w:type="dxa" w:w="3168"/>
            <w:vAlign w:val="center"/>
            <w:shd w:fill="DCE6EE"/>
          </w:tcPr>
          <w:p>
            <w:pPr>
              <w:keepNext/>
              <w:spacing w:after="0" w:line="247" w:lineRule="auto"/>
            </w:pPr>
            <w:r>
              <w:rPr>
                <w:b/>
                <w:sz w:val="18"/>
              </w:rPr>
              <w:t>Verified hardware context</w:t>
            </w:r>
          </w:p>
        </w:tc>
        <w:tc>
          <w:tcPr>
            <w:tcW w:type="dxa" w:w="2088"/>
            <w:vAlign w:val="center"/>
            <w:shd w:fill="DCE6EE"/>
          </w:tcPr>
          <w:p>
            <w:pPr>
              <w:keepNext/>
              <w:spacing w:after="0" w:line="247" w:lineRule="auto"/>
            </w:pPr>
            <w:r>
              <w:rPr>
                <w:b/>
                <w:sz w:val="18"/>
              </w:rPr>
              <w:t>Proposed model tier</w:t>
            </w:r>
          </w:p>
        </w:tc>
        <w:tc>
          <w:tcPr>
            <w:tcW w:type="dxa" w:w="2880"/>
            <w:vAlign w:val="center"/>
            <w:shd w:fill="DCE6EE"/>
          </w:tcPr>
          <w:p>
            <w:pPr>
              <w:keepNext/>
              <w:spacing w:after="0" w:line="247" w:lineRule="auto"/>
            </w:pPr>
            <w:r>
              <w:rPr>
                <w:b/>
                <w:sz w:val="18"/>
              </w:rPr>
              <w:t>Native OS engineering issue</w:t>
            </w:r>
          </w:p>
        </w:tc>
      </w:tr>
      <w:tr>
        <w:trPr>
          <w:cantSplit/>
        </w:trPr>
        <w:tc>
          <w:tcPr>
            <w:tcW w:type="dxa" w:w="1944"/>
            <w:vAlign w:val="center"/>
            <w:shd w:fill="FFFFFF"/>
          </w:tcPr>
          <w:p>
            <w:pPr>
              <w:spacing w:after="0" w:line="247" w:lineRule="auto"/>
            </w:pPr>
            <w:r>
              <w:rPr>
                <w:sz w:val="18"/>
              </w:rPr>
              <w:t>AMD Ryzen AI 400 and PRO 400</w:t>
            </w:r>
          </w:p>
        </w:tc>
        <w:tc>
          <w:tcPr>
            <w:tcW w:type="dxa" w:w="3168"/>
            <w:vAlign w:val="center"/>
            <w:shd w:fill="FFFFFF"/>
          </w:tcPr>
          <w:p>
            <w:pPr>
              <w:spacing w:after="0" w:line="247" w:lineRule="auto"/>
            </w:pPr>
            <w:r>
              <w:rPr>
                <w:sz w:val="18"/>
              </w:rPr>
              <w:t xml:space="preserve">Announced mobile SKUs span 50–60 NPU TOPS, with up to 12 CPU cores </w:t>
            </w:r>
            <w:hyperlink r:id="rId20">
              <w:r>
                <w:rPr>
                  <w:color w:val="244F70"/>
                </w:rPr>
                <w:t>[S1]</w:t>
              </w:r>
            </w:hyperlink>
            <w:r>
              <w:rPr>
                <w:sz w:val="18"/>
              </w:rPr>
            </w:r>
          </w:p>
        </w:tc>
        <w:tc>
          <w:tcPr>
            <w:tcW w:type="dxa" w:w="2088"/>
            <w:vAlign w:val="center"/>
            <w:shd w:fill="FFFFFF"/>
          </w:tcPr>
          <w:p>
            <w:pPr>
              <w:spacing w:after="0" w:line="247" w:lineRule="auto"/>
            </w:pPr>
            <w:r>
              <w:rPr>
                <w:sz w:val="18"/>
              </w:rPr>
              <w:t>4B compact or 8–9B with 32 GB or more</w:t>
            </w:r>
          </w:p>
        </w:tc>
        <w:tc>
          <w:tcPr>
            <w:tcW w:type="dxa" w:w="2880"/>
            <w:vAlign w:val="center"/>
            <w:shd w:fill="FFFFFF"/>
          </w:tcPr>
          <w:p>
            <w:pPr>
              <w:spacing w:after="0" w:line="247" w:lineRule="auto"/>
            </w:pPr>
            <w:r>
              <w:rPr>
                <w:sz w:val="18"/>
              </w:rPr>
              <w:t>Qualify Linux driver, firmware, prepared model and context together</w:t>
            </w:r>
          </w:p>
        </w:tc>
      </w:tr>
      <w:tr>
        <w:trPr>
          <w:cantSplit/>
        </w:trPr>
        <w:tc>
          <w:tcPr>
            <w:tcW w:type="dxa" w:w="1944"/>
            <w:vAlign w:val="center"/>
            <w:shd w:fill="F6F8FA"/>
          </w:tcPr>
          <w:p>
            <w:pPr>
              <w:spacing w:after="0" w:line="247" w:lineRule="auto"/>
            </w:pPr>
            <w:r>
              <w:rPr>
                <w:sz w:val="18"/>
              </w:rPr>
              <w:t>AMD Ryzen AI Max PRO example Max+ PRO 395</w:t>
            </w:r>
          </w:p>
        </w:tc>
        <w:tc>
          <w:tcPr>
            <w:tcW w:type="dxa" w:w="3168"/>
            <w:vAlign w:val="center"/>
            <w:shd w:fill="F6F8FA"/>
          </w:tcPr>
          <w:p>
            <w:pPr>
              <w:spacing w:after="0" w:line="247" w:lineRule="auto"/>
            </w:pPr>
            <w:r>
              <w:rPr>
                <w:sz w:val="18"/>
              </w:rPr>
              <w:t xml:space="preserve">50 NPU TOPS, up to 128 GB, 256-bit LPDDR5x-8000, Radeon 8060S </w:t>
            </w:r>
            <w:hyperlink r:id="rId21">
              <w:r>
                <w:rPr>
                  <w:color w:val="244F70"/>
                </w:rPr>
                <w:t>[S2]</w:t>
              </w:r>
            </w:hyperlink>
            <w:r>
              <w:rPr>
                <w:sz w:val="18"/>
              </w:rPr>
            </w:r>
          </w:p>
        </w:tc>
        <w:tc>
          <w:tcPr>
            <w:tcW w:type="dxa" w:w="2088"/>
            <w:vAlign w:val="center"/>
            <w:shd w:fill="F6F8FA"/>
          </w:tcPr>
          <w:p>
            <w:pPr>
              <w:spacing w:after="0" w:line="247" w:lineRule="auto"/>
            </w:pPr>
            <w:r>
              <w:rPr>
                <w:sz w:val="18"/>
              </w:rPr>
              <w:t>8–14B default choice; 24–32B optional on 64–128 GB</w:t>
            </w:r>
          </w:p>
        </w:tc>
        <w:tc>
          <w:tcPr>
            <w:tcW w:type="dxa" w:w="2880"/>
            <w:vAlign w:val="center"/>
            <w:shd w:fill="F6F8FA"/>
          </w:tcPr>
          <w:p>
            <w:pPr>
              <w:spacing w:after="0" w:line="247" w:lineRule="auto"/>
            </w:pPr>
            <w:r>
              <w:rPr>
                <w:sz w:val="18"/>
              </w:rPr>
              <w:t>Large models likely favor the qualified GPU route; NPU support is a separate test</w:t>
            </w:r>
          </w:p>
        </w:tc>
      </w:tr>
      <w:tr>
        <w:trPr>
          <w:cantSplit/>
        </w:trPr>
        <w:tc>
          <w:tcPr>
            <w:tcW w:type="dxa" w:w="1944"/>
            <w:vAlign w:val="center"/>
            <w:shd w:fill="FFFFFF"/>
          </w:tcPr>
          <w:p>
            <w:pPr>
              <w:spacing w:after="0" w:line="247" w:lineRule="auto"/>
            </w:pPr>
            <w:r>
              <w:rPr>
                <w:sz w:val="18"/>
              </w:rPr>
              <w:t>Snapdragon X2 Elite example X2E-88-100</w:t>
            </w:r>
          </w:p>
        </w:tc>
        <w:tc>
          <w:tcPr>
            <w:tcW w:type="dxa" w:w="3168"/>
            <w:vAlign w:val="center"/>
            <w:shd w:fill="FFFFFF"/>
          </w:tcPr>
          <w:p>
            <w:pPr>
              <w:spacing w:after="0" w:line="247" w:lineRule="auto"/>
            </w:pPr>
            <w:r>
              <w:rPr>
                <w:sz w:val="18"/>
              </w:rPr>
              <w:t xml:space="preserve">ARM64, 80 INT8 NPU TOPS, 152 GB/s memory bandwidth; configured RAM is device-specific </w:t>
            </w:r>
            <w:hyperlink r:id="rId22">
              <w:r>
                <w:rPr>
                  <w:color w:val="244F70"/>
                </w:rPr>
                <w:t>[S8]</w:t>
              </w:r>
            </w:hyperlink>
            <w:r>
              <w:rPr>
                <w:sz w:val="18"/>
              </w:rPr>
            </w:r>
          </w:p>
        </w:tc>
        <w:tc>
          <w:tcPr>
            <w:tcW w:type="dxa" w:w="2088"/>
            <w:vAlign w:val="center"/>
            <w:shd w:fill="FFFFFF"/>
          </w:tcPr>
          <w:p>
            <w:pPr>
              <w:spacing w:after="0" w:line="247" w:lineRule="auto"/>
            </w:pPr>
            <w:r>
              <w:rPr>
                <w:sz w:val="18"/>
              </w:rPr>
              <w:t>4B or 8–9B with 32 GB or more</w:t>
            </w:r>
          </w:p>
        </w:tc>
        <w:tc>
          <w:tcPr>
            <w:tcW w:type="dxa" w:w="2880"/>
            <w:vAlign w:val="center"/>
            <w:shd w:fill="FFFFFF"/>
          </w:tcPr>
          <w:p>
            <w:pPr>
              <w:spacing w:after="0" w:line="247" w:lineRule="auto"/>
            </w:pPr>
            <w:r>
              <w:rPr>
                <w:sz w:val="18"/>
              </w:rPr>
              <w:t>Native Linux boot, GPU and NPU firmware/runtime support need exact-board proof</w:t>
            </w:r>
          </w:p>
        </w:tc>
      </w:tr>
      <w:tr>
        <w:trPr>
          <w:cantSplit/>
        </w:trPr>
        <w:tc>
          <w:tcPr>
            <w:tcW w:type="dxa" w:w="1944"/>
            <w:vAlign w:val="center"/>
            <w:shd w:fill="F6F8FA"/>
          </w:tcPr>
          <w:p>
            <w:pPr>
              <w:spacing w:after="0" w:line="247" w:lineRule="auto"/>
            </w:pPr>
            <w:r>
              <w:rPr>
                <w:sz w:val="18"/>
              </w:rPr>
              <w:t>Snapdragon X2 Elite Extreme example X2E-96-100</w:t>
            </w:r>
          </w:p>
        </w:tc>
        <w:tc>
          <w:tcPr>
            <w:tcW w:type="dxa" w:w="3168"/>
            <w:vAlign w:val="center"/>
            <w:shd w:fill="F6F8FA"/>
          </w:tcPr>
          <w:p>
            <w:pPr>
              <w:spacing w:after="0" w:line="247" w:lineRule="auto"/>
            </w:pPr>
            <w:r>
              <w:rPr>
                <w:sz w:val="18"/>
              </w:rPr>
              <w:t xml:space="preserve">Higher memory-bandwidth tier in the same vendor brief, up to 228 GB/s </w:t>
            </w:r>
            <w:hyperlink r:id="rId22">
              <w:r>
                <w:rPr>
                  <w:color w:val="244F70"/>
                </w:rPr>
                <w:t>[S8]</w:t>
              </w:r>
            </w:hyperlink>
            <w:r>
              <w:rPr>
                <w:sz w:val="18"/>
              </w:rPr>
            </w:r>
          </w:p>
        </w:tc>
        <w:tc>
          <w:tcPr>
            <w:tcW w:type="dxa" w:w="2088"/>
            <w:vAlign w:val="center"/>
            <w:shd w:fill="F6F8FA"/>
          </w:tcPr>
          <w:p>
            <w:pPr>
              <w:spacing w:after="0" w:line="247" w:lineRule="auto"/>
            </w:pPr>
            <w:r>
              <w:rPr>
                <w:sz w:val="18"/>
              </w:rPr>
              <w:t>8–14B or optional larger model with sufficient RAM</w:t>
            </w:r>
          </w:p>
        </w:tc>
        <w:tc>
          <w:tcPr>
            <w:tcW w:type="dxa" w:w="2880"/>
            <w:vAlign w:val="center"/>
            <w:shd w:fill="F6F8FA"/>
          </w:tcPr>
          <w:p>
            <w:pPr>
              <w:spacing w:after="0" w:line="247" w:lineRule="auto"/>
            </w:pPr>
            <w:r>
              <w:rPr>
                <w:sz w:val="18"/>
              </w:rPr>
              <w:t>Do not transfer Windows runtime support claims to the custom OS</w:t>
            </w:r>
          </w:p>
        </w:tc>
      </w:tr>
      <w:tr>
        <w:trPr>
          <w:cantSplit/>
        </w:trPr>
        <w:tc>
          <w:tcPr>
            <w:tcW w:type="dxa" w:w="1944"/>
            <w:vAlign w:val="center"/>
            <w:shd w:fill="FFFFFF"/>
          </w:tcPr>
          <w:p>
            <w:pPr>
              <w:spacing w:after="0" w:line="247" w:lineRule="auto"/>
            </w:pPr>
            <w:r>
              <w:rPr>
                <w:sz w:val="18"/>
              </w:rPr>
              <w:t>Intel Core Ultra Series 2</w:t>
            </w:r>
          </w:p>
        </w:tc>
        <w:tc>
          <w:tcPr>
            <w:tcW w:type="dxa" w:w="3168"/>
            <w:vAlign w:val="center"/>
            <w:shd w:fill="FFFFFF"/>
          </w:tcPr>
          <w:p>
            <w:pPr>
              <w:spacing w:after="0" w:line="247" w:lineRule="auto"/>
            </w:pPr>
            <w:r>
              <w:rPr>
                <w:sz w:val="18"/>
              </w:rPr>
              <w:t xml:space="preserve">Different subfamilies have different NPUs; 200S desktop brief lists up to 13 NPU TOPS </w:t>
            </w:r>
            <w:hyperlink r:id="rId23">
              <w:r>
                <w:rPr>
                  <w:color w:val="244F70"/>
                </w:rPr>
                <w:t>[S16]</w:t>
              </w:r>
            </w:hyperlink>
            <w:r>
              <w:rPr>
                <w:sz w:val="18"/>
              </w:rPr>
            </w:r>
          </w:p>
        </w:tc>
        <w:tc>
          <w:tcPr>
            <w:tcW w:type="dxa" w:w="2088"/>
            <w:vAlign w:val="center"/>
            <w:shd w:fill="FFFFFF"/>
          </w:tcPr>
          <w:p>
            <w:pPr>
              <w:spacing w:after="0" w:line="247" w:lineRule="auto"/>
            </w:pPr>
            <w:r>
              <w:rPr>
                <w:sz w:val="18"/>
              </w:rPr>
              <w:t>4B or 8–9B based on GPU/NPU and RAM</w:t>
            </w:r>
          </w:p>
        </w:tc>
        <w:tc>
          <w:tcPr>
            <w:tcW w:type="dxa" w:w="2880"/>
            <w:vAlign w:val="center"/>
            <w:shd w:fill="FFFFFF"/>
          </w:tcPr>
          <w:p>
            <w:pPr>
              <w:spacing w:after="0" w:line="247" w:lineRule="auto"/>
            </w:pPr>
            <w:r>
              <w:rPr>
                <w:sz w:val="18"/>
              </w:rPr>
              <w:t>Specify the actual 200V, H, HX or S SKU; a Series 2 name alone is insufficient</w:t>
            </w:r>
          </w:p>
        </w:tc>
      </w:tr>
      <w:tr>
        <w:trPr>
          <w:cantSplit/>
        </w:trPr>
        <w:tc>
          <w:tcPr>
            <w:tcW w:type="dxa" w:w="1944"/>
            <w:vAlign w:val="center"/>
            <w:shd w:fill="F6F8FA"/>
          </w:tcPr>
          <w:p>
            <w:pPr>
              <w:spacing w:after="0" w:line="247" w:lineRule="auto"/>
            </w:pPr>
            <w:r>
              <w:rPr>
                <w:sz w:val="18"/>
              </w:rPr>
              <w:t>Intel Core Ultra Series 3</w:t>
            </w:r>
          </w:p>
        </w:tc>
        <w:tc>
          <w:tcPr>
            <w:tcW w:type="dxa" w:w="3168"/>
            <w:vAlign w:val="center"/>
            <w:shd w:fill="F6F8FA"/>
          </w:tcPr>
          <w:p>
            <w:pPr>
              <w:spacing w:after="0" w:line="247" w:lineRule="auto"/>
            </w:pPr>
            <w:r>
              <w:rPr>
                <w:sz w:val="18"/>
              </w:rPr>
              <w:t xml:space="preserve">Vendor platform brief specifies up to 50 NPU TOPS, with memory and graphics varying by SKU </w:t>
            </w:r>
            <w:hyperlink r:id="rId24">
              <w:r>
                <w:rPr>
                  <w:color w:val="244F70"/>
                </w:rPr>
                <w:t>[S17]</w:t>
              </w:r>
            </w:hyperlink>
            <w:r>
              <w:rPr>
                <w:sz w:val="18"/>
              </w:rPr>
            </w:r>
          </w:p>
        </w:tc>
        <w:tc>
          <w:tcPr>
            <w:tcW w:type="dxa" w:w="2088"/>
            <w:vAlign w:val="center"/>
            <w:shd w:fill="F6F8FA"/>
          </w:tcPr>
          <w:p>
            <w:pPr>
              <w:spacing w:after="0" w:line="247" w:lineRule="auto"/>
            </w:pPr>
            <w:r>
              <w:rPr>
                <w:sz w:val="18"/>
              </w:rPr>
              <w:t>4B or 8–9B baseline; 14B on larger configurations</w:t>
            </w:r>
          </w:p>
        </w:tc>
        <w:tc>
          <w:tcPr>
            <w:tcW w:type="dxa" w:w="2880"/>
            <w:vAlign w:val="center"/>
            <w:shd w:fill="F6F8FA"/>
          </w:tcPr>
          <w:p>
            <w:pPr>
              <w:spacing w:after="0" w:line="247" w:lineRule="auto"/>
            </w:pPr>
            <w:r>
              <w:rPr>
                <w:sz w:val="18"/>
              </w:rPr>
              <w:t>Qualify OpenVINO device and model support with selected kernel and driver</w:t>
            </w:r>
          </w:p>
        </w:tc>
      </w:tr>
      <w:tr>
        <w:trPr>
          <w:cantSplit/>
        </w:trPr>
        <w:tc>
          <w:tcPr>
            <w:tcW w:type="dxa" w:w="1944"/>
            <w:vAlign w:val="center"/>
            <w:shd w:fill="FFFFFF"/>
          </w:tcPr>
          <w:p>
            <w:pPr>
              <w:spacing w:after="0" w:line="247" w:lineRule="auto"/>
            </w:pPr>
            <w:r>
              <w:rPr>
                <w:sz w:val="18"/>
              </w:rPr>
              <w:t>Consumer discrete GPU PC</w:t>
            </w:r>
          </w:p>
        </w:tc>
        <w:tc>
          <w:tcPr>
            <w:tcW w:type="dxa" w:w="3168"/>
            <w:vAlign w:val="center"/>
            <w:shd w:fill="FFFFFF"/>
          </w:tcPr>
          <w:p>
            <w:pPr>
              <w:spacing w:after="0" w:line="247" w:lineRule="auto"/>
            </w:pPr>
            <w:r>
              <w:rPr>
                <w:sz w:val="18"/>
              </w:rPr>
              <w:t>Select by measured backend support, VRAM, bandwidth and thermals</w:t>
            </w:r>
          </w:p>
        </w:tc>
        <w:tc>
          <w:tcPr>
            <w:tcW w:type="dxa" w:w="2088"/>
            <w:vAlign w:val="center"/>
            <w:shd w:fill="FFFFFF"/>
          </w:tcPr>
          <w:p>
            <w:pPr>
              <w:spacing w:after="0" w:line="247" w:lineRule="auto"/>
            </w:pPr>
            <w:r>
              <w:rPr>
                <w:sz w:val="18"/>
              </w:rPr>
              <w:t>8–9B on 12–16 GB VRAM; larger specialists on greater capacity</w:t>
            </w:r>
          </w:p>
        </w:tc>
        <w:tc>
          <w:tcPr>
            <w:tcW w:type="dxa" w:w="2880"/>
            <w:vAlign w:val="center"/>
            <w:shd w:fill="FFFFFF"/>
          </w:tcPr>
          <w:p>
            <w:pPr>
              <w:spacing w:after="0" w:line="247" w:lineRule="auto"/>
            </w:pPr>
            <w:r>
              <w:rPr>
                <w:sz w:val="18"/>
              </w:rPr>
              <w:t>Driver packaging, Secure Boot, suspend/resume and VRAM contention</w:t>
            </w:r>
          </w:p>
        </w:tc>
      </w:tr>
    </w:tbl>
    <w:p>
      <w:pPr>
        <w:spacing w:after="20"/>
      </w:pPr>
    </w:p>
    <w:p>
      <w:r>
        <w:t xml:space="preserve">AMD Max PRO is distinct from Ryzen AI 400 and should not be treated as one interchangeable specification. Its 256-bit LPDDR5x-8000 interface implies a theoretical 256 GB/s memory data rate by arithmetic; sustained inference bandwidth will be lower and workload-dependent. The processor page lists Linux distributions, but an OEM system still needs full device qualification. </w:t>
      </w:r>
      <w:hyperlink r:id="rId21">
        <w:r>
          <w:rPr>
            <w:color w:val="244F70"/>
          </w:rPr>
          <w:t>[S2]</w:t>
        </w:r>
      </w:hyperlink>
      <w:r/>
    </w:p>
    <w:p>
      <w:r>
        <w:t>The current Snapdragon product brief includes more than one NPU rating across SKUs. This specification uses the named 80-TOPS examples instead of claiming one number for the entire family. Qualcomm’s local-agent example is explicitly for Windows PCs; generic Linux SDK setup documentation does not prove that every X2 laptop supports its NPU under this new OS. Treat ARM64 as a separately gated port. [S8, S9]</w:t>
      </w:r>
    </w:p>
    <w:p>
      <w:r>
        <w:t>Intel OpenVINO documentation lists Linux NPU operating-system support with qualifications, including preview labeling for an Ubuntu 24.04 route in the retrieved system requirements. Pin the exact runtime, driver and board qualification results at release; a current online support page is not a permanent ABI guarantee. [S4, S5]</w:t>
      </w:r>
    </w:p>
    <w:p>
      <w:pPr>
        <w:pStyle w:val="Heading2"/>
      </w:pPr>
      <w:r>
        <w:t>15.2 Recommended development machines</w:t>
      </w:r>
    </w:p>
    <w:p>
      <w:r>
        <w:t>Begin with two x86-64 reference machines. One should have 64 GB RAM and a discrete GPU with at least 16 GB VRAM using a well-supported Linux backend; it provides a flexible development and comparison platform. The second should be a 32 GB integrated AI PC from AMD Ryzen AI 400 or Intel Core Ultra Series 3, selected only after the target NPU model runs under the intended Linux stack. This validates the consumer baseline rather than optimizing solely for a workstation.</w:t>
      </w:r>
    </w:p>
    <w:p>
      <w:r>
        <w:t>For a premium integrated machine, an AMD Ryzen AI Max PRO configuration with 64–128 GB RAM is a strong candidate because capacity and the memory interface allow broader model experiments. This is an architectural recommendation based on published configuration, not a measured ranking against a discrete GPU. Snapdragon X2 Elite is attractive for an ARM edition once native platform support and sustained performance pass qualification.</w:t>
      </w:r>
    </w:p>
    <w:p>
      <w:pPr>
        <w:pStyle w:val="Heading2"/>
      </w:pPr>
      <w:r>
        <w:t>15.3 Hardware compatibility record</w:t>
      </w:r>
    </w:p>
    <w:p>
      <w:r>
        <w:t>Each certified record shall contain OEM and board revision, CPU SKU, firmware version, RAM capacity and channels, storage controller, GPU and NPU IDs, kernel build, driver and firmware digests, display, network, audio, camera, suspend mode, inference runtime, model and quantization digests, compilation profile, context limits, measured latency, energy, and recovery results.</w:t>
      </w:r>
    </w:p>
    <w:p>
      <w:r>
        <w:t>Certification is awarded to a full system configuration. Mandatory tests include offline installation, boot, encryption recovery, networking, input, display, audio, accelerator inference, idle power, sustained load, battery operation, suspend/resume, hotplug, disk pressure, and updates. A missing essential peripheral blocks certification even when the LLM benchmark passes.</w:t>
      </w:r>
    </w:p>
    <w:p>
      <w:pPr>
        <w:pStyle w:val="Heading1"/>
      </w:pPr>
      <w:r>
        <w:t>16 Functional and nonfunctional requirements</w:t>
      </w:r>
    </w:p>
    <w:p>
      <w:pPr>
        <w:pStyle w:val="Heading2"/>
      </w:pPr>
      <w:r>
        <w:t>16.1 Functional requirements</w:t>
      </w:r>
    </w:p>
    <w:p>
      <w:r>
        <w:t>The following requirements are the implementation backlog baseline. Each has an identifier, release, testable behavior, and owning component. Detailed behavior is defined in the referenced design sections. Test groups in Section 17 provide acceptance evidence; a release requires all applicable shall requirements to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296"/>
        <w:gridCol w:w="6840"/>
        <w:gridCol w:w="1944"/>
      </w:tblGrid>
      <w:tr>
        <w:trPr>
          <w:cantSplit/>
          <w:tblHeader/>
        </w:trPr>
        <w:tc>
          <w:tcPr>
            <w:tcW w:type="dxa" w:w="1296"/>
            <w:vAlign w:val="center"/>
            <w:shd w:fill="DCE6EE"/>
          </w:tcPr>
          <w:p>
            <w:pPr>
              <w:keepNext/>
              <w:spacing w:after="0" w:line="247" w:lineRule="auto"/>
            </w:pPr>
            <w:r>
              <w:rPr>
                <w:b/>
                <w:sz w:val="18"/>
              </w:rPr>
              <w:t>ID and release</w:t>
            </w:r>
          </w:p>
        </w:tc>
        <w:tc>
          <w:tcPr>
            <w:tcW w:type="dxa" w:w="6840"/>
            <w:vAlign w:val="center"/>
            <w:shd w:fill="DCE6EE"/>
          </w:tcPr>
          <w:p>
            <w:pPr>
              <w:keepNext/>
              <w:spacing w:after="0" w:line="247" w:lineRule="auto"/>
            </w:pPr>
            <w:r>
              <w:rPr>
                <w:b/>
                <w:sz w:val="18"/>
              </w:rPr>
              <w:t>Requirement</w:t>
            </w:r>
          </w:p>
        </w:tc>
        <w:tc>
          <w:tcPr>
            <w:tcW w:type="dxa" w:w="1944"/>
            <w:vAlign w:val="center"/>
            <w:shd w:fill="DCE6EE"/>
          </w:tcPr>
          <w:p>
            <w:pPr>
              <w:keepNext/>
              <w:spacing w:after="0" w:line="247" w:lineRule="auto"/>
            </w:pPr>
            <w:r>
              <w:rPr>
                <w:b/>
                <w:sz w:val="18"/>
              </w:rPr>
              <w:t>Owner and design</w:t>
            </w:r>
          </w:p>
        </w:tc>
      </w:tr>
      <w:tr>
        <w:trPr>
          <w:cantSplit/>
        </w:trPr>
        <w:tc>
          <w:tcPr>
            <w:tcW w:type="dxa" w:w="1296"/>
            <w:vAlign w:val="center"/>
            <w:shd w:fill="FFFFFF"/>
          </w:tcPr>
          <w:p>
            <w:pPr>
              <w:spacing w:after="0" w:line="247" w:lineRule="auto"/>
            </w:pPr>
            <w:r>
              <w:rPr>
                <w:sz w:val="18"/>
              </w:rPr>
              <w:t>FR01 R1</w:t>
            </w:r>
          </w:p>
        </w:tc>
        <w:tc>
          <w:tcPr>
            <w:tcW w:type="dxa" w:w="6840"/>
            <w:vAlign w:val="center"/>
            <w:shd w:fill="FFFFFF"/>
          </w:tcPr>
          <w:p>
            <w:pPr>
              <w:spacing w:after="0" w:line="247" w:lineRule="auto"/>
            </w:pPr>
            <w:r>
              <w:rPr>
                <w:sz w:val="18"/>
              </w:rPr>
              <w:t>The installer shall create a directly bootable x86-64 OS with all required offline core assets.</w:t>
            </w:r>
          </w:p>
        </w:tc>
        <w:tc>
          <w:tcPr>
            <w:tcW w:type="dxa" w:w="1944"/>
            <w:vAlign w:val="center"/>
            <w:shd w:fill="FFFFFF"/>
          </w:tcPr>
          <w:p>
            <w:pPr>
              <w:spacing w:after="0" w:line="247" w:lineRule="auto"/>
            </w:pPr>
            <w:r>
              <w:rPr>
                <w:sz w:val="18"/>
              </w:rPr>
              <w:t>Platform §5</w:t>
            </w:r>
          </w:p>
        </w:tc>
      </w:tr>
      <w:tr>
        <w:trPr>
          <w:cantSplit/>
        </w:trPr>
        <w:tc>
          <w:tcPr>
            <w:tcW w:type="dxa" w:w="1296"/>
            <w:vAlign w:val="center"/>
            <w:shd w:fill="F6F8FA"/>
          </w:tcPr>
          <w:p>
            <w:pPr>
              <w:spacing w:after="0" w:line="247" w:lineRule="auto"/>
            </w:pPr>
            <w:r>
              <w:rPr>
                <w:sz w:val="18"/>
              </w:rPr>
              <w:t>FR02 R1</w:t>
            </w:r>
          </w:p>
        </w:tc>
        <w:tc>
          <w:tcPr>
            <w:tcW w:type="dxa" w:w="6840"/>
            <w:vAlign w:val="center"/>
            <w:shd w:fill="F6F8FA"/>
          </w:tcPr>
          <w:p>
            <w:pPr>
              <w:spacing w:after="0" w:line="247" w:lineRule="auto"/>
            </w:pPr>
            <w:r>
              <w:rPr>
                <w:sz w:val="18"/>
              </w:rPr>
              <w:t>The installer shall display disk changes and require confirmation before destructive partitioning.</w:t>
            </w:r>
          </w:p>
        </w:tc>
        <w:tc>
          <w:tcPr>
            <w:tcW w:type="dxa" w:w="1944"/>
            <w:vAlign w:val="center"/>
            <w:shd w:fill="F6F8FA"/>
          </w:tcPr>
          <w:p>
            <w:pPr>
              <w:spacing w:after="0" w:line="247" w:lineRule="auto"/>
            </w:pPr>
            <w:r>
              <w:rPr>
                <w:sz w:val="18"/>
              </w:rPr>
              <w:t>Installer §5</w:t>
            </w:r>
          </w:p>
        </w:tc>
      </w:tr>
      <w:tr>
        <w:trPr>
          <w:cantSplit/>
        </w:trPr>
        <w:tc>
          <w:tcPr>
            <w:tcW w:type="dxa" w:w="1296"/>
            <w:vAlign w:val="center"/>
            <w:shd w:fill="FFFFFF"/>
          </w:tcPr>
          <w:p>
            <w:pPr>
              <w:spacing w:after="0" w:line="247" w:lineRule="auto"/>
            </w:pPr>
            <w:r>
              <w:rPr>
                <w:sz w:val="18"/>
              </w:rPr>
              <w:t>FR03 R1</w:t>
            </w:r>
          </w:p>
        </w:tc>
        <w:tc>
          <w:tcPr>
            <w:tcW w:type="dxa" w:w="6840"/>
            <w:vAlign w:val="center"/>
            <w:shd w:fill="FFFFFF"/>
          </w:tcPr>
          <w:p>
            <w:pPr>
              <w:spacing w:after="0" w:line="247" w:lineRule="auto"/>
            </w:pPr>
            <w:r>
              <w:rPr>
                <w:sz w:val="18"/>
              </w:rPr>
              <w:t>The installer shall inventory hardware and report certified, degraded or unsupported status.</w:t>
            </w:r>
          </w:p>
        </w:tc>
        <w:tc>
          <w:tcPr>
            <w:tcW w:type="dxa" w:w="1944"/>
            <w:vAlign w:val="center"/>
            <w:shd w:fill="FFFFFF"/>
          </w:tcPr>
          <w:p>
            <w:pPr>
              <w:spacing w:after="0" w:line="247" w:lineRule="auto"/>
            </w:pPr>
            <w:r>
              <w:rPr>
                <w:sz w:val="18"/>
              </w:rPr>
              <w:t>Platform §15</w:t>
            </w:r>
          </w:p>
        </w:tc>
      </w:tr>
      <w:tr>
        <w:trPr>
          <w:cantSplit/>
        </w:trPr>
        <w:tc>
          <w:tcPr>
            <w:tcW w:type="dxa" w:w="1296"/>
            <w:vAlign w:val="center"/>
            <w:shd w:fill="F6F8FA"/>
          </w:tcPr>
          <w:p>
            <w:pPr>
              <w:spacing w:after="0" w:line="247" w:lineRule="auto"/>
            </w:pPr>
            <w:r>
              <w:rPr>
                <w:sz w:val="18"/>
              </w:rPr>
              <w:t>FR04 R1</w:t>
            </w:r>
          </w:p>
        </w:tc>
        <w:tc>
          <w:tcPr>
            <w:tcW w:type="dxa" w:w="6840"/>
            <w:vAlign w:val="center"/>
            <w:shd w:fill="F6F8FA"/>
          </w:tcPr>
          <w:p>
            <w:pPr>
              <w:spacing w:after="0" w:line="247" w:lineRule="auto"/>
            </w:pPr>
            <w:r>
              <w:rPr>
                <w:sz w:val="18"/>
              </w:rPr>
              <w:t>The OS shall boot to manual controls when model files or the accelerator are unavailable.</w:t>
            </w:r>
          </w:p>
        </w:tc>
        <w:tc>
          <w:tcPr>
            <w:tcW w:type="dxa" w:w="1944"/>
            <w:vAlign w:val="center"/>
            <w:shd w:fill="F6F8FA"/>
          </w:tcPr>
          <w:p>
            <w:pPr>
              <w:spacing w:after="0" w:line="247" w:lineRule="auto"/>
            </w:pPr>
            <w:r>
              <w:rPr>
                <w:sz w:val="18"/>
              </w:rPr>
              <w:t>Recovery §5</w:t>
            </w:r>
          </w:p>
        </w:tc>
      </w:tr>
      <w:tr>
        <w:trPr>
          <w:cantSplit/>
        </w:trPr>
        <w:tc>
          <w:tcPr>
            <w:tcW w:type="dxa" w:w="1296"/>
            <w:vAlign w:val="center"/>
            <w:shd w:fill="FFFFFF"/>
          </w:tcPr>
          <w:p>
            <w:pPr>
              <w:spacing w:after="0" w:line="247" w:lineRule="auto"/>
            </w:pPr>
            <w:r>
              <w:rPr>
                <w:sz w:val="18"/>
              </w:rPr>
              <w:t>FR05 R1</w:t>
            </w:r>
          </w:p>
        </w:tc>
        <w:tc>
          <w:tcPr>
            <w:tcW w:type="dxa" w:w="6840"/>
            <w:vAlign w:val="center"/>
            <w:shd w:fill="FFFFFF"/>
          </w:tcPr>
          <w:p>
            <w:pPr>
              <w:spacing w:after="0" w:line="247" w:lineRule="auto"/>
            </w:pPr>
            <w:r>
              <w:rPr>
                <w:sz w:val="18"/>
              </w:rPr>
              <w:t>The OS shall verify boot and package integrity and reject altered signed release assets.</w:t>
            </w:r>
          </w:p>
        </w:tc>
        <w:tc>
          <w:tcPr>
            <w:tcW w:type="dxa" w:w="1944"/>
            <w:vAlign w:val="center"/>
            <w:shd w:fill="FFFFFF"/>
          </w:tcPr>
          <w:p>
            <w:pPr>
              <w:spacing w:after="0" w:line="247" w:lineRule="auto"/>
            </w:pPr>
            <w:r>
              <w:rPr>
                <w:sz w:val="18"/>
              </w:rPr>
              <w:t>Update service §5</w:t>
            </w:r>
          </w:p>
        </w:tc>
      </w:tr>
      <w:tr>
        <w:trPr>
          <w:cantSplit/>
        </w:trPr>
        <w:tc>
          <w:tcPr>
            <w:tcW w:type="dxa" w:w="1296"/>
            <w:vAlign w:val="center"/>
            <w:shd w:fill="F6F8FA"/>
          </w:tcPr>
          <w:p>
            <w:pPr>
              <w:spacing w:after="0" w:line="247" w:lineRule="auto"/>
            </w:pPr>
            <w:r>
              <w:rPr>
                <w:sz w:val="18"/>
              </w:rPr>
              <w:t>FR06 R1</w:t>
            </w:r>
          </w:p>
        </w:tc>
        <w:tc>
          <w:tcPr>
            <w:tcW w:type="dxa" w:w="6840"/>
            <w:vAlign w:val="center"/>
            <w:shd w:fill="F6F8FA"/>
          </w:tcPr>
          <w:p>
            <w:pPr>
              <w:spacing w:after="0" w:line="247" w:lineRule="auto"/>
            </w:pPr>
            <w:r>
              <w:rPr>
                <w:sz w:val="18"/>
              </w:rPr>
              <w:t>The OS shall create separate user identities, encrypted data storage and recovery credentials.</w:t>
            </w:r>
          </w:p>
        </w:tc>
        <w:tc>
          <w:tcPr>
            <w:tcW w:type="dxa" w:w="1944"/>
            <w:vAlign w:val="center"/>
            <w:shd w:fill="F6F8FA"/>
          </w:tcPr>
          <w:p>
            <w:pPr>
              <w:spacing w:after="0" w:line="247" w:lineRule="auto"/>
            </w:pPr>
            <w:r>
              <w:rPr>
                <w:sz w:val="18"/>
              </w:rPr>
              <w:t>Identity §12</w:t>
            </w:r>
          </w:p>
        </w:tc>
      </w:tr>
      <w:tr>
        <w:trPr>
          <w:cantSplit/>
        </w:trPr>
        <w:tc>
          <w:tcPr>
            <w:tcW w:type="dxa" w:w="1296"/>
            <w:vAlign w:val="center"/>
            <w:shd w:fill="FFFFFF"/>
          </w:tcPr>
          <w:p>
            <w:pPr>
              <w:spacing w:after="0" w:line="247" w:lineRule="auto"/>
            </w:pPr>
            <w:r>
              <w:rPr>
                <w:sz w:val="18"/>
              </w:rPr>
              <w:t>FR07 R1</w:t>
            </w:r>
          </w:p>
        </w:tc>
        <w:tc>
          <w:tcPr>
            <w:tcW w:type="dxa" w:w="6840"/>
            <w:vAlign w:val="center"/>
            <w:shd w:fill="FFFFFF"/>
          </w:tcPr>
          <w:p>
            <w:pPr>
              <w:spacing w:after="0" w:line="247" w:lineRule="auto"/>
            </w:pPr>
            <w:r>
              <w:rPr>
                <w:sz w:val="18"/>
              </w:rPr>
              <w:t>The updater shall stage an inactive release and restore a compatible previous slot after failed trial boot.</w:t>
            </w:r>
          </w:p>
        </w:tc>
        <w:tc>
          <w:tcPr>
            <w:tcW w:type="dxa" w:w="1944"/>
            <w:vAlign w:val="center"/>
            <w:shd w:fill="FFFFFF"/>
          </w:tcPr>
          <w:p>
            <w:pPr>
              <w:spacing w:after="0" w:line="247" w:lineRule="auto"/>
            </w:pPr>
            <w:r>
              <w:rPr>
                <w:sz w:val="18"/>
              </w:rPr>
              <w:t>Update service §5</w:t>
            </w:r>
          </w:p>
        </w:tc>
      </w:tr>
      <w:tr>
        <w:trPr>
          <w:cantSplit/>
        </w:trPr>
        <w:tc>
          <w:tcPr>
            <w:tcW w:type="dxa" w:w="1296"/>
            <w:vAlign w:val="center"/>
            <w:shd w:fill="F6F8FA"/>
          </w:tcPr>
          <w:p>
            <w:pPr>
              <w:spacing w:after="0" w:line="247" w:lineRule="auto"/>
            </w:pPr>
            <w:r>
              <w:rPr>
                <w:sz w:val="18"/>
              </w:rPr>
              <w:t>FR08 R2</w:t>
            </w:r>
          </w:p>
        </w:tc>
        <w:tc>
          <w:tcPr>
            <w:tcW w:type="dxa" w:w="6840"/>
            <w:vAlign w:val="center"/>
            <w:shd w:fill="F6F8FA"/>
          </w:tcPr>
          <w:p>
            <w:pPr>
              <w:spacing w:after="0" w:line="247" w:lineRule="auto"/>
            </w:pPr>
            <w:r>
              <w:rPr>
                <w:sz w:val="18"/>
              </w:rPr>
              <w:t>The installer shall provide an independently qualified ARM64 image.</w:t>
            </w:r>
          </w:p>
        </w:tc>
        <w:tc>
          <w:tcPr>
            <w:tcW w:type="dxa" w:w="1944"/>
            <w:vAlign w:val="center"/>
            <w:shd w:fill="F6F8FA"/>
          </w:tcPr>
          <w:p>
            <w:pPr>
              <w:spacing w:after="0" w:line="247" w:lineRule="auto"/>
            </w:pPr>
            <w:r>
              <w:rPr>
                <w:sz w:val="18"/>
              </w:rPr>
              <w:t>Platform §15</w:t>
            </w:r>
          </w:p>
        </w:tc>
      </w:tr>
      <w:tr>
        <w:trPr>
          <w:cantSplit/>
        </w:trPr>
        <w:tc>
          <w:tcPr>
            <w:tcW w:type="dxa" w:w="1296"/>
            <w:vAlign w:val="center"/>
            <w:shd w:fill="FFFFFF"/>
          </w:tcPr>
          <w:p>
            <w:pPr>
              <w:spacing w:after="0" w:line="247" w:lineRule="auto"/>
            </w:pPr>
            <w:r>
              <w:rPr>
                <w:sz w:val="18"/>
              </w:rPr>
              <w:t>FR09 R1</w:t>
            </w:r>
          </w:p>
        </w:tc>
        <w:tc>
          <w:tcPr>
            <w:tcW w:type="dxa" w:w="6840"/>
            <w:vAlign w:val="center"/>
            <w:shd w:fill="FFFFFF"/>
          </w:tcPr>
          <w:p>
            <w:pPr>
              <w:spacing w:after="0" w:line="247" w:lineRule="auto"/>
            </w:pPr>
            <w:r>
              <w:rPr>
                <w:sz w:val="18"/>
              </w:rPr>
              <w:t>The registry shall discover only installed, compatible and authorized skills.</w:t>
            </w:r>
          </w:p>
        </w:tc>
        <w:tc>
          <w:tcPr>
            <w:tcW w:type="dxa" w:w="1944"/>
            <w:vAlign w:val="center"/>
            <w:shd w:fill="FFFFFF"/>
          </w:tcPr>
          <w:p>
            <w:pPr>
              <w:spacing w:after="0" w:line="247" w:lineRule="auto"/>
            </w:pPr>
            <w:r>
              <w:rPr>
                <w:sz w:val="18"/>
              </w:rPr>
              <w:t>Registry §6</w:t>
            </w:r>
          </w:p>
        </w:tc>
      </w:tr>
      <w:tr>
        <w:trPr>
          <w:cantSplit/>
        </w:trPr>
        <w:tc>
          <w:tcPr>
            <w:tcW w:type="dxa" w:w="1296"/>
            <w:vAlign w:val="center"/>
            <w:shd w:fill="F6F8FA"/>
          </w:tcPr>
          <w:p>
            <w:pPr>
              <w:spacing w:after="0" w:line="247" w:lineRule="auto"/>
            </w:pPr>
            <w:r>
              <w:rPr>
                <w:sz w:val="18"/>
              </w:rPr>
              <w:t>FR10 R1</w:t>
            </w:r>
          </w:p>
        </w:tc>
        <w:tc>
          <w:tcPr>
            <w:tcW w:type="dxa" w:w="6840"/>
            <w:vAlign w:val="center"/>
            <w:shd w:fill="F6F8FA"/>
          </w:tcPr>
          <w:p>
            <w:pPr>
              <w:spacing w:after="0" w:line="247" w:lineRule="auto"/>
            </w:pPr>
            <w:r>
              <w:rPr>
                <w:sz w:val="18"/>
              </w:rPr>
              <w:t>Every skill shall declare schemas, effects, resource limits and required capabilities.</w:t>
            </w:r>
          </w:p>
        </w:tc>
        <w:tc>
          <w:tcPr>
            <w:tcW w:type="dxa" w:w="1944"/>
            <w:vAlign w:val="center"/>
            <w:shd w:fill="F6F8FA"/>
          </w:tcPr>
          <w:p>
            <w:pPr>
              <w:spacing w:after="0" w:line="247" w:lineRule="auto"/>
            </w:pPr>
            <w:r>
              <w:rPr>
                <w:sz w:val="18"/>
              </w:rPr>
              <w:t>SDK §6</w:t>
            </w:r>
          </w:p>
        </w:tc>
      </w:tr>
      <w:tr>
        <w:trPr>
          <w:cantSplit/>
        </w:trPr>
        <w:tc>
          <w:tcPr>
            <w:tcW w:type="dxa" w:w="1296"/>
            <w:vAlign w:val="center"/>
            <w:shd w:fill="FFFFFF"/>
          </w:tcPr>
          <w:p>
            <w:pPr>
              <w:spacing w:after="0" w:line="247" w:lineRule="auto"/>
            </w:pPr>
            <w:r>
              <w:rPr>
                <w:sz w:val="18"/>
              </w:rPr>
              <w:t>FR11 R1</w:t>
            </w:r>
          </w:p>
        </w:tc>
        <w:tc>
          <w:tcPr>
            <w:tcW w:type="dxa" w:w="6840"/>
            <w:vAlign w:val="center"/>
            <w:shd w:fill="FFFFFF"/>
          </w:tcPr>
          <w:p>
            <w:pPr>
              <w:spacing w:after="0" w:line="247" w:lineRule="auto"/>
            </w:pPr>
            <w:r>
              <w:rPr>
                <w:sz w:val="18"/>
              </w:rPr>
              <w:t>The supervisor shall verify packages and isolate workers using the declared profile.</w:t>
            </w:r>
          </w:p>
        </w:tc>
        <w:tc>
          <w:tcPr>
            <w:tcW w:type="dxa" w:w="1944"/>
            <w:vAlign w:val="center"/>
            <w:shd w:fill="FFFFFF"/>
          </w:tcPr>
          <w:p>
            <w:pPr>
              <w:spacing w:after="0" w:line="247" w:lineRule="auto"/>
            </w:pPr>
            <w:r>
              <w:rPr>
                <w:sz w:val="18"/>
              </w:rPr>
              <w:t>Supervisor §6</w:t>
            </w:r>
          </w:p>
        </w:tc>
      </w:tr>
      <w:tr>
        <w:trPr>
          <w:cantSplit/>
        </w:trPr>
        <w:tc>
          <w:tcPr>
            <w:tcW w:type="dxa" w:w="1296"/>
            <w:vAlign w:val="center"/>
            <w:shd w:fill="F6F8FA"/>
          </w:tcPr>
          <w:p>
            <w:pPr>
              <w:spacing w:after="0" w:line="247" w:lineRule="auto"/>
            </w:pPr>
            <w:r>
              <w:rPr>
                <w:sz w:val="18"/>
              </w:rPr>
              <w:t>FR12 R1</w:t>
            </w:r>
          </w:p>
        </w:tc>
        <w:tc>
          <w:tcPr>
            <w:tcW w:type="dxa" w:w="6840"/>
            <w:vAlign w:val="center"/>
            <w:shd w:fill="F6F8FA"/>
          </w:tcPr>
          <w:p>
            <w:pPr>
              <w:spacing w:after="0" w:line="247" w:lineRule="auto"/>
            </w:pPr>
            <w:r>
              <w:rPr>
                <w:sz w:val="18"/>
              </w:rPr>
              <w:t>A task-scoped worker shall release memory and handles after completion or cancellation.</w:t>
            </w:r>
          </w:p>
        </w:tc>
        <w:tc>
          <w:tcPr>
            <w:tcW w:type="dxa" w:w="1944"/>
            <w:vAlign w:val="center"/>
            <w:shd w:fill="F6F8FA"/>
          </w:tcPr>
          <w:p>
            <w:pPr>
              <w:spacing w:after="0" w:line="247" w:lineRule="auto"/>
            </w:pPr>
            <w:r>
              <w:rPr>
                <w:sz w:val="18"/>
              </w:rPr>
              <w:t>Supervisor §6</w:t>
            </w:r>
          </w:p>
        </w:tc>
      </w:tr>
      <w:tr>
        <w:trPr>
          <w:cantSplit/>
        </w:trPr>
        <w:tc>
          <w:tcPr>
            <w:tcW w:type="dxa" w:w="1296"/>
            <w:vAlign w:val="center"/>
            <w:shd w:fill="FFFFFF"/>
          </w:tcPr>
          <w:p>
            <w:pPr>
              <w:spacing w:after="0" w:line="247" w:lineRule="auto"/>
            </w:pPr>
            <w:r>
              <w:rPr>
                <w:sz w:val="18"/>
              </w:rPr>
              <w:t>FR13 R1</w:t>
            </w:r>
          </w:p>
        </w:tc>
        <w:tc>
          <w:tcPr>
            <w:tcW w:type="dxa" w:w="6840"/>
            <w:vAlign w:val="center"/>
            <w:shd w:fill="FFFFFF"/>
          </w:tcPr>
          <w:p>
            <w:pPr>
              <w:spacing w:after="0" w:line="247" w:lineRule="auto"/>
            </w:pPr>
            <w:r>
              <w:rPr>
                <w:sz w:val="18"/>
              </w:rPr>
              <w:t>Stateful applications shall checkpoint and resume without presenting an incomplete task as successful.</w:t>
            </w:r>
          </w:p>
        </w:tc>
        <w:tc>
          <w:tcPr>
            <w:tcW w:type="dxa" w:w="1944"/>
            <w:vAlign w:val="center"/>
            <w:shd w:fill="FFFFFF"/>
          </w:tcPr>
          <w:p>
            <w:pPr>
              <w:spacing w:after="0" w:line="247" w:lineRule="auto"/>
            </w:pPr>
            <w:r>
              <w:rPr>
                <w:sz w:val="18"/>
              </w:rPr>
              <w:t>Workflow §9</w:t>
            </w:r>
          </w:p>
        </w:tc>
      </w:tr>
      <w:tr>
        <w:trPr>
          <w:cantSplit/>
        </w:trPr>
        <w:tc>
          <w:tcPr>
            <w:tcW w:type="dxa" w:w="1296"/>
            <w:vAlign w:val="center"/>
            <w:shd w:fill="F6F8FA"/>
          </w:tcPr>
          <w:p>
            <w:pPr>
              <w:spacing w:after="0" w:line="247" w:lineRule="auto"/>
            </w:pPr>
            <w:r>
              <w:rPr>
                <w:sz w:val="18"/>
              </w:rPr>
              <w:t>FR14 R1</w:t>
            </w:r>
          </w:p>
        </w:tc>
        <w:tc>
          <w:tcPr>
            <w:tcW w:type="dxa" w:w="6840"/>
            <w:vAlign w:val="center"/>
            <w:shd w:fill="F6F8FA"/>
          </w:tcPr>
          <w:p>
            <w:pPr>
              <w:spacing w:after="0" w:line="247" w:lineRule="auto"/>
            </w:pPr>
            <w:r>
              <w:rPr>
                <w:sz w:val="18"/>
              </w:rPr>
              <w:t>The registry shall pin active workflow skill versions during updates.</w:t>
            </w:r>
          </w:p>
        </w:tc>
        <w:tc>
          <w:tcPr>
            <w:tcW w:type="dxa" w:w="1944"/>
            <w:vAlign w:val="center"/>
            <w:shd w:fill="F6F8FA"/>
          </w:tcPr>
          <w:p>
            <w:pPr>
              <w:spacing w:after="0" w:line="247" w:lineRule="auto"/>
            </w:pPr>
            <w:r>
              <w:rPr>
                <w:sz w:val="18"/>
              </w:rPr>
              <w:t>Registry §6</w:t>
            </w:r>
          </w:p>
        </w:tc>
      </w:tr>
      <w:tr>
        <w:trPr>
          <w:cantSplit/>
        </w:trPr>
        <w:tc>
          <w:tcPr>
            <w:tcW w:type="dxa" w:w="1296"/>
            <w:vAlign w:val="center"/>
            <w:shd w:fill="FFFFFF"/>
          </w:tcPr>
          <w:p>
            <w:pPr>
              <w:spacing w:after="0" w:line="247" w:lineRule="auto"/>
            </w:pPr>
            <w:r>
              <w:rPr>
                <w:sz w:val="18"/>
              </w:rPr>
              <w:t>FR15 R1</w:t>
            </w:r>
          </w:p>
        </w:tc>
        <w:tc>
          <w:tcPr>
            <w:tcW w:type="dxa" w:w="6840"/>
            <w:vAlign w:val="center"/>
            <w:shd w:fill="FFFFFF"/>
          </w:tcPr>
          <w:p>
            <w:pPr>
              <w:spacing w:after="0" w:line="247" w:lineRule="auto"/>
            </w:pPr>
            <w:r>
              <w:rPr>
                <w:sz w:val="18"/>
              </w:rPr>
              <w:t>The planner shall emit a bounded DAG using registered schemas and exact input references.</w:t>
            </w:r>
          </w:p>
        </w:tc>
        <w:tc>
          <w:tcPr>
            <w:tcW w:type="dxa" w:w="1944"/>
            <w:vAlign w:val="center"/>
            <w:shd w:fill="FFFFFF"/>
          </w:tcPr>
          <w:p>
            <w:pPr>
              <w:spacing w:after="0" w:line="247" w:lineRule="auto"/>
            </w:pPr>
            <w:r>
              <w:rPr>
                <w:sz w:val="18"/>
              </w:rPr>
              <w:t>Planner §9</w:t>
            </w:r>
          </w:p>
        </w:tc>
      </w:tr>
      <w:tr>
        <w:trPr>
          <w:cantSplit/>
        </w:trPr>
        <w:tc>
          <w:tcPr>
            <w:tcW w:type="dxa" w:w="1296"/>
            <w:vAlign w:val="center"/>
            <w:shd w:fill="F6F8FA"/>
          </w:tcPr>
          <w:p>
            <w:pPr>
              <w:spacing w:after="0" w:line="247" w:lineRule="auto"/>
            </w:pPr>
            <w:r>
              <w:rPr>
                <w:sz w:val="18"/>
              </w:rPr>
              <w:t>FR16 R1</w:t>
            </w:r>
          </w:p>
        </w:tc>
        <w:tc>
          <w:tcPr>
            <w:tcW w:type="dxa" w:w="6840"/>
            <w:vAlign w:val="center"/>
            <w:shd w:fill="F6F8FA"/>
          </w:tcPr>
          <w:p>
            <w:pPr>
              <w:spacing w:after="0" w:line="247" w:lineRule="auto"/>
            </w:pPr>
            <w:r>
              <w:rPr>
                <w:sz w:val="18"/>
              </w:rPr>
              <w:t>The engine shall reject cycles, invalid arguments and missing dependencies before launch.</w:t>
            </w:r>
          </w:p>
        </w:tc>
        <w:tc>
          <w:tcPr>
            <w:tcW w:type="dxa" w:w="1944"/>
            <w:vAlign w:val="center"/>
            <w:shd w:fill="F6F8FA"/>
          </w:tcPr>
          <w:p>
            <w:pPr>
              <w:spacing w:after="0" w:line="247" w:lineRule="auto"/>
            </w:pPr>
            <w:r>
              <w:rPr>
                <w:sz w:val="18"/>
              </w:rPr>
              <w:t>Workflow §13</w:t>
            </w:r>
          </w:p>
        </w:tc>
      </w:tr>
      <w:tr>
        <w:trPr>
          <w:cantSplit/>
        </w:trPr>
        <w:tc>
          <w:tcPr>
            <w:tcW w:type="dxa" w:w="1296"/>
            <w:vAlign w:val="center"/>
            <w:shd w:fill="FFFFFF"/>
          </w:tcPr>
          <w:p>
            <w:pPr>
              <w:spacing w:after="0" w:line="247" w:lineRule="auto"/>
            </w:pPr>
            <w:r>
              <w:rPr>
                <w:sz w:val="18"/>
              </w:rPr>
              <w:t>FR17 R1</w:t>
            </w:r>
          </w:p>
        </w:tc>
        <w:tc>
          <w:tcPr>
            <w:tcW w:type="dxa" w:w="6840"/>
            <w:vAlign w:val="center"/>
            <w:shd w:fill="FFFFFF"/>
          </w:tcPr>
          <w:p>
            <w:pPr>
              <w:spacing w:after="0" w:line="247" w:lineRule="auto"/>
            </w:pPr>
            <w:r>
              <w:rPr>
                <w:sz w:val="18"/>
              </w:rPr>
              <w:t>The policy broker shall authorize each effect and validate revisions at execution time.</w:t>
            </w:r>
          </w:p>
        </w:tc>
        <w:tc>
          <w:tcPr>
            <w:tcW w:type="dxa" w:w="1944"/>
            <w:vAlign w:val="center"/>
            <w:shd w:fill="FFFFFF"/>
          </w:tcPr>
          <w:p>
            <w:pPr>
              <w:spacing w:after="0" w:line="247" w:lineRule="auto"/>
            </w:pPr>
            <w:r>
              <w:rPr>
                <w:sz w:val="18"/>
              </w:rPr>
              <w:t>Policy §12</w:t>
            </w:r>
          </w:p>
        </w:tc>
      </w:tr>
      <w:tr>
        <w:trPr>
          <w:cantSplit/>
        </w:trPr>
        <w:tc>
          <w:tcPr>
            <w:tcW w:type="dxa" w:w="1296"/>
            <w:vAlign w:val="center"/>
            <w:shd w:fill="F6F8FA"/>
          </w:tcPr>
          <w:p>
            <w:pPr>
              <w:spacing w:after="0" w:line="247" w:lineRule="auto"/>
            </w:pPr>
            <w:r>
              <w:rPr>
                <w:sz w:val="18"/>
              </w:rPr>
              <w:t>FR18 R1</w:t>
            </w:r>
          </w:p>
        </w:tc>
        <w:tc>
          <w:tcPr>
            <w:tcW w:type="dxa" w:w="6840"/>
            <w:vAlign w:val="center"/>
            <w:shd w:fill="F6F8FA"/>
          </w:tcPr>
          <w:p>
            <w:pPr>
              <w:spacing w:after="0" w:line="247" w:lineRule="auto"/>
            </w:pPr>
            <w:r>
              <w:rPr>
                <w:sz w:val="18"/>
              </w:rPr>
              <w:t>The activity view shall show step states, actual effects, failures and produced artifacts.</w:t>
            </w:r>
          </w:p>
        </w:tc>
        <w:tc>
          <w:tcPr>
            <w:tcW w:type="dxa" w:w="1944"/>
            <w:vAlign w:val="center"/>
            <w:shd w:fill="F6F8FA"/>
          </w:tcPr>
          <w:p>
            <w:pPr>
              <w:spacing w:after="0" w:line="247" w:lineRule="auto"/>
            </w:pPr>
            <w:r>
              <w:rPr>
                <w:sz w:val="18"/>
              </w:rPr>
              <w:t>Shell §9</w:t>
            </w:r>
          </w:p>
        </w:tc>
      </w:tr>
      <w:tr>
        <w:trPr>
          <w:cantSplit/>
        </w:trPr>
        <w:tc>
          <w:tcPr>
            <w:tcW w:type="dxa" w:w="1296"/>
            <w:vAlign w:val="center"/>
            <w:shd w:fill="FFFFFF"/>
          </w:tcPr>
          <w:p>
            <w:pPr>
              <w:spacing w:after="0" w:line="247" w:lineRule="auto"/>
            </w:pPr>
            <w:r>
              <w:rPr>
                <w:sz w:val="18"/>
              </w:rPr>
              <w:t>FR19 R1</w:t>
            </w:r>
          </w:p>
        </w:tc>
        <w:tc>
          <w:tcPr>
            <w:tcW w:type="dxa" w:w="6840"/>
            <w:vAlign w:val="center"/>
            <w:shd w:fill="FFFFFF"/>
          </w:tcPr>
          <w:p>
            <w:pPr>
              <w:spacing w:after="0" w:line="247" w:lineRule="auto"/>
            </w:pPr>
            <w:r>
              <w:rPr>
                <w:sz w:val="18"/>
              </w:rPr>
              <w:t>Cancellation shall stop future work and record effects already committed.</w:t>
            </w:r>
          </w:p>
        </w:tc>
        <w:tc>
          <w:tcPr>
            <w:tcW w:type="dxa" w:w="1944"/>
            <w:vAlign w:val="center"/>
            <w:shd w:fill="FFFFFF"/>
          </w:tcPr>
          <w:p>
            <w:pPr>
              <w:spacing w:after="0" w:line="247" w:lineRule="auto"/>
            </w:pPr>
            <w:r>
              <w:rPr>
                <w:sz w:val="18"/>
              </w:rPr>
              <w:t>Workflow §9</w:t>
            </w:r>
          </w:p>
        </w:tc>
      </w:tr>
      <w:tr>
        <w:trPr>
          <w:cantSplit/>
        </w:trPr>
        <w:tc>
          <w:tcPr>
            <w:tcW w:type="dxa" w:w="1296"/>
            <w:vAlign w:val="center"/>
            <w:shd w:fill="F6F8FA"/>
          </w:tcPr>
          <w:p>
            <w:pPr>
              <w:spacing w:after="0" w:line="247" w:lineRule="auto"/>
            </w:pPr>
            <w:r>
              <w:rPr>
                <w:sz w:val="18"/>
              </w:rPr>
              <w:t>FR20 R1</w:t>
            </w:r>
          </w:p>
        </w:tc>
        <w:tc>
          <w:tcPr>
            <w:tcW w:type="dxa" w:w="6840"/>
            <w:vAlign w:val="center"/>
            <w:shd w:fill="F6F8FA"/>
          </w:tcPr>
          <w:p>
            <w:pPr>
              <w:spacing w:after="0" w:line="247" w:lineRule="auto"/>
            </w:pPr>
            <w:r>
              <w:rPr>
                <w:sz w:val="18"/>
              </w:rPr>
              <w:t>Mutating operations shall use idempotency keys and recoverable durable state.</w:t>
            </w:r>
          </w:p>
        </w:tc>
        <w:tc>
          <w:tcPr>
            <w:tcW w:type="dxa" w:w="1944"/>
            <w:vAlign w:val="center"/>
            <w:shd w:fill="F6F8FA"/>
          </w:tcPr>
          <w:p>
            <w:pPr>
              <w:spacing w:after="0" w:line="247" w:lineRule="auto"/>
            </w:pPr>
            <w:r>
              <w:rPr>
                <w:sz w:val="18"/>
              </w:rPr>
              <w:t>Workflow §13</w:t>
            </w:r>
          </w:p>
        </w:tc>
      </w:tr>
      <w:tr>
        <w:trPr>
          <w:cantSplit/>
        </w:trPr>
        <w:tc>
          <w:tcPr>
            <w:tcW w:type="dxa" w:w="1296"/>
            <w:vAlign w:val="center"/>
            <w:shd w:fill="FFFFFF"/>
          </w:tcPr>
          <w:p>
            <w:pPr>
              <w:spacing w:after="0" w:line="247" w:lineRule="auto"/>
            </w:pPr>
            <w:r>
              <w:rPr>
                <w:sz w:val="18"/>
              </w:rPr>
              <w:t>FR21 R1</w:t>
            </w:r>
          </w:p>
        </w:tc>
        <w:tc>
          <w:tcPr>
            <w:tcW w:type="dxa" w:w="6840"/>
            <w:vAlign w:val="center"/>
            <w:shd w:fill="FFFFFF"/>
          </w:tcPr>
          <w:p>
            <w:pPr>
              <w:spacing w:after="0" w:line="247" w:lineRule="auto"/>
            </w:pPr>
            <w:r>
              <w:rPr>
                <w:sz w:val="18"/>
              </w:rPr>
              <w:t>Uncertain external effects shall stop automatic replay and enter a reconciliation state.</w:t>
            </w:r>
          </w:p>
        </w:tc>
        <w:tc>
          <w:tcPr>
            <w:tcW w:type="dxa" w:w="1944"/>
            <w:vAlign w:val="center"/>
            <w:shd w:fill="FFFFFF"/>
          </w:tcPr>
          <w:p>
            <w:pPr>
              <w:spacing w:after="0" w:line="247" w:lineRule="auto"/>
            </w:pPr>
            <w:r>
              <w:rPr>
                <w:sz w:val="18"/>
              </w:rPr>
              <w:t>Adapters §9</w:t>
            </w:r>
          </w:p>
        </w:tc>
      </w:tr>
      <w:tr>
        <w:trPr>
          <w:cantSplit/>
        </w:trPr>
        <w:tc>
          <w:tcPr>
            <w:tcW w:type="dxa" w:w="1296"/>
            <w:vAlign w:val="center"/>
            <w:shd w:fill="F6F8FA"/>
          </w:tcPr>
          <w:p>
            <w:pPr>
              <w:spacing w:after="0" w:line="247" w:lineRule="auto"/>
            </w:pPr>
            <w:r>
              <w:rPr>
                <w:sz w:val="18"/>
              </w:rPr>
              <w:t>FR22 R1</w:t>
            </w:r>
          </w:p>
        </w:tc>
        <w:tc>
          <w:tcPr>
            <w:tcW w:type="dxa" w:w="6840"/>
            <w:vAlign w:val="center"/>
            <w:shd w:fill="F6F8FA"/>
          </w:tcPr>
          <w:p>
            <w:pPr>
              <w:spacing w:after="0" w:line="247" w:lineRule="auto"/>
            </w:pPr>
            <w:r>
              <w:rPr>
                <w:sz w:val="18"/>
              </w:rPr>
              <w:t>Semantic search shall return only currently authorized objects and snippets.</w:t>
            </w:r>
          </w:p>
        </w:tc>
        <w:tc>
          <w:tcPr>
            <w:tcW w:type="dxa" w:w="1944"/>
            <w:vAlign w:val="center"/>
            <w:shd w:fill="F6F8FA"/>
          </w:tcPr>
          <w:p>
            <w:pPr>
              <w:spacing w:after="0" w:line="247" w:lineRule="auto"/>
            </w:pPr>
            <w:r>
              <w:rPr>
                <w:sz w:val="18"/>
              </w:rPr>
              <w:t>Index §8</w:t>
            </w:r>
          </w:p>
        </w:tc>
      </w:tr>
      <w:tr>
        <w:trPr>
          <w:cantSplit/>
        </w:trPr>
        <w:tc>
          <w:tcPr>
            <w:tcW w:type="dxa" w:w="1296"/>
            <w:vAlign w:val="center"/>
            <w:shd w:fill="FFFFFF"/>
          </w:tcPr>
          <w:p>
            <w:pPr>
              <w:spacing w:after="0" w:line="247" w:lineRule="auto"/>
            </w:pPr>
            <w:r>
              <w:rPr>
                <w:sz w:val="18"/>
              </w:rPr>
              <w:t>FR23 R1</w:t>
            </w:r>
          </w:p>
        </w:tc>
        <w:tc>
          <w:tcPr>
            <w:tcW w:type="dxa" w:w="6840"/>
            <w:vAlign w:val="center"/>
            <w:shd w:fill="FFFFFF"/>
          </w:tcPr>
          <w:p>
            <w:pPr>
              <w:spacing w:after="0" w:line="247" w:lineRule="auto"/>
            </w:pPr>
            <w:r>
              <w:rPr>
                <w:sz w:val="18"/>
              </w:rPr>
              <w:t>Objects shall retain stable identity through managed rename and version operations.</w:t>
            </w:r>
          </w:p>
        </w:tc>
        <w:tc>
          <w:tcPr>
            <w:tcW w:type="dxa" w:w="1944"/>
            <w:vAlign w:val="center"/>
            <w:shd w:fill="FFFFFF"/>
          </w:tcPr>
          <w:p>
            <w:pPr>
              <w:spacing w:after="0" w:line="247" w:lineRule="auto"/>
            </w:pPr>
            <w:r>
              <w:rPr>
                <w:sz w:val="18"/>
              </w:rPr>
              <w:t>Artifact service §8</w:t>
            </w:r>
          </w:p>
        </w:tc>
      </w:tr>
      <w:tr>
        <w:trPr>
          <w:cantSplit/>
        </w:trPr>
        <w:tc>
          <w:tcPr>
            <w:tcW w:type="dxa" w:w="1296"/>
            <w:vAlign w:val="center"/>
            <w:shd w:fill="F6F8FA"/>
          </w:tcPr>
          <w:p>
            <w:pPr>
              <w:spacing w:after="0" w:line="247" w:lineRule="auto"/>
            </w:pPr>
            <w:r>
              <w:rPr>
                <w:sz w:val="18"/>
              </w:rPr>
              <w:t>FR24 R1</w:t>
            </w:r>
          </w:p>
        </w:tc>
        <w:tc>
          <w:tcPr>
            <w:tcW w:type="dxa" w:w="6840"/>
            <w:vAlign w:val="center"/>
            <w:shd w:fill="F6F8FA"/>
          </w:tcPr>
          <w:p>
            <w:pPr>
              <w:spacing w:after="0" w:line="247" w:lineRule="auto"/>
            </w:pPr>
            <w:r>
              <w:rPr>
                <w:sz w:val="18"/>
              </w:rPr>
              <w:t>The LLM shall organize files through typed metadata or file operations, never raw block writes.</w:t>
            </w:r>
          </w:p>
        </w:tc>
        <w:tc>
          <w:tcPr>
            <w:tcW w:type="dxa" w:w="1944"/>
            <w:vAlign w:val="center"/>
            <w:shd w:fill="F6F8FA"/>
          </w:tcPr>
          <w:p>
            <w:pPr>
              <w:spacing w:after="0" w:line="247" w:lineRule="auto"/>
            </w:pPr>
            <w:r>
              <w:rPr>
                <w:sz w:val="18"/>
              </w:rPr>
              <w:t>Artifact service §8</w:t>
            </w:r>
          </w:p>
        </w:tc>
      </w:tr>
      <w:tr>
        <w:trPr>
          <w:cantSplit/>
        </w:trPr>
        <w:tc>
          <w:tcPr>
            <w:tcW w:type="dxa" w:w="1296"/>
            <w:vAlign w:val="center"/>
            <w:shd w:fill="FFFFFF"/>
          </w:tcPr>
          <w:p>
            <w:pPr>
              <w:spacing w:after="0" w:line="247" w:lineRule="auto"/>
            </w:pPr>
            <w:r>
              <w:rPr>
                <w:sz w:val="18"/>
              </w:rPr>
              <w:t>FR25 R1</w:t>
            </w:r>
          </w:p>
        </w:tc>
        <w:tc>
          <w:tcPr>
            <w:tcW w:type="dxa" w:w="6840"/>
            <w:vAlign w:val="center"/>
            <w:shd w:fill="FFFFFF"/>
          </w:tcPr>
          <w:p>
            <w:pPr>
              <w:spacing w:after="0" w:line="247" w:lineRule="auto"/>
            </w:pPr>
            <w:r>
              <w:rPr>
                <w:sz w:val="18"/>
              </w:rPr>
              <w:t>Automatic organization shall support reversible collections without requiring physical moves.</w:t>
            </w:r>
          </w:p>
        </w:tc>
        <w:tc>
          <w:tcPr>
            <w:tcW w:type="dxa" w:w="1944"/>
            <w:vAlign w:val="center"/>
            <w:shd w:fill="FFFFFF"/>
          </w:tcPr>
          <w:p>
            <w:pPr>
              <w:spacing w:after="0" w:line="247" w:lineRule="auto"/>
            </w:pPr>
            <w:r>
              <w:rPr>
                <w:sz w:val="18"/>
              </w:rPr>
              <w:t>Index §8</w:t>
            </w:r>
          </w:p>
        </w:tc>
      </w:tr>
      <w:tr>
        <w:trPr>
          <w:cantSplit/>
        </w:trPr>
        <w:tc>
          <w:tcPr>
            <w:tcW w:type="dxa" w:w="1296"/>
            <w:vAlign w:val="center"/>
            <w:shd w:fill="F6F8FA"/>
          </w:tcPr>
          <w:p>
            <w:pPr>
              <w:spacing w:after="0" w:line="247" w:lineRule="auto"/>
            </w:pPr>
            <w:r>
              <w:rPr>
                <w:sz w:val="18"/>
              </w:rPr>
              <w:t>FR26 R1</w:t>
            </w:r>
          </w:p>
        </w:tc>
        <w:tc>
          <w:tcPr>
            <w:tcW w:type="dxa" w:w="6840"/>
            <w:vAlign w:val="center"/>
            <w:shd w:fill="F6F8FA"/>
          </w:tcPr>
          <w:p>
            <w:pPr>
              <w:spacing w:after="0" w:line="247" w:lineRule="auto"/>
            </w:pPr>
            <w:r>
              <w:rPr>
                <w:sz w:val="18"/>
              </w:rPr>
              <w:t>File-changing plans shall expose affected versions and a reviewable diff or candidate list.</w:t>
            </w:r>
          </w:p>
        </w:tc>
        <w:tc>
          <w:tcPr>
            <w:tcW w:type="dxa" w:w="1944"/>
            <w:vAlign w:val="center"/>
            <w:shd w:fill="F6F8FA"/>
          </w:tcPr>
          <w:p>
            <w:pPr>
              <w:spacing w:after="0" w:line="247" w:lineRule="auto"/>
            </w:pPr>
            <w:r>
              <w:rPr>
                <w:sz w:val="18"/>
              </w:rPr>
              <w:t>Shell §8</w:t>
            </w:r>
          </w:p>
        </w:tc>
      </w:tr>
      <w:tr>
        <w:trPr>
          <w:cantSplit/>
        </w:trPr>
        <w:tc>
          <w:tcPr>
            <w:tcW w:type="dxa" w:w="1296"/>
            <w:vAlign w:val="center"/>
            <w:shd w:fill="FFFFFF"/>
          </w:tcPr>
          <w:p>
            <w:pPr>
              <w:spacing w:after="0" w:line="247" w:lineRule="auto"/>
            </w:pPr>
            <w:r>
              <w:rPr>
                <w:sz w:val="18"/>
              </w:rPr>
              <w:t>FR27 R1</w:t>
            </w:r>
          </w:p>
        </w:tc>
        <w:tc>
          <w:tcPr>
            <w:tcW w:type="dxa" w:w="6840"/>
            <w:vAlign w:val="center"/>
            <w:shd w:fill="FFFFFF"/>
          </w:tcPr>
          <w:p>
            <w:pPr>
              <w:spacing w:after="0" w:line="247" w:lineRule="auto"/>
            </w:pPr>
            <w:r>
              <w:rPr>
                <w:sz w:val="18"/>
              </w:rPr>
              <w:t>Managed output publication shall use durable staging, validation and version preconditions.</w:t>
            </w:r>
          </w:p>
        </w:tc>
        <w:tc>
          <w:tcPr>
            <w:tcW w:type="dxa" w:w="1944"/>
            <w:vAlign w:val="center"/>
            <w:shd w:fill="FFFFFF"/>
          </w:tcPr>
          <w:p>
            <w:pPr>
              <w:spacing w:after="0" w:line="247" w:lineRule="auto"/>
            </w:pPr>
            <w:r>
              <w:rPr>
                <w:sz w:val="18"/>
              </w:rPr>
              <w:t>Artifact service §8</w:t>
            </w:r>
          </w:p>
        </w:tc>
      </w:tr>
      <w:tr>
        <w:trPr>
          <w:cantSplit/>
        </w:trPr>
        <w:tc>
          <w:tcPr>
            <w:tcW w:type="dxa" w:w="1296"/>
            <w:vAlign w:val="center"/>
            <w:shd w:fill="F6F8FA"/>
          </w:tcPr>
          <w:p>
            <w:pPr>
              <w:spacing w:after="0" w:line="247" w:lineRule="auto"/>
            </w:pPr>
            <w:r>
              <w:rPr>
                <w:sz w:val="18"/>
              </w:rPr>
              <w:t>FR28 R1</w:t>
            </w:r>
          </w:p>
        </w:tc>
        <w:tc>
          <w:tcPr>
            <w:tcW w:type="dxa" w:w="6840"/>
            <w:vAlign w:val="center"/>
            <w:shd w:fill="F6F8FA"/>
          </w:tcPr>
          <w:p>
            <w:pPr>
              <w:spacing w:after="0" w:line="247" w:lineRule="auto"/>
            </w:pPr>
            <w:r>
              <w:rPr>
                <w:sz w:val="18"/>
              </w:rPr>
              <w:t>Indexes shall be rebuildable while ordinary file access remains available.</w:t>
            </w:r>
          </w:p>
        </w:tc>
        <w:tc>
          <w:tcPr>
            <w:tcW w:type="dxa" w:w="1944"/>
            <w:vAlign w:val="center"/>
            <w:shd w:fill="F6F8FA"/>
          </w:tcPr>
          <w:p>
            <w:pPr>
              <w:spacing w:after="0" w:line="247" w:lineRule="auto"/>
            </w:pPr>
            <w:r>
              <w:rPr>
                <w:sz w:val="18"/>
              </w:rPr>
              <w:t>Index §8</w:t>
            </w:r>
          </w:p>
        </w:tc>
      </w:tr>
      <w:tr>
        <w:trPr>
          <w:cantSplit/>
        </w:trPr>
        <w:tc>
          <w:tcPr>
            <w:tcW w:type="dxa" w:w="1296"/>
            <w:vAlign w:val="center"/>
            <w:shd w:fill="FFFFFF"/>
          </w:tcPr>
          <w:p>
            <w:pPr>
              <w:spacing w:after="0" w:line="247" w:lineRule="auto"/>
            </w:pPr>
            <w:r>
              <w:rPr>
                <w:sz w:val="18"/>
              </w:rPr>
              <w:t>FR29 R1</w:t>
            </w:r>
          </w:p>
        </w:tc>
        <w:tc>
          <w:tcPr>
            <w:tcW w:type="dxa" w:w="6840"/>
            <w:vAlign w:val="center"/>
            <w:shd w:fill="FFFFFF"/>
          </w:tcPr>
          <w:p>
            <w:pPr>
              <w:spacing w:after="0" w:line="247" w:lineRule="auto"/>
            </w:pPr>
            <w:r>
              <w:rPr>
                <w:sz w:val="18"/>
              </w:rPr>
              <w:t>External application edits shall be detected and reconciled without silently overwriting newer content.</w:t>
            </w:r>
          </w:p>
        </w:tc>
        <w:tc>
          <w:tcPr>
            <w:tcW w:type="dxa" w:w="1944"/>
            <w:vAlign w:val="center"/>
            <w:shd w:fill="FFFFFF"/>
          </w:tcPr>
          <w:p>
            <w:pPr>
              <w:spacing w:after="0" w:line="247" w:lineRule="auto"/>
            </w:pPr>
            <w:r>
              <w:rPr>
                <w:sz w:val="18"/>
              </w:rPr>
              <w:t>Artifact service §8</w:t>
            </w:r>
          </w:p>
        </w:tc>
      </w:tr>
      <w:tr>
        <w:trPr>
          <w:cantSplit/>
        </w:trPr>
        <w:tc>
          <w:tcPr>
            <w:tcW w:type="dxa" w:w="1296"/>
            <w:vAlign w:val="center"/>
            <w:shd w:fill="F6F8FA"/>
          </w:tcPr>
          <w:p>
            <w:pPr>
              <w:spacing w:after="0" w:line="247" w:lineRule="auto"/>
            </w:pPr>
            <w:r>
              <w:rPr>
                <w:sz w:val="18"/>
              </w:rPr>
              <w:t>FR30 R1</w:t>
            </w:r>
          </w:p>
        </w:tc>
        <w:tc>
          <w:tcPr>
            <w:tcW w:type="dxa" w:w="6840"/>
            <w:vAlign w:val="center"/>
            <w:shd w:fill="F6F8FA"/>
          </w:tcPr>
          <w:p>
            <w:pPr>
              <w:spacing w:after="0" w:line="247" w:lineRule="auto"/>
            </w:pPr>
            <w:r>
              <w:rPr>
                <w:sz w:val="18"/>
              </w:rPr>
              <w:t>Deletion shall use declared retention and restore behavior for live files and snapshots.</w:t>
            </w:r>
          </w:p>
        </w:tc>
        <w:tc>
          <w:tcPr>
            <w:tcW w:type="dxa" w:w="1944"/>
            <w:vAlign w:val="center"/>
            <w:shd w:fill="F6F8FA"/>
          </w:tcPr>
          <w:p>
            <w:pPr>
              <w:spacing w:after="0" w:line="247" w:lineRule="auto"/>
            </w:pPr>
            <w:r>
              <w:rPr>
                <w:sz w:val="18"/>
              </w:rPr>
              <w:t>Artifact service §8</w:t>
            </w:r>
          </w:p>
        </w:tc>
      </w:tr>
      <w:tr>
        <w:trPr>
          <w:cantSplit/>
        </w:trPr>
        <w:tc>
          <w:tcPr>
            <w:tcW w:type="dxa" w:w="1296"/>
            <w:vAlign w:val="center"/>
            <w:shd w:fill="FFFFFF"/>
          </w:tcPr>
          <w:p>
            <w:pPr>
              <w:spacing w:after="0" w:line="247" w:lineRule="auto"/>
            </w:pPr>
            <w:r>
              <w:rPr>
                <w:sz w:val="18"/>
              </w:rPr>
              <w:t>FR31 R1</w:t>
            </w:r>
          </w:p>
        </w:tc>
        <w:tc>
          <w:tcPr>
            <w:tcW w:type="dxa" w:w="6840"/>
            <w:vAlign w:val="center"/>
            <w:shd w:fill="FFFFFF"/>
          </w:tcPr>
          <w:p>
            <w:pPr>
              <w:spacing w:after="0" w:line="247" w:lineRule="auto"/>
            </w:pPr>
            <w:r>
              <w:rPr>
                <w:sz w:val="18"/>
              </w:rPr>
              <w:t>Users shall be able to export and restore source files plus necessary metadata.</w:t>
            </w:r>
          </w:p>
        </w:tc>
        <w:tc>
          <w:tcPr>
            <w:tcW w:type="dxa" w:w="1944"/>
            <w:vAlign w:val="center"/>
            <w:shd w:fill="FFFFFF"/>
          </w:tcPr>
          <w:p>
            <w:pPr>
              <w:spacing w:after="0" w:line="247" w:lineRule="auto"/>
            </w:pPr>
            <w:r>
              <w:rPr>
                <w:sz w:val="18"/>
              </w:rPr>
              <w:t>Backup §8</w:t>
            </w:r>
          </w:p>
        </w:tc>
      </w:tr>
      <w:tr>
        <w:trPr>
          <w:cantSplit/>
        </w:trPr>
        <w:tc>
          <w:tcPr>
            <w:tcW w:type="dxa" w:w="1296"/>
            <w:vAlign w:val="center"/>
            <w:shd w:fill="F6F8FA"/>
          </w:tcPr>
          <w:p>
            <w:pPr>
              <w:spacing w:after="0" w:line="247" w:lineRule="auto"/>
            </w:pPr>
            <w:r>
              <w:rPr>
                <w:sz w:val="18"/>
              </w:rPr>
              <w:t>FR32 R1</w:t>
            </w:r>
          </w:p>
        </w:tc>
        <w:tc>
          <w:tcPr>
            <w:tcW w:type="dxa" w:w="6840"/>
            <w:vAlign w:val="center"/>
            <w:shd w:fill="F6F8FA"/>
          </w:tcPr>
          <w:p>
            <w:pPr>
              <w:spacing w:after="0" w:line="247" w:lineRule="auto"/>
            </w:pPr>
            <w:r>
              <w:rPr>
                <w:sz w:val="18"/>
              </w:rPr>
              <w:t>Text, push-to-talk speech, images and permitted screen content shall enter one workflow interface.</w:t>
            </w:r>
          </w:p>
        </w:tc>
        <w:tc>
          <w:tcPr>
            <w:tcW w:type="dxa" w:w="1944"/>
            <w:vAlign w:val="center"/>
            <w:shd w:fill="F6F8FA"/>
          </w:tcPr>
          <w:p>
            <w:pPr>
              <w:spacing w:after="0" w:line="247" w:lineRule="auto"/>
            </w:pPr>
            <w:r>
              <w:rPr>
                <w:sz w:val="18"/>
              </w:rPr>
              <w:t>Interaction §10</w:t>
            </w:r>
          </w:p>
        </w:tc>
      </w:tr>
      <w:tr>
        <w:trPr>
          <w:cantSplit/>
        </w:trPr>
        <w:tc>
          <w:tcPr>
            <w:tcW w:type="dxa" w:w="1296"/>
            <w:vAlign w:val="center"/>
            <w:shd w:fill="FFFFFF"/>
          </w:tcPr>
          <w:p>
            <w:pPr>
              <w:spacing w:after="0" w:line="247" w:lineRule="auto"/>
            </w:pPr>
            <w:r>
              <w:rPr>
                <w:sz w:val="18"/>
              </w:rPr>
              <w:t>FR33 R1</w:t>
            </w:r>
          </w:p>
        </w:tc>
        <w:tc>
          <w:tcPr>
            <w:tcW w:type="dxa" w:w="6840"/>
            <w:vAlign w:val="center"/>
            <w:shd w:fill="FFFFFF"/>
          </w:tcPr>
          <w:p>
            <w:pPr>
              <w:spacing w:after="0" w:line="247" w:lineRule="auto"/>
            </w:pPr>
            <w:r>
              <w:rPr>
                <w:sz w:val="18"/>
              </w:rPr>
              <w:t>Ambiguous visual and speech references shall be resolved before consequential changes.</w:t>
            </w:r>
          </w:p>
        </w:tc>
        <w:tc>
          <w:tcPr>
            <w:tcW w:type="dxa" w:w="1944"/>
            <w:vAlign w:val="center"/>
            <w:shd w:fill="FFFFFF"/>
          </w:tcPr>
          <w:p>
            <w:pPr>
              <w:spacing w:after="0" w:line="247" w:lineRule="auto"/>
            </w:pPr>
            <w:r>
              <w:rPr>
                <w:sz w:val="18"/>
              </w:rPr>
              <w:t>Interaction §10</w:t>
            </w:r>
          </w:p>
        </w:tc>
      </w:tr>
      <w:tr>
        <w:trPr>
          <w:cantSplit/>
        </w:trPr>
        <w:tc>
          <w:tcPr>
            <w:tcW w:type="dxa" w:w="1296"/>
            <w:vAlign w:val="center"/>
            <w:shd w:fill="F6F8FA"/>
          </w:tcPr>
          <w:p>
            <w:pPr>
              <w:spacing w:after="0" w:line="247" w:lineRule="auto"/>
            </w:pPr>
            <w:r>
              <w:rPr>
                <w:sz w:val="18"/>
              </w:rPr>
              <w:t>FR34 R1</w:t>
            </w:r>
          </w:p>
        </w:tc>
        <w:tc>
          <w:tcPr>
            <w:tcW w:type="dxa" w:w="6840"/>
            <w:vAlign w:val="center"/>
            <w:shd w:fill="F6F8FA"/>
          </w:tcPr>
          <w:p>
            <w:pPr>
              <w:spacing w:after="0" w:line="247" w:lineRule="auto"/>
            </w:pPr>
            <w:r>
              <w:rPr>
                <w:sz w:val="18"/>
              </w:rPr>
              <w:t>Audio and screen capture shall provide visible indicators, scoped access and immediate stop controls.</w:t>
            </w:r>
          </w:p>
        </w:tc>
        <w:tc>
          <w:tcPr>
            <w:tcW w:type="dxa" w:w="1944"/>
            <w:vAlign w:val="center"/>
            <w:shd w:fill="F6F8FA"/>
          </w:tcPr>
          <w:p>
            <w:pPr>
              <w:spacing w:after="0" w:line="247" w:lineRule="auto"/>
            </w:pPr>
            <w:r>
              <w:rPr>
                <w:sz w:val="18"/>
              </w:rPr>
              <w:t>Shell §10</w:t>
            </w:r>
          </w:p>
        </w:tc>
      </w:tr>
      <w:tr>
        <w:trPr>
          <w:cantSplit/>
        </w:trPr>
        <w:tc>
          <w:tcPr>
            <w:tcW w:type="dxa" w:w="1296"/>
            <w:vAlign w:val="center"/>
            <w:shd w:fill="FFFFFF"/>
          </w:tcPr>
          <w:p>
            <w:pPr>
              <w:spacing w:after="0" w:line="247" w:lineRule="auto"/>
            </w:pPr>
            <w:r>
              <w:rPr>
                <w:sz w:val="18"/>
              </w:rPr>
              <w:t>FR35 R1</w:t>
            </w:r>
          </w:p>
        </w:tc>
        <w:tc>
          <w:tcPr>
            <w:tcW w:type="dxa" w:w="6840"/>
            <w:vAlign w:val="center"/>
            <w:shd w:fill="FFFFFF"/>
          </w:tcPr>
          <w:p>
            <w:pPr>
              <w:spacing w:after="0" w:line="247" w:lineRule="auto"/>
            </w:pPr>
            <w:r>
              <w:rPr>
                <w:sz w:val="18"/>
              </w:rPr>
              <w:t>The shell shall provide keyboard navigation, screen-reader semantics and reduced-motion controls.</w:t>
            </w:r>
          </w:p>
        </w:tc>
        <w:tc>
          <w:tcPr>
            <w:tcW w:type="dxa" w:w="1944"/>
            <w:vAlign w:val="center"/>
            <w:shd w:fill="FFFFFF"/>
          </w:tcPr>
          <w:p>
            <w:pPr>
              <w:spacing w:after="0" w:line="247" w:lineRule="auto"/>
            </w:pPr>
            <w:r>
              <w:rPr>
                <w:sz w:val="18"/>
              </w:rPr>
              <w:t>Shell §10</w:t>
            </w:r>
          </w:p>
        </w:tc>
      </w:tr>
      <w:tr>
        <w:trPr>
          <w:cantSplit/>
        </w:trPr>
        <w:tc>
          <w:tcPr>
            <w:tcW w:type="dxa" w:w="1296"/>
            <w:vAlign w:val="center"/>
            <w:shd w:fill="F6F8FA"/>
          </w:tcPr>
          <w:p>
            <w:pPr>
              <w:spacing w:after="0" w:line="247" w:lineRule="auto"/>
            </w:pPr>
            <w:r>
              <w:rPr>
                <w:sz w:val="18"/>
              </w:rPr>
              <w:t>FR36 R2</w:t>
            </w:r>
          </w:p>
        </w:tc>
        <w:tc>
          <w:tcPr>
            <w:tcW w:type="dxa" w:w="6840"/>
            <w:vAlign w:val="center"/>
            <w:shd w:fill="F6F8FA"/>
          </w:tcPr>
          <w:p>
            <w:pPr>
              <w:spacing w:after="0" w:line="247" w:lineRule="auto"/>
            </w:pPr>
            <w:r>
              <w:rPr>
                <w:sz w:val="18"/>
              </w:rPr>
              <w:t>Video input shall expose frame rate, resolution and retention limits before capture.</w:t>
            </w:r>
          </w:p>
        </w:tc>
        <w:tc>
          <w:tcPr>
            <w:tcW w:type="dxa" w:w="1944"/>
            <w:vAlign w:val="center"/>
            <w:shd w:fill="F6F8FA"/>
          </w:tcPr>
          <w:p>
            <w:pPr>
              <w:spacing w:after="0" w:line="247" w:lineRule="auto"/>
            </w:pPr>
            <w:r>
              <w:rPr>
                <w:sz w:val="18"/>
              </w:rPr>
              <w:t>Media §10</w:t>
            </w:r>
          </w:p>
        </w:tc>
      </w:tr>
      <w:tr>
        <w:trPr>
          <w:cantSplit/>
        </w:trPr>
        <w:tc>
          <w:tcPr>
            <w:tcW w:type="dxa" w:w="1296"/>
            <w:vAlign w:val="center"/>
            <w:shd w:fill="FFFFFF"/>
          </w:tcPr>
          <w:p>
            <w:pPr>
              <w:spacing w:after="0" w:line="247" w:lineRule="auto"/>
            </w:pPr>
            <w:r>
              <w:rPr>
                <w:sz w:val="18"/>
              </w:rPr>
              <w:t>FR37 R1</w:t>
            </w:r>
          </w:p>
        </w:tc>
        <w:tc>
          <w:tcPr>
            <w:tcW w:type="dxa" w:w="6840"/>
            <w:vAlign w:val="center"/>
            <w:shd w:fill="FFFFFF"/>
          </w:tcPr>
          <w:p>
            <w:pPr>
              <w:spacing w:after="0" w:line="247" w:lineRule="auto"/>
            </w:pPr>
            <w:r>
              <w:rPr>
                <w:sz w:val="18"/>
              </w:rPr>
              <w:t>Data and spreadsheet skills shall use deterministic calculations and preserve source provenance.</w:t>
            </w:r>
          </w:p>
        </w:tc>
        <w:tc>
          <w:tcPr>
            <w:tcW w:type="dxa" w:w="1944"/>
            <w:vAlign w:val="center"/>
            <w:shd w:fill="FFFFFF"/>
          </w:tcPr>
          <w:p>
            <w:pPr>
              <w:spacing w:after="0" w:line="247" w:lineRule="auto"/>
            </w:pPr>
            <w:r>
              <w:rPr>
                <w:sz w:val="18"/>
              </w:rPr>
              <w:t>Content §10</w:t>
            </w:r>
          </w:p>
        </w:tc>
      </w:tr>
      <w:tr>
        <w:trPr>
          <w:cantSplit/>
        </w:trPr>
        <w:tc>
          <w:tcPr>
            <w:tcW w:type="dxa" w:w="1296"/>
            <w:vAlign w:val="center"/>
            <w:shd w:fill="F6F8FA"/>
          </w:tcPr>
          <w:p>
            <w:pPr>
              <w:spacing w:after="0" w:line="247" w:lineRule="auto"/>
            </w:pPr>
            <w:r>
              <w:rPr>
                <w:sz w:val="18"/>
              </w:rPr>
              <w:t>FR38 R1</w:t>
            </w:r>
          </w:p>
        </w:tc>
        <w:tc>
          <w:tcPr>
            <w:tcW w:type="dxa" w:w="6840"/>
            <w:vAlign w:val="center"/>
            <w:shd w:fill="F6F8FA"/>
          </w:tcPr>
          <w:p>
            <w:pPr>
              <w:spacing w:after="0" w:line="247" w:lineRule="auto"/>
            </w:pPr>
            <w:r>
              <w:rPr>
                <w:sz w:val="18"/>
              </w:rPr>
              <w:t>Spreadsheet export shall preserve editable formulas and pass recalculation checks.</w:t>
            </w:r>
          </w:p>
        </w:tc>
        <w:tc>
          <w:tcPr>
            <w:tcW w:type="dxa" w:w="1944"/>
            <w:vAlign w:val="center"/>
            <w:shd w:fill="F6F8FA"/>
          </w:tcPr>
          <w:p>
            <w:pPr>
              <w:spacing w:after="0" w:line="247" w:lineRule="auto"/>
            </w:pPr>
            <w:r>
              <w:rPr>
                <w:sz w:val="18"/>
              </w:rPr>
              <w:t>Content §10</w:t>
            </w:r>
          </w:p>
        </w:tc>
      </w:tr>
      <w:tr>
        <w:trPr>
          <w:cantSplit/>
        </w:trPr>
        <w:tc>
          <w:tcPr>
            <w:tcW w:type="dxa" w:w="1296"/>
            <w:vAlign w:val="center"/>
            <w:shd w:fill="FFFFFF"/>
          </w:tcPr>
          <w:p>
            <w:pPr>
              <w:spacing w:after="0" w:line="247" w:lineRule="auto"/>
            </w:pPr>
            <w:r>
              <w:rPr>
                <w:sz w:val="18"/>
              </w:rPr>
              <w:t>FR39 R1</w:t>
            </w:r>
          </w:p>
        </w:tc>
        <w:tc>
          <w:tcPr>
            <w:tcW w:type="dxa" w:w="6840"/>
            <w:vAlign w:val="center"/>
            <w:shd w:fill="FFFFFF"/>
          </w:tcPr>
          <w:p>
            <w:pPr>
              <w:spacing w:after="0" w:line="247" w:lineRule="auto"/>
            </w:pPr>
            <w:r>
              <w:rPr>
                <w:sz w:val="18"/>
              </w:rPr>
              <w:t>Document, chart and diagram skills shall publish usable files and previews validated by their engines.</w:t>
            </w:r>
          </w:p>
        </w:tc>
        <w:tc>
          <w:tcPr>
            <w:tcW w:type="dxa" w:w="1944"/>
            <w:vAlign w:val="center"/>
            <w:shd w:fill="FFFFFF"/>
          </w:tcPr>
          <w:p>
            <w:pPr>
              <w:spacing w:after="0" w:line="247" w:lineRule="auto"/>
            </w:pPr>
            <w:r>
              <w:rPr>
                <w:sz w:val="18"/>
              </w:rPr>
              <w:t>Content §10</w:t>
            </w:r>
          </w:p>
        </w:tc>
      </w:tr>
      <w:tr>
        <w:trPr>
          <w:cantSplit/>
        </w:trPr>
        <w:tc>
          <w:tcPr>
            <w:tcW w:type="dxa" w:w="1296"/>
            <w:vAlign w:val="center"/>
            <w:shd w:fill="F6F8FA"/>
          </w:tcPr>
          <w:p>
            <w:pPr>
              <w:spacing w:after="0" w:line="247" w:lineRule="auto"/>
            </w:pPr>
            <w:r>
              <w:rPr>
                <w:sz w:val="18"/>
              </w:rPr>
              <w:t>FR40 R1</w:t>
            </w:r>
          </w:p>
        </w:tc>
        <w:tc>
          <w:tcPr>
            <w:tcW w:type="dxa" w:w="6840"/>
            <w:vAlign w:val="center"/>
            <w:shd w:fill="F6F8FA"/>
          </w:tcPr>
          <w:p>
            <w:pPr>
              <w:spacing w:after="0" w:line="247" w:lineRule="auto"/>
            </w:pPr>
            <w:r>
              <w:rPr>
                <w:sz w:val="18"/>
              </w:rPr>
              <w:t>Programmatic animation shall include editable scene or timeline source and a rendered preview.</w:t>
            </w:r>
          </w:p>
        </w:tc>
        <w:tc>
          <w:tcPr>
            <w:tcW w:type="dxa" w:w="1944"/>
            <w:vAlign w:val="center"/>
            <w:shd w:fill="F6F8FA"/>
          </w:tcPr>
          <w:p>
            <w:pPr>
              <w:spacing w:after="0" w:line="247" w:lineRule="auto"/>
            </w:pPr>
            <w:r>
              <w:rPr>
                <w:sz w:val="18"/>
              </w:rPr>
              <w:t>Content §10</w:t>
            </w:r>
          </w:p>
        </w:tc>
      </w:tr>
      <w:tr>
        <w:trPr>
          <w:cantSplit/>
        </w:trPr>
        <w:tc>
          <w:tcPr>
            <w:tcW w:type="dxa" w:w="1296"/>
            <w:vAlign w:val="center"/>
            <w:shd w:fill="FFFFFF"/>
          </w:tcPr>
          <w:p>
            <w:pPr>
              <w:spacing w:after="0" w:line="247" w:lineRule="auto"/>
            </w:pPr>
            <w:r>
              <w:rPr>
                <w:sz w:val="18"/>
              </w:rPr>
              <w:t>FR41 R1</w:t>
            </w:r>
          </w:p>
        </w:tc>
        <w:tc>
          <w:tcPr>
            <w:tcW w:type="dxa" w:w="6840"/>
            <w:vAlign w:val="center"/>
            <w:shd w:fill="FFFFFF"/>
          </w:tcPr>
          <w:p>
            <w:pPr>
              <w:spacing w:after="0" w:line="247" w:lineRule="auto"/>
            </w:pPr>
            <w:r>
              <w:rPr>
                <w:sz w:val="18"/>
              </w:rPr>
              <w:t>Generated code shall execute in a bounded sandbox with no default network or secrets.</w:t>
            </w:r>
          </w:p>
        </w:tc>
        <w:tc>
          <w:tcPr>
            <w:tcW w:type="dxa" w:w="1944"/>
            <w:vAlign w:val="center"/>
            <w:shd w:fill="FFFFFF"/>
          </w:tcPr>
          <w:p>
            <w:pPr>
              <w:spacing w:after="0" w:line="247" w:lineRule="auto"/>
            </w:pPr>
            <w:r>
              <w:rPr>
                <w:sz w:val="18"/>
              </w:rPr>
              <w:t>Code skill §10</w:t>
            </w:r>
          </w:p>
        </w:tc>
      </w:tr>
      <w:tr>
        <w:trPr>
          <w:cantSplit/>
        </w:trPr>
        <w:tc>
          <w:tcPr>
            <w:tcW w:type="dxa" w:w="1296"/>
            <w:vAlign w:val="center"/>
            <w:shd w:fill="F6F8FA"/>
          </w:tcPr>
          <w:p>
            <w:pPr>
              <w:spacing w:after="0" w:line="247" w:lineRule="auto"/>
            </w:pPr>
            <w:r>
              <w:rPr>
                <w:sz w:val="18"/>
              </w:rPr>
              <w:t>FR42 R1</w:t>
            </w:r>
          </w:p>
        </w:tc>
        <w:tc>
          <w:tcPr>
            <w:tcW w:type="dxa" w:w="6840"/>
            <w:vAlign w:val="center"/>
            <w:shd w:fill="F6F8FA"/>
          </w:tcPr>
          <w:p>
            <w:pPr>
              <w:spacing w:after="0" w:line="247" w:lineRule="auto"/>
            </w:pPr>
            <w:r>
              <w:rPr>
                <w:sz w:val="18"/>
              </w:rPr>
              <w:t>Generated code promotion shall require a skill package and explicit installation authorization.</w:t>
            </w:r>
          </w:p>
        </w:tc>
        <w:tc>
          <w:tcPr>
            <w:tcW w:type="dxa" w:w="1944"/>
            <w:vAlign w:val="center"/>
            <w:shd w:fill="F6F8FA"/>
          </w:tcPr>
          <w:p>
            <w:pPr>
              <w:spacing w:after="0" w:line="247" w:lineRule="auto"/>
            </w:pPr>
            <w:r>
              <w:rPr>
                <w:sz w:val="18"/>
              </w:rPr>
              <w:t>SDK §10</w:t>
            </w:r>
          </w:p>
        </w:tc>
      </w:tr>
      <w:tr>
        <w:trPr>
          <w:cantSplit/>
        </w:trPr>
        <w:tc>
          <w:tcPr>
            <w:tcW w:type="dxa" w:w="1296"/>
            <w:vAlign w:val="center"/>
            <w:shd w:fill="FFFFFF"/>
          </w:tcPr>
          <w:p>
            <w:pPr>
              <w:spacing w:after="0" w:line="247" w:lineRule="auto"/>
            </w:pPr>
            <w:r>
              <w:rPr>
                <w:sz w:val="18"/>
              </w:rPr>
              <w:t>FR43 R2</w:t>
            </w:r>
          </w:p>
        </w:tc>
        <w:tc>
          <w:tcPr>
            <w:tcW w:type="dxa" w:w="6840"/>
            <w:vAlign w:val="center"/>
            <w:shd w:fill="FFFFFF"/>
          </w:tcPr>
          <w:p>
            <w:pPr>
              <w:spacing w:after="0" w:line="247" w:lineRule="auto"/>
            </w:pPr>
            <w:r>
              <w:rPr>
                <w:sz w:val="18"/>
              </w:rPr>
              <w:t>Optional image and video synthesis shall use declared model packs and tested resource limits.</w:t>
            </w:r>
          </w:p>
        </w:tc>
        <w:tc>
          <w:tcPr>
            <w:tcW w:type="dxa" w:w="1944"/>
            <w:vAlign w:val="center"/>
            <w:shd w:fill="FFFFFF"/>
          </w:tcPr>
          <w:p>
            <w:pPr>
              <w:spacing w:after="0" w:line="247" w:lineRule="auto"/>
            </w:pPr>
            <w:r>
              <w:rPr>
                <w:sz w:val="18"/>
              </w:rPr>
              <w:t>Media §14</w:t>
            </w:r>
          </w:p>
        </w:tc>
      </w:tr>
      <w:tr>
        <w:trPr>
          <w:cantSplit/>
        </w:trPr>
        <w:tc>
          <w:tcPr>
            <w:tcW w:type="dxa" w:w="1296"/>
            <w:vAlign w:val="center"/>
            <w:shd w:fill="F6F8FA"/>
          </w:tcPr>
          <w:p>
            <w:pPr>
              <w:spacing w:after="0" w:line="247" w:lineRule="auto"/>
            </w:pPr>
            <w:r>
              <w:rPr>
                <w:sz w:val="18"/>
              </w:rPr>
              <w:t>FR44 R1</w:t>
            </w:r>
          </w:p>
        </w:tc>
        <w:tc>
          <w:tcPr>
            <w:tcW w:type="dxa" w:w="6840"/>
            <w:vAlign w:val="center"/>
            <w:shd w:fill="F6F8FA"/>
          </w:tcPr>
          <w:p>
            <w:pPr>
              <w:spacing w:after="0" w:line="247" w:lineRule="auto"/>
            </w:pPr>
            <w:r>
              <w:rPr>
                <w:sz w:val="18"/>
              </w:rPr>
              <w:t>The model manager shall load local models without contacting a cloud endpoint.</w:t>
            </w:r>
          </w:p>
        </w:tc>
        <w:tc>
          <w:tcPr>
            <w:tcW w:type="dxa" w:w="1944"/>
            <w:vAlign w:val="center"/>
            <w:shd w:fill="F6F8FA"/>
          </w:tcPr>
          <w:p>
            <w:pPr>
              <w:spacing w:after="0" w:line="247" w:lineRule="auto"/>
            </w:pPr>
            <w:r>
              <w:rPr>
                <w:sz w:val="18"/>
              </w:rPr>
              <w:t>Inference §7</w:t>
            </w:r>
          </w:p>
        </w:tc>
      </w:tr>
      <w:tr>
        <w:trPr>
          <w:cantSplit/>
        </w:trPr>
        <w:tc>
          <w:tcPr>
            <w:tcW w:type="dxa" w:w="1296"/>
            <w:vAlign w:val="center"/>
            <w:shd w:fill="FFFFFF"/>
          </w:tcPr>
          <w:p>
            <w:pPr>
              <w:spacing w:after="0" w:line="247" w:lineRule="auto"/>
            </w:pPr>
            <w:r>
              <w:rPr>
                <w:sz w:val="18"/>
              </w:rPr>
              <w:t>FR45 R1</w:t>
            </w:r>
          </w:p>
        </w:tc>
        <w:tc>
          <w:tcPr>
            <w:tcW w:type="dxa" w:w="6840"/>
            <w:vAlign w:val="center"/>
            <w:shd w:fill="FFFFFF"/>
          </w:tcPr>
          <w:p>
            <w:pPr>
              <w:spacing w:after="0" w:line="247" w:lineRule="auto"/>
            </w:pPr>
            <w:r>
              <w:rPr>
                <w:sz w:val="18"/>
              </w:rPr>
              <w:t>Inference admission shall account for weights, context, scratch, modalities and existing allocations.</w:t>
            </w:r>
          </w:p>
        </w:tc>
        <w:tc>
          <w:tcPr>
            <w:tcW w:type="dxa" w:w="1944"/>
            <w:vAlign w:val="center"/>
            <w:shd w:fill="FFFFFF"/>
          </w:tcPr>
          <w:p>
            <w:pPr>
              <w:spacing w:after="0" w:line="247" w:lineRule="auto"/>
            </w:pPr>
            <w:r>
              <w:rPr>
                <w:sz w:val="18"/>
              </w:rPr>
              <w:t>Inference §14</w:t>
            </w:r>
          </w:p>
        </w:tc>
      </w:tr>
      <w:tr>
        <w:trPr>
          <w:cantSplit/>
        </w:trPr>
        <w:tc>
          <w:tcPr>
            <w:tcW w:type="dxa" w:w="1296"/>
            <w:vAlign w:val="center"/>
            <w:shd w:fill="F6F8FA"/>
          </w:tcPr>
          <w:p>
            <w:pPr>
              <w:spacing w:after="0" w:line="247" w:lineRule="auto"/>
            </w:pPr>
            <w:r>
              <w:rPr>
                <w:sz w:val="18"/>
              </w:rPr>
              <w:t>FR46 R1</w:t>
            </w:r>
          </w:p>
        </w:tc>
        <w:tc>
          <w:tcPr>
            <w:tcW w:type="dxa" w:w="6840"/>
            <w:vAlign w:val="center"/>
            <w:shd w:fill="F6F8FA"/>
          </w:tcPr>
          <w:p>
            <w:pPr>
              <w:spacing w:after="0" w:line="247" w:lineRule="auto"/>
            </w:pPr>
            <w:r>
              <w:rPr>
                <w:sz w:val="18"/>
              </w:rPr>
              <w:t>Backend adapters shall report unsupported models and fallback execution paths.</w:t>
            </w:r>
          </w:p>
        </w:tc>
        <w:tc>
          <w:tcPr>
            <w:tcW w:type="dxa" w:w="1944"/>
            <w:vAlign w:val="center"/>
            <w:shd w:fill="F6F8FA"/>
          </w:tcPr>
          <w:p>
            <w:pPr>
              <w:spacing w:after="0" w:line="247" w:lineRule="auto"/>
            </w:pPr>
            <w:r>
              <w:rPr>
                <w:sz w:val="18"/>
              </w:rPr>
              <w:t>Inference §7</w:t>
            </w:r>
          </w:p>
        </w:tc>
      </w:tr>
      <w:tr>
        <w:trPr>
          <w:cantSplit/>
        </w:trPr>
        <w:tc>
          <w:tcPr>
            <w:tcW w:type="dxa" w:w="1296"/>
            <w:vAlign w:val="center"/>
            <w:shd w:fill="FFFFFF"/>
          </w:tcPr>
          <w:p>
            <w:pPr>
              <w:spacing w:after="0" w:line="247" w:lineRule="auto"/>
            </w:pPr>
            <w:r>
              <w:rPr>
                <w:sz w:val="18"/>
              </w:rPr>
              <w:t>FR47 R1</w:t>
            </w:r>
          </w:p>
        </w:tc>
        <w:tc>
          <w:tcPr>
            <w:tcW w:type="dxa" w:w="6840"/>
            <w:vAlign w:val="center"/>
            <w:shd w:fill="FFFFFF"/>
          </w:tcPr>
          <w:p>
            <w:pPr>
              <w:spacing w:after="0" w:line="247" w:lineRule="auto"/>
            </w:pPr>
            <w:r>
              <w:rPr>
                <w:sz w:val="18"/>
              </w:rPr>
              <w:t>The system shall isolate user contexts and invalidate unauthorized cached references.</w:t>
            </w:r>
          </w:p>
        </w:tc>
        <w:tc>
          <w:tcPr>
            <w:tcW w:type="dxa" w:w="1944"/>
            <w:vAlign w:val="center"/>
            <w:shd w:fill="FFFFFF"/>
          </w:tcPr>
          <w:p>
            <w:pPr>
              <w:spacing w:after="0" w:line="247" w:lineRule="auto"/>
            </w:pPr>
            <w:r>
              <w:rPr>
                <w:sz w:val="18"/>
              </w:rPr>
              <w:t>Inference §12</w:t>
            </w:r>
          </w:p>
        </w:tc>
      </w:tr>
      <w:tr>
        <w:trPr>
          <w:cantSplit/>
        </w:trPr>
        <w:tc>
          <w:tcPr>
            <w:tcW w:type="dxa" w:w="1296"/>
            <w:vAlign w:val="center"/>
            <w:shd w:fill="F6F8FA"/>
          </w:tcPr>
          <w:p>
            <w:pPr>
              <w:spacing w:after="0" w:line="247" w:lineRule="auto"/>
            </w:pPr>
            <w:r>
              <w:rPr>
                <w:sz w:val="18"/>
              </w:rPr>
              <w:t>FR48 R1</w:t>
            </w:r>
          </w:p>
        </w:tc>
        <w:tc>
          <w:tcPr>
            <w:tcW w:type="dxa" w:w="6840"/>
            <w:vAlign w:val="center"/>
            <w:shd w:fill="F6F8FA"/>
          </w:tcPr>
          <w:p>
            <w:pPr>
              <w:spacing w:after="0" w:line="247" w:lineRule="auto"/>
            </w:pPr>
            <w:r>
              <w:rPr>
                <w:sz w:val="18"/>
              </w:rPr>
              <w:t>Model updates shall pin tokenizer, template, quantization and runtime compatibility by digest.</w:t>
            </w:r>
          </w:p>
        </w:tc>
        <w:tc>
          <w:tcPr>
            <w:tcW w:type="dxa" w:w="1944"/>
            <w:vAlign w:val="center"/>
            <w:shd w:fill="F6F8FA"/>
          </w:tcPr>
          <w:p>
            <w:pPr>
              <w:spacing w:after="0" w:line="247" w:lineRule="auto"/>
            </w:pPr>
            <w:r>
              <w:rPr>
                <w:sz w:val="18"/>
              </w:rPr>
              <w:t>Model release §5</w:t>
            </w:r>
          </w:p>
        </w:tc>
      </w:tr>
      <w:tr>
        <w:trPr>
          <w:cantSplit/>
        </w:trPr>
        <w:tc>
          <w:tcPr>
            <w:tcW w:type="dxa" w:w="1296"/>
            <w:vAlign w:val="center"/>
            <w:shd w:fill="FFFFFF"/>
          </w:tcPr>
          <w:p>
            <w:pPr>
              <w:spacing w:after="0" w:line="247" w:lineRule="auto"/>
            </w:pPr>
            <w:r>
              <w:rPr>
                <w:sz w:val="18"/>
              </w:rPr>
              <w:t>FR49 R1</w:t>
            </w:r>
          </w:p>
        </w:tc>
        <w:tc>
          <w:tcPr>
            <w:tcW w:type="dxa" w:w="6840"/>
            <w:vAlign w:val="center"/>
            <w:shd w:fill="FFFFFF"/>
          </w:tcPr>
          <w:p>
            <w:pPr>
              <w:spacing w:after="0" w:line="247" w:lineRule="auto"/>
            </w:pPr>
            <w:r>
              <w:rPr>
                <w:sz w:val="18"/>
              </w:rPr>
              <w:t>The OS shall keep user personalization outside immutable model weights by default.</w:t>
            </w:r>
          </w:p>
        </w:tc>
        <w:tc>
          <w:tcPr>
            <w:tcW w:type="dxa" w:w="1944"/>
            <w:vAlign w:val="center"/>
            <w:shd w:fill="FFFFFF"/>
          </w:tcPr>
          <w:p>
            <w:pPr>
              <w:spacing w:after="0" w:line="247" w:lineRule="auto"/>
            </w:pPr>
            <w:r>
              <w:rPr>
                <w:sz w:val="18"/>
              </w:rPr>
              <w:t>Model release §7</w:t>
            </w:r>
          </w:p>
        </w:tc>
      </w:tr>
      <w:tr>
        <w:trPr>
          <w:cantSplit/>
        </w:trPr>
        <w:tc>
          <w:tcPr>
            <w:tcW w:type="dxa" w:w="1296"/>
            <w:vAlign w:val="center"/>
            <w:shd w:fill="F6F8FA"/>
          </w:tcPr>
          <w:p>
            <w:pPr>
              <w:spacing w:after="0" w:line="247" w:lineRule="auto"/>
            </w:pPr>
            <w:r>
              <w:rPr>
                <w:sz w:val="18"/>
              </w:rPr>
              <w:t>FR50 R1</w:t>
            </w:r>
          </w:p>
        </w:tc>
        <w:tc>
          <w:tcPr>
            <w:tcW w:type="dxa" w:w="6840"/>
            <w:vAlign w:val="center"/>
            <w:shd w:fill="F6F8FA"/>
          </w:tcPr>
          <w:p>
            <w:pPr>
              <w:spacing w:after="0" w:line="247" w:lineRule="auto"/>
            </w:pPr>
            <w:r>
              <w:rPr>
                <w:sz w:val="18"/>
              </w:rPr>
              <w:t>Hardware skills shall apply only validated policies to discovered devices.</w:t>
            </w:r>
          </w:p>
        </w:tc>
        <w:tc>
          <w:tcPr>
            <w:tcW w:type="dxa" w:w="1944"/>
            <w:vAlign w:val="center"/>
            <w:shd w:fill="F6F8FA"/>
          </w:tcPr>
          <w:p>
            <w:pPr>
              <w:spacing w:after="0" w:line="247" w:lineRule="auto"/>
            </w:pPr>
            <w:r>
              <w:rPr>
                <w:sz w:val="18"/>
              </w:rPr>
              <w:t>Hardware broker §4</w:t>
            </w:r>
          </w:p>
        </w:tc>
      </w:tr>
      <w:tr>
        <w:trPr>
          <w:cantSplit/>
        </w:trPr>
        <w:tc>
          <w:tcPr>
            <w:tcW w:type="dxa" w:w="1296"/>
            <w:vAlign w:val="center"/>
            <w:shd w:fill="FFFFFF"/>
          </w:tcPr>
          <w:p>
            <w:pPr>
              <w:spacing w:after="0" w:line="247" w:lineRule="auto"/>
            </w:pPr>
            <w:r>
              <w:rPr>
                <w:sz w:val="18"/>
              </w:rPr>
              <w:t>FR51 R1</w:t>
            </w:r>
          </w:p>
        </w:tc>
        <w:tc>
          <w:tcPr>
            <w:tcW w:type="dxa" w:w="6840"/>
            <w:vAlign w:val="center"/>
            <w:shd w:fill="FFFFFF"/>
          </w:tcPr>
          <w:p>
            <w:pPr>
              <w:spacing w:after="0" w:line="247" w:lineRule="auto"/>
            </w:pPr>
            <w:r>
              <w:rPr>
                <w:sz w:val="18"/>
              </w:rPr>
              <w:t>Hardware policy changes shall carry revision, lifetime and rollback information.</w:t>
            </w:r>
          </w:p>
        </w:tc>
        <w:tc>
          <w:tcPr>
            <w:tcW w:type="dxa" w:w="1944"/>
            <w:vAlign w:val="center"/>
            <w:shd w:fill="FFFFFF"/>
          </w:tcPr>
          <w:p>
            <w:pPr>
              <w:spacing w:after="0" w:line="247" w:lineRule="auto"/>
            </w:pPr>
            <w:r>
              <w:rPr>
                <w:sz w:val="18"/>
              </w:rPr>
              <w:t>Hardware broker §4</w:t>
            </w:r>
          </w:p>
        </w:tc>
      </w:tr>
      <w:tr>
        <w:trPr>
          <w:cantSplit/>
        </w:trPr>
        <w:tc>
          <w:tcPr>
            <w:tcW w:type="dxa" w:w="1296"/>
            <w:vAlign w:val="center"/>
            <w:shd w:fill="F6F8FA"/>
          </w:tcPr>
          <w:p>
            <w:pPr>
              <w:spacing w:after="0" w:line="247" w:lineRule="auto"/>
            </w:pPr>
            <w:r>
              <w:rPr>
                <w:sz w:val="18"/>
              </w:rPr>
              <w:t>FR52 R1</w:t>
            </w:r>
          </w:p>
        </w:tc>
        <w:tc>
          <w:tcPr>
            <w:tcW w:type="dxa" w:w="6840"/>
            <w:vAlign w:val="center"/>
            <w:shd w:fill="F6F8FA"/>
          </w:tcPr>
          <w:p>
            <w:pPr>
              <w:spacing w:after="0" w:line="247" w:lineRule="auto"/>
            </w:pPr>
            <w:r>
              <w:rPr>
                <w:sz w:val="18"/>
              </w:rPr>
              <w:t>Device failure shall invalidate outstanding device handles and trigger deterministic recovery.</w:t>
            </w:r>
          </w:p>
        </w:tc>
        <w:tc>
          <w:tcPr>
            <w:tcW w:type="dxa" w:w="1944"/>
            <w:vAlign w:val="center"/>
            <w:shd w:fill="F6F8FA"/>
          </w:tcPr>
          <w:p>
            <w:pPr>
              <w:spacing w:after="0" w:line="247" w:lineRule="auto"/>
            </w:pPr>
            <w:r>
              <w:rPr>
                <w:sz w:val="18"/>
              </w:rPr>
              <w:t>Platform §4</w:t>
            </w:r>
          </w:p>
        </w:tc>
      </w:tr>
      <w:tr>
        <w:trPr>
          <w:cantSplit/>
        </w:trPr>
        <w:tc>
          <w:tcPr>
            <w:tcW w:type="dxa" w:w="1296"/>
            <w:vAlign w:val="center"/>
            <w:shd w:fill="FFFFFF"/>
          </w:tcPr>
          <w:p>
            <w:pPr>
              <w:spacing w:after="0" w:line="247" w:lineRule="auto"/>
            </w:pPr>
            <w:r>
              <w:rPr>
                <w:sz w:val="18"/>
              </w:rPr>
              <w:t>FR53 R1</w:t>
            </w:r>
          </w:p>
        </w:tc>
        <w:tc>
          <w:tcPr>
            <w:tcW w:type="dxa" w:w="6840"/>
            <w:vAlign w:val="center"/>
            <w:shd w:fill="FFFFFF"/>
          </w:tcPr>
          <w:p>
            <w:pPr>
              <w:spacing w:after="0" w:line="247" w:lineRule="auto"/>
            </w:pPr>
            <w:r>
              <w:rPr>
                <w:sz w:val="18"/>
              </w:rPr>
              <w:t>Thermal protection and kernel scheduling shall remain independent of model availability.</w:t>
            </w:r>
          </w:p>
        </w:tc>
        <w:tc>
          <w:tcPr>
            <w:tcW w:type="dxa" w:w="1944"/>
            <w:vAlign w:val="center"/>
            <w:shd w:fill="FFFFFF"/>
          </w:tcPr>
          <w:p>
            <w:pPr>
              <w:spacing w:after="0" w:line="247" w:lineRule="auto"/>
            </w:pPr>
            <w:r>
              <w:rPr>
                <w:sz w:val="18"/>
              </w:rPr>
              <w:t>Platform §4</w:t>
            </w:r>
          </w:p>
        </w:tc>
      </w:tr>
      <w:tr>
        <w:trPr>
          <w:cantSplit/>
        </w:trPr>
        <w:tc>
          <w:tcPr>
            <w:tcW w:type="dxa" w:w="1296"/>
            <w:vAlign w:val="center"/>
            <w:shd w:fill="F6F8FA"/>
          </w:tcPr>
          <w:p>
            <w:pPr>
              <w:spacing w:after="0" w:line="247" w:lineRule="auto"/>
            </w:pPr>
            <w:r>
              <w:rPr>
                <w:sz w:val="18"/>
              </w:rPr>
              <w:t>FR54 RX</w:t>
            </w:r>
          </w:p>
        </w:tc>
        <w:tc>
          <w:tcPr>
            <w:tcW w:type="dxa" w:w="6840"/>
            <w:vAlign w:val="center"/>
            <w:shd w:fill="F6F8FA"/>
          </w:tcPr>
          <w:p>
            <w:pPr>
              <w:spacing w:after="0" w:line="247" w:lineRule="auto"/>
            </w:pPr>
            <w:r>
              <w:rPr>
                <w:sz w:val="18"/>
              </w:rPr>
              <w:t>Learned scheduling experiments shall compare against the default kernel policy with rollback.</w:t>
            </w:r>
          </w:p>
        </w:tc>
        <w:tc>
          <w:tcPr>
            <w:tcW w:type="dxa" w:w="1944"/>
            <w:vAlign w:val="center"/>
            <w:shd w:fill="F6F8FA"/>
          </w:tcPr>
          <w:p>
            <w:pPr>
              <w:spacing w:after="0" w:line="247" w:lineRule="auto"/>
            </w:pPr>
            <w:r>
              <w:rPr>
                <w:sz w:val="18"/>
              </w:rPr>
              <w:t>Kernel research §4</w:t>
            </w:r>
          </w:p>
        </w:tc>
      </w:tr>
      <w:tr>
        <w:trPr>
          <w:cantSplit/>
        </w:trPr>
        <w:tc>
          <w:tcPr>
            <w:tcW w:type="dxa" w:w="1296"/>
            <w:vAlign w:val="center"/>
            <w:shd w:fill="FFFFFF"/>
          </w:tcPr>
          <w:p>
            <w:pPr>
              <w:spacing w:after="0" w:line="247" w:lineRule="auto"/>
            </w:pPr>
            <w:r>
              <w:rPr>
                <w:sz w:val="18"/>
              </w:rPr>
              <w:t>FR55 R1</w:t>
            </w:r>
          </w:p>
        </w:tc>
        <w:tc>
          <w:tcPr>
            <w:tcW w:type="dxa" w:w="6840"/>
            <w:vAlign w:val="center"/>
            <w:shd w:fill="FFFFFF"/>
          </w:tcPr>
          <w:p>
            <w:pPr>
              <w:spacing w:after="0" w:line="247" w:lineRule="auto"/>
            </w:pPr>
            <w:r>
              <w:rPr>
                <w:sz w:val="18"/>
              </w:rPr>
              <w:t>Named native and web adapters shall expose typed operations and verified completion receipts.</w:t>
            </w:r>
          </w:p>
        </w:tc>
        <w:tc>
          <w:tcPr>
            <w:tcW w:type="dxa" w:w="1944"/>
            <w:vAlign w:val="center"/>
            <w:shd w:fill="FFFFFF"/>
          </w:tcPr>
          <w:p>
            <w:pPr>
              <w:spacing w:after="0" w:line="247" w:lineRule="auto"/>
            </w:pPr>
            <w:r>
              <w:rPr>
                <w:sz w:val="18"/>
              </w:rPr>
              <w:t>Compatibility §11</w:t>
            </w:r>
          </w:p>
        </w:tc>
      </w:tr>
      <w:tr>
        <w:trPr>
          <w:cantSplit/>
        </w:trPr>
        <w:tc>
          <w:tcPr>
            <w:tcW w:type="dxa" w:w="1296"/>
            <w:vAlign w:val="center"/>
            <w:shd w:fill="F6F8FA"/>
          </w:tcPr>
          <w:p>
            <w:pPr>
              <w:spacing w:after="0" w:line="247" w:lineRule="auto"/>
            </w:pPr>
            <w:r>
              <w:rPr>
                <w:sz w:val="18"/>
              </w:rPr>
              <w:t>FR56 R2</w:t>
            </w:r>
          </w:p>
        </w:tc>
        <w:tc>
          <w:tcPr>
            <w:tcW w:type="dxa" w:w="6840"/>
            <w:vAlign w:val="center"/>
            <w:shd w:fill="F6F8FA"/>
          </w:tcPr>
          <w:p>
            <w:pPr>
              <w:spacing w:after="0" w:line="247" w:lineRule="auto"/>
            </w:pPr>
            <w:r>
              <w:rPr>
                <w:sz w:val="18"/>
              </w:rPr>
              <w:t>Windows compatibility shall be published per application and version.</w:t>
            </w:r>
          </w:p>
        </w:tc>
        <w:tc>
          <w:tcPr>
            <w:tcW w:type="dxa" w:w="1944"/>
            <w:vAlign w:val="center"/>
            <w:shd w:fill="F6F8FA"/>
          </w:tcPr>
          <w:p>
            <w:pPr>
              <w:spacing w:after="0" w:line="247" w:lineRule="auto"/>
            </w:pPr>
            <w:r>
              <w:rPr>
                <w:sz w:val="18"/>
              </w:rPr>
              <w:t>Compatibility §11</w:t>
            </w:r>
          </w:p>
        </w:tc>
      </w:tr>
      <w:tr>
        <w:trPr>
          <w:cantSplit/>
        </w:trPr>
        <w:tc>
          <w:tcPr>
            <w:tcW w:type="dxa" w:w="1296"/>
            <w:vAlign w:val="center"/>
            <w:shd w:fill="FFFFFF"/>
          </w:tcPr>
          <w:p>
            <w:pPr>
              <w:spacing w:after="0" w:line="247" w:lineRule="auto"/>
            </w:pPr>
            <w:r>
              <w:rPr>
                <w:sz w:val="18"/>
              </w:rPr>
              <w:t>FR57 R1</w:t>
            </w:r>
          </w:p>
        </w:tc>
        <w:tc>
          <w:tcPr>
            <w:tcW w:type="dxa" w:w="6840"/>
            <w:vAlign w:val="center"/>
            <w:shd w:fill="FFFFFF"/>
          </w:tcPr>
          <w:p>
            <w:pPr>
              <w:spacing w:after="0" w:line="247" w:lineRule="auto"/>
            </w:pPr>
            <w:r>
              <w:rPr>
                <w:sz w:val="18"/>
              </w:rPr>
              <w:t>The audit trail shall record authorization, versions, effects and provenance without default raw-content logging.</w:t>
            </w:r>
          </w:p>
        </w:tc>
        <w:tc>
          <w:tcPr>
            <w:tcW w:type="dxa" w:w="1944"/>
            <w:vAlign w:val="center"/>
            <w:shd w:fill="FFFFFF"/>
          </w:tcPr>
          <w:p>
            <w:pPr>
              <w:spacing w:after="0" w:line="247" w:lineRule="auto"/>
            </w:pPr>
            <w:r>
              <w:rPr>
                <w:sz w:val="18"/>
              </w:rPr>
              <w:t>Audit §12</w:t>
            </w:r>
          </w:p>
        </w:tc>
      </w:tr>
      <w:tr>
        <w:trPr>
          <w:cantSplit/>
        </w:trPr>
        <w:tc>
          <w:tcPr>
            <w:tcW w:type="dxa" w:w="1296"/>
            <w:vAlign w:val="center"/>
            <w:shd w:fill="F6F8FA"/>
          </w:tcPr>
          <w:p>
            <w:pPr>
              <w:spacing w:after="0" w:line="247" w:lineRule="auto"/>
            </w:pPr>
            <w:r>
              <w:rPr>
                <w:sz w:val="18"/>
              </w:rPr>
              <w:t>FR58 R1</w:t>
            </w:r>
          </w:p>
        </w:tc>
        <w:tc>
          <w:tcPr>
            <w:tcW w:type="dxa" w:w="6840"/>
            <w:vAlign w:val="center"/>
            <w:shd w:fill="F6F8FA"/>
          </w:tcPr>
          <w:p>
            <w:pPr>
              <w:spacing w:after="0" w:line="247" w:lineRule="auto"/>
            </w:pPr>
            <w:r>
              <w:rPr>
                <w:sz w:val="18"/>
              </w:rPr>
              <w:t>Secrets shall remain in a broker and shall not be returned in model-visible tool results.</w:t>
            </w:r>
          </w:p>
        </w:tc>
        <w:tc>
          <w:tcPr>
            <w:tcW w:type="dxa" w:w="1944"/>
            <w:vAlign w:val="center"/>
            <w:shd w:fill="F6F8FA"/>
          </w:tcPr>
          <w:p>
            <w:pPr>
              <w:spacing w:after="0" w:line="247" w:lineRule="auto"/>
            </w:pPr>
            <w:r>
              <w:rPr>
                <w:sz w:val="18"/>
              </w:rPr>
              <w:t>Security §12</w:t>
            </w:r>
          </w:p>
        </w:tc>
      </w:tr>
      <w:tr>
        <w:trPr>
          <w:cantSplit/>
        </w:trPr>
        <w:tc>
          <w:tcPr>
            <w:tcW w:type="dxa" w:w="1296"/>
            <w:vAlign w:val="center"/>
            <w:shd w:fill="FFFFFF"/>
          </w:tcPr>
          <w:p>
            <w:pPr>
              <w:spacing w:after="0" w:line="247" w:lineRule="auto"/>
            </w:pPr>
            <w:r>
              <w:rPr>
                <w:sz w:val="18"/>
              </w:rPr>
              <w:t>FR59 R1</w:t>
            </w:r>
          </w:p>
        </w:tc>
        <w:tc>
          <w:tcPr>
            <w:tcW w:type="dxa" w:w="6840"/>
            <w:vAlign w:val="center"/>
            <w:shd w:fill="FFFFFF"/>
          </w:tcPr>
          <w:p>
            <w:pPr>
              <w:spacing w:after="0" w:line="247" w:lineRule="auto"/>
            </w:pPr>
            <w:r>
              <w:rPr>
                <w:sz w:val="18"/>
              </w:rPr>
              <w:t>Local control RPC shall authenticate peers and reject malformed authority-bearing messages.</w:t>
            </w:r>
          </w:p>
        </w:tc>
        <w:tc>
          <w:tcPr>
            <w:tcW w:type="dxa" w:w="1944"/>
            <w:vAlign w:val="center"/>
            <w:shd w:fill="FFFFFF"/>
          </w:tcPr>
          <w:p>
            <w:pPr>
              <w:spacing w:after="0" w:line="247" w:lineRule="auto"/>
            </w:pPr>
            <w:r>
              <w:rPr>
                <w:sz w:val="18"/>
              </w:rPr>
              <w:t>Core services §13</w:t>
            </w:r>
          </w:p>
        </w:tc>
      </w:tr>
      <w:tr>
        <w:trPr>
          <w:cantSplit/>
        </w:trPr>
        <w:tc>
          <w:tcPr>
            <w:tcW w:type="dxa" w:w="1296"/>
            <w:vAlign w:val="center"/>
            <w:shd w:fill="F6F8FA"/>
          </w:tcPr>
          <w:p>
            <w:pPr>
              <w:spacing w:after="0" w:line="247" w:lineRule="auto"/>
            </w:pPr>
            <w:r>
              <w:rPr>
                <w:sz w:val="18"/>
              </w:rPr>
              <w:t>FR60 R1</w:t>
            </w:r>
          </w:p>
        </w:tc>
        <w:tc>
          <w:tcPr>
            <w:tcW w:type="dxa" w:w="6840"/>
            <w:vAlign w:val="center"/>
            <w:shd w:fill="F6F8FA"/>
          </w:tcPr>
          <w:p>
            <w:pPr>
              <w:spacing w:after="0" w:line="247" w:lineRule="auto"/>
            </w:pPr>
            <w:r>
              <w:rPr>
                <w:sz w:val="18"/>
              </w:rPr>
              <w:t>The system shall expose health, storage, model and task diagnostics through manual controls.</w:t>
            </w:r>
          </w:p>
        </w:tc>
        <w:tc>
          <w:tcPr>
            <w:tcW w:type="dxa" w:w="1944"/>
            <w:vAlign w:val="center"/>
            <w:shd w:fill="F6F8FA"/>
          </w:tcPr>
          <w:p>
            <w:pPr>
              <w:spacing w:after="0" w:line="247" w:lineRule="auto"/>
            </w:pPr>
            <w:r>
              <w:rPr>
                <w:sz w:val="18"/>
              </w:rPr>
              <w:t>Operations §17</w:t>
            </w:r>
          </w:p>
        </w:tc>
      </w:tr>
    </w:tbl>
    <w:p>
      <w:pPr>
        <w:spacing w:after="20"/>
      </w:pPr>
    </w:p>
    <w:p>
      <w:pPr>
        <w:pStyle w:val="Heading2"/>
      </w:pPr>
      <w:r>
        <w:t>16.2 Nonfunctional requirements and measurement conditions</w:t>
      </w:r>
    </w:p>
    <w:p>
      <w:r>
        <w:t>These are proposed release targets, not observed results. Performance targets apply to the certified 32 GB mainstream profile on AC power, after ten minutes of warmup, with the declared 8–9B 4-bit model, 8K maximum context, one foreground generation, and no heavy image/video generation. Record exact RAM, backend, power settings and ambient conditions. Battery and compact editions publish separate measurements; they may not inherit the same numbers without testing.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800"/>
        <w:gridCol w:w="4392"/>
        <w:gridCol w:w="3888"/>
      </w:tblGrid>
      <w:tr>
        <w:trPr>
          <w:cantSplit/>
          <w:tblHeader/>
        </w:trPr>
        <w:tc>
          <w:tcPr>
            <w:tcW w:type="dxa" w:w="1800"/>
            <w:vAlign w:val="center"/>
            <w:shd w:fill="DCE6EE"/>
          </w:tcPr>
          <w:p>
            <w:pPr>
              <w:keepNext/>
              <w:spacing w:after="0" w:line="247" w:lineRule="auto"/>
            </w:pPr>
            <w:r>
              <w:rPr>
                <w:b/>
                <w:sz w:val="18"/>
              </w:rPr>
              <w:t>ID</w:t>
            </w:r>
          </w:p>
        </w:tc>
        <w:tc>
          <w:tcPr>
            <w:tcW w:type="dxa" w:w="4392"/>
            <w:vAlign w:val="center"/>
            <w:shd w:fill="DCE6EE"/>
          </w:tcPr>
          <w:p>
            <w:pPr>
              <w:keepNext/>
              <w:spacing w:after="0" w:line="247" w:lineRule="auto"/>
            </w:pPr>
            <w:r>
              <w:rPr>
                <w:b/>
                <w:sz w:val="18"/>
              </w:rPr>
              <w:t>Proposed acceptance target</w:t>
            </w:r>
          </w:p>
        </w:tc>
        <w:tc>
          <w:tcPr>
            <w:tcW w:type="dxa" w:w="3888"/>
            <w:vAlign w:val="center"/>
            <w:shd w:fill="DCE6EE"/>
          </w:tcPr>
          <w:p>
            <w:pPr>
              <w:keepNext/>
              <w:spacing w:after="0" w:line="247" w:lineRule="auto"/>
            </w:pPr>
            <w:r>
              <w:rPr>
                <w:b/>
                <w:sz w:val="18"/>
              </w:rPr>
              <w:t>Measurement</w:t>
            </w:r>
          </w:p>
        </w:tc>
      </w:tr>
      <w:tr>
        <w:trPr>
          <w:cantSplit/>
        </w:trPr>
        <w:tc>
          <w:tcPr>
            <w:tcW w:type="dxa" w:w="1800"/>
            <w:vAlign w:val="center"/>
            <w:shd w:fill="FFFFFF"/>
          </w:tcPr>
          <w:p>
            <w:pPr>
              <w:spacing w:after="0" w:line="247" w:lineRule="auto"/>
            </w:pPr>
            <w:r>
              <w:rPr>
                <w:sz w:val="18"/>
              </w:rPr>
              <w:t>NF01 Responsiveness</w:t>
            </w:r>
          </w:p>
        </w:tc>
        <w:tc>
          <w:tcPr>
            <w:tcW w:type="dxa" w:w="4392"/>
            <w:vAlign w:val="center"/>
            <w:shd w:fill="FFFFFF"/>
          </w:tcPr>
          <w:p>
            <w:pPr>
              <w:spacing w:after="0" w:line="247" w:lineRule="auto"/>
            </w:pPr>
            <w:r>
              <w:rPr>
                <w:sz w:val="18"/>
              </w:rPr>
              <w:t>P95 visible input response at most 100 ms while inference runs</w:t>
            </w:r>
          </w:p>
        </w:tc>
        <w:tc>
          <w:tcPr>
            <w:tcW w:type="dxa" w:w="3888"/>
            <w:vAlign w:val="center"/>
            <w:shd w:fill="FFFFFF"/>
          </w:tcPr>
          <w:p>
            <w:pPr>
              <w:spacing w:after="0" w:line="247" w:lineRule="auto"/>
            </w:pPr>
            <w:r>
              <w:rPr>
                <w:sz w:val="18"/>
              </w:rPr>
              <w:t>Instrumented shell events during a 30-minute mixed workload</w:t>
            </w:r>
          </w:p>
        </w:tc>
      </w:tr>
      <w:tr>
        <w:trPr>
          <w:cantSplit/>
        </w:trPr>
        <w:tc>
          <w:tcPr>
            <w:tcW w:type="dxa" w:w="1800"/>
            <w:vAlign w:val="center"/>
            <w:shd w:fill="F6F8FA"/>
          </w:tcPr>
          <w:p>
            <w:pPr>
              <w:spacing w:after="0" w:line="247" w:lineRule="auto"/>
            </w:pPr>
            <w:r>
              <w:rPr>
                <w:sz w:val="18"/>
              </w:rPr>
              <w:t>NF02 Warm inference</w:t>
            </w:r>
          </w:p>
        </w:tc>
        <w:tc>
          <w:tcPr>
            <w:tcW w:type="dxa" w:w="4392"/>
            <w:vAlign w:val="center"/>
            <w:shd w:fill="F6F8FA"/>
          </w:tcPr>
          <w:p>
            <w:pPr>
              <w:spacing w:after="0" w:line="247" w:lineRule="auto"/>
            </w:pPr>
            <w:r>
              <w:rPr>
                <w:sz w:val="18"/>
              </w:rPr>
              <w:t>P95 first token at most 2 s for 512 input tokens; At least 95 percent of requests average at least 20 decode tokens/s for 256 outputs</w:t>
            </w:r>
          </w:p>
        </w:tc>
        <w:tc>
          <w:tcPr>
            <w:tcW w:type="dxa" w:w="3888"/>
            <w:vAlign w:val="center"/>
            <w:shd w:fill="F6F8FA"/>
          </w:tcPr>
          <w:p>
            <w:pPr>
              <w:spacing w:after="0" w:line="247" w:lineRule="auto"/>
            </w:pPr>
            <w:r>
              <w:rPr>
                <w:sz w:val="18"/>
              </w:rPr>
              <w:t>100 requests, fixed model/profile; exclude no failures silently</w:t>
            </w:r>
          </w:p>
        </w:tc>
      </w:tr>
      <w:tr>
        <w:trPr>
          <w:cantSplit/>
        </w:trPr>
        <w:tc>
          <w:tcPr>
            <w:tcW w:type="dxa" w:w="1800"/>
            <w:vAlign w:val="center"/>
            <w:shd w:fill="FFFFFF"/>
          </w:tcPr>
          <w:p>
            <w:pPr>
              <w:spacing w:after="0" w:line="247" w:lineRule="auto"/>
            </w:pPr>
            <w:r>
              <w:rPr>
                <w:sz w:val="18"/>
              </w:rPr>
              <w:t>NF03 Long input</w:t>
            </w:r>
          </w:p>
        </w:tc>
        <w:tc>
          <w:tcPr>
            <w:tcW w:type="dxa" w:w="4392"/>
            <w:vAlign w:val="center"/>
            <w:shd w:fill="FFFFFF"/>
          </w:tcPr>
          <w:p>
            <w:pPr>
              <w:spacing w:after="0" w:line="247" w:lineRule="auto"/>
            </w:pPr>
            <w:r>
              <w:rPr>
                <w:sz w:val="18"/>
              </w:rPr>
              <w:t>P95 first token at most 10 s for 4,096 input tokens</w:t>
            </w:r>
          </w:p>
        </w:tc>
        <w:tc>
          <w:tcPr>
            <w:tcW w:type="dxa" w:w="3888"/>
            <w:vAlign w:val="center"/>
            <w:shd w:fill="FFFFFF"/>
          </w:tcPr>
          <w:p>
            <w:pPr>
              <w:spacing w:after="0" w:line="247" w:lineRule="auto"/>
            </w:pPr>
            <w:r>
              <w:rPr>
                <w:sz w:val="18"/>
              </w:rPr>
              <w:t>30 requests, warm model; report prefill and queue time separately</w:t>
            </w:r>
          </w:p>
        </w:tc>
      </w:tr>
      <w:tr>
        <w:trPr>
          <w:cantSplit/>
        </w:trPr>
        <w:tc>
          <w:tcPr>
            <w:tcW w:type="dxa" w:w="1800"/>
            <w:vAlign w:val="center"/>
            <w:shd w:fill="F6F8FA"/>
          </w:tcPr>
          <w:p>
            <w:pPr>
              <w:spacing w:after="0" w:line="247" w:lineRule="auto"/>
            </w:pPr>
            <w:r>
              <w:rPr>
                <w:sz w:val="18"/>
              </w:rPr>
              <w:t>NF04 Plan latency</w:t>
            </w:r>
          </w:p>
        </w:tc>
        <w:tc>
          <w:tcPr>
            <w:tcW w:type="dxa" w:w="4392"/>
            <w:vAlign w:val="center"/>
            <w:shd w:fill="F6F8FA"/>
          </w:tcPr>
          <w:p>
            <w:pPr>
              <w:spacing w:after="0" w:line="247" w:lineRule="auto"/>
            </w:pPr>
            <w:r>
              <w:rPr>
                <w:sz w:val="18"/>
              </w:rPr>
              <w:t>P95 validated plan at most 10 s for a 3-step request and bounded 128-token plan</w:t>
            </w:r>
          </w:p>
        </w:tc>
        <w:tc>
          <w:tcPr>
            <w:tcW w:type="dxa" w:w="3888"/>
            <w:vAlign w:val="center"/>
            <w:shd w:fill="F6F8FA"/>
          </w:tcPr>
          <w:p>
            <w:pPr>
              <w:spacing w:after="0" w:line="247" w:lineRule="auto"/>
            </w:pPr>
            <w:r>
              <w:rPr>
                <w:sz w:val="18"/>
              </w:rPr>
              <w:t>100 representative requests; authorization wait measured separately</w:t>
            </w:r>
          </w:p>
        </w:tc>
      </w:tr>
      <w:tr>
        <w:trPr>
          <w:cantSplit/>
        </w:trPr>
        <w:tc>
          <w:tcPr>
            <w:tcW w:type="dxa" w:w="1800"/>
            <w:vAlign w:val="center"/>
            <w:shd w:fill="FFFFFF"/>
          </w:tcPr>
          <w:p>
            <w:pPr>
              <w:spacing w:after="0" w:line="247" w:lineRule="auto"/>
            </w:pPr>
            <w:r>
              <w:rPr>
                <w:sz w:val="18"/>
              </w:rPr>
              <w:t>NF05 Model startup</w:t>
            </w:r>
          </w:p>
        </w:tc>
        <w:tc>
          <w:tcPr>
            <w:tcW w:type="dxa" w:w="4392"/>
            <w:vAlign w:val="center"/>
            <w:shd w:fill="FFFFFF"/>
          </w:tcPr>
          <w:p>
            <w:pPr>
              <w:spacing w:after="0" w:line="247" w:lineRule="auto"/>
            </w:pPr>
            <w:r>
              <w:rPr>
                <w:sz w:val="18"/>
              </w:rPr>
              <w:t>P95 main-model readiness at most 10 s after model-service start on NVMe</w:t>
            </w:r>
          </w:p>
        </w:tc>
        <w:tc>
          <w:tcPr>
            <w:tcW w:type="dxa" w:w="3888"/>
            <w:vAlign w:val="center"/>
            <w:shd w:fill="FFFFFF"/>
          </w:tcPr>
          <w:p>
            <w:pPr>
              <w:spacing w:after="0" w:line="247" w:lineRule="auto"/>
            </w:pPr>
            <w:r>
              <w:rPr>
                <w:sz w:val="18"/>
              </w:rPr>
              <w:t>30 cold service starts; report graph compilation separately</w:t>
            </w:r>
          </w:p>
        </w:tc>
      </w:tr>
      <w:tr>
        <w:trPr>
          <w:cantSplit/>
        </w:trPr>
        <w:tc>
          <w:tcPr>
            <w:tcW w:type="dxa" w:w="1800"/>
            <w:vAlign w:val="center"/>
            <w:shd w:fill="F6F8FA"/>
          </w:tcPr>
          <w:p>
            <w:pPr>
              <w:spacing w:after="0" w:line="247" w:lineRule="auto"/>
            </w:pPr>
            <w:r>
              <w:rPr>
                <w:sz w:val="18"/>
              </w:rPr>
              <w:t>NF06 Worker startup</w:t>
            </w:r>
          </w:p>
        </w:tc>
        <w:tc>
          <w:tcPr>
            <w:tcW w:type="dxa" w:w="4392"/>
            <w:vAlign w:val="center"/>
            <w:shd w:fill="F6F8FA"/>
          </w:tcPr>
          <w:p>
            <w:pPr>
              <w:spacing w:after="0" w:line="247" w:lineRule="auto"/>
            </w:pPr>
            <w:r>
              <w:rPr>
                <w:sz w:val="18"/>
              </w:rPr>
              <w:t>P95 no more than 500 ms for prewarmed small workers; 2 s for cold lightweight skills</w:t>
            </w:r>
          </w:p>
        </w:tc>
        <w:tc>
          <w:tcPr>
            <w:tcW w:type="dxa" w:w="3888"/>
            <w:vAlign w:val="center"/>
            <w:shd w:fill="F6F8FA"/>
          </w:tcPr>
          <w:p>
            <w:pPr>
              <w:spacing w:after="0" w:line="247" w:lineRule="auto"/>
            </w:pPr>
            <w:r>
              <w:rPr>
                <w:sz w:val="18"/>
              </w:rPr>
              <w:t>100 launches per profile; microVM and heavy model packs reported separately</w:t>
            </w:r>
          </w:p>
        </w:tc>
      </w:tr>
      <w:tr>
        <w:trPr>
          <w:cantSplit/>
        </w:trPr>
        <w:tc>
          <w:tcPr>
            <w:tcW w:type="dxa" w:w="1800"/>
            <w:vAlign w:val="center"/>
            <w:shd w:fill="FFFFFF"/>
          </w:tcPr>
          <w:p>
            <w:pPr>
              <w:spacing w:after="0" w:line="247" w:lineRule="auto"/>
            </w:pPr>
            <w:r>
              <w:rPr>
                <w:sz w:val="18"/>
              </w:rPr>
              <w:t>NF07 Memory</w:t>
            </w:r>
          </w:p>
        </w:tc>
        <w:tc>
          <w:tcPr>
            <w:tcW w:type="dxa" w:w="4392"/>
            <w:vAlign w:val="center"/>
            <w:shd w:fill="FFFFFF"/>
          </w:tcPr>
          <w:p>
            <w:pPr>
              <w:spacing w:after="0" w:line="247" w:lineRule="auto"/>
            </w:pPr>
            <w:r>
              <w:rPr>
                <w:sz w:val="18"/>
              </w:rPr>
              <w:t>No global OOM and at least 4 GiB protected reserve under declared workload</w:t>
            </w:r>
          </w:p>
        </w:tc>
        <w:tc>
          <w:tcPr>
            <w:tcW w:type="dxa" w:w="3888"/>
            <w:vAlign w:val="center"/>
            <w:shd w:fill="FFFFFF"/>
          </w:tcPr>
          <w:p>
            <w:pPr>
              <w:spacing w:after="0" w:line="247" w:lineRule="auto"/>
            </w:pPr>
            <w:r>
              <w:rPr>
                <w:sz w:val="18"/>
              </w:rPr>
              <w:t>Peak host/device allocations and pressure events recorded</w:t>
            </w:r>
          </w:p>
        </w:tc>
      </w:tr>
      <w:tr>
        <w:trPr>
          <w:cantSplit/>
        </w:trPr>
        <w:tc>
          <w:tcPr>
            <w:tcW w:type="dxa" w:w="1800"/>
            <w:vAlign w:val="center"/>
            <w:shd w:fill="F6F8FA"/>
          </w:tcPr>
          <w:p>
            <w:pPr>
              <w:spacing w:after="0" w:line="247" w:lineRule="auto"/>
            </w:pPr>
            <w:r>
              <w:rPr>
                <w:sz w:val="18"/>
              </w:rPr>
              <w:t>NF08 Local search</w:t>
            </w:r>
          </w:p>
        </w:tc>
        <w:tc>
          <w:tcPr>
            <w:tcW w:type="dxa" w:w="4392"/>
            <w:vAlign w:val="center"/>
            <w:shd w:fill="F6F8FA"/>
          </w:tcPr>
          <w:p>
            <w:pPr>
              <w:spacing w:after="0" w:line="247" w:lineRule="auto"/>
            </w:pPr>
            <w:r>
              <w:rPr>
                <w:sz w:val="18"/>
              </w:rPr>
              <w:t>P95 first results at most 500 ms on 100,000 indexed objects</w:t>
            </w:r>
          </w:p>
        </w:tc>
        <w:tc>
          <w:tcPr>
            <w:tcW w:type="dxa" w:w="3888"/>
            <w:vAlign w:val="center"/>
            <w:shd w:fill="F6F8FA"/>
          </w:tcPr>
          <w:p>
            <w:pPr>
              <w:spacing w:after="0" w:line="247" w:lineRule="auto"/>
            </w:pPr>
            <w:r>
              <w:rPr>
                <w:sz w:val="18"/>
              </w:rPr>
              <w:t>ACL-filtered text and semantic test queries; model synthesis excluded</w:t>
            </w:r>
          </w:p>
        </w:tc>
      </w:tr>
      <w:tr>
        <w:trPr>
          <w:cantSplit/>
        </w:trPr>
        <w:tc>
          <w:tcPr>
            <w:tcW w:type="dxa" w:w="1800"/>
            <w:vAlign w:val="center"/>
            <w:shd w:fill="FFFFFF"/>
          </w:tcPr>
          <w:p>
            <w:pPr>
              <w:spacing w:after="0" w:line="247" w:lineRule="auto"/>
            </w:pPr>
            <w:r>
              <w:rPr>
                <w:sz w:val="18"/>
              </w:rPr>
              <w:t>NF09 Workflow correctness</w:t>
            </w:r>
          </w:p>
        </w:tc>
        <w:tc>
          <w:tcPr>
            <w:tcW w:type="dxa" w:w="4392"/>
            <w:vAlign w:val="center"/>
            <w:shd w:fill="FFFFFF"/>
          </w:tcPr>
          <w:p>
            <w:pPr>
              <w:spacing w:after="0" w:line="247" w:lineRule="auto"/>
            </w:pPr>
            <w:r>
              <w:rPr>
                <w:sz w:val="18"/>
              </w:rPr>
              <w:t>At least 95 percent success for supported 1–3-step tasks and 90 percent for 4–8-step tasks</w:t>
            </w:r>
          </w:p>
        </w:tc>
        <w:tc>
          <w:tcPr>
            <w:tcW w:type="dxa" w:w="3888"/>
            <w:vAlign w:val="center"/>
            <w:shd w:fill="FFFFFF"/>
          </w:tcPr>
          <w:p>
            <w:pPr>
              <w:spacing w:after="0" w:line="247" w:lineRule="auto"/>
            </w:pPr>
            <w:r>
              <w:rPr>
                <w:sz w:val="18"/>
              </w:rPr>
              <w:t>Held-out task suite; correct final artifacts and effects required</w:t>
            </w:r>
          </w:p>
        </w:tc>
      </w:tr>
      <w:tr>
        <w:trPr>
          <w:cantSplit/>
        </w:trPr>
        <w:tc>
          <w:tcPr>
            <w:tcW w:type="dxa" w:w="1800"/>
            <w:vAlign w:val="center"/>
            <w:shd w:fill="F6F8FA"/>
          </w:tcPr>
          <w:p>
            <w:pPr>
              <w:spacing w:after="0" w:line="247" w:lineRule="auto"/>
            </w:pPr>
            <w:r>
              <w:rPr>
                <w:sz w:val="18"/>
              </w:rPr>
              <w:t>NF10 Plan validity</w:t>
            </w:r>
          </w:p>
        </w:tc>
        <w:tc>
          <w:tcPr>
            <w:tcW w:type="dxa" w:w="4392"/>
            <w:vAlign w:val="center"/>
            <w:shd w:fill="F6F8FA"/>
          </w:tcPr>
          <w:p>
            <w:pPr>
              <w:spacing w:after="0" w:line="247" w:lineRule="auto"/>
            </w:pPr>
            <w:r>
              <w:rPr>
                <w:sz w:val="18"/>
              </w:rPr>
              <w:t>At least 99.5 percent schema-valid first plans; 100 percent invalid plans blocked</w:t>
            </w:r>
          </w:p>
        </w:tc>
        <w:tc>
          <w:tcPr>
            <w:tcW w:type="dxa" w:w="3888"/>
            <w:vAlign w:val="center"/>
            <w:shd w:fill="F6F8FA"/>
          </w:tcPr>
          <w:p>
            <w:pPr>
              <w:spacing w:after="0" w:line="247" w:lineRule="auto"/>
            </w:pPr>
            <w:r>
              <w:rPr>
                <w:sz w:val="18"/>
              </w:rPr>
              <w:t>Held-out plan suite and malformed-message fuzzing</w:t>
            </w:r>
          </w:p>
        </w:tc>
      </w:tr>
      <w:tr>
        <w:trPr>
          <w:cantSplit/>
        </w:trPr>
        <w:tc>
          <w:tcPr>
            <w:tcW w:type="dxa" w:w="1800"/>
            <w:vAlign w:val="center"/>
            <w:shd w:fill="FFFFFF"/>
          </w:tcPr>
          <w:p>
            <w:pPr>
              <w:spacing w:after="0" w:line="247" w:lineRule="auto"/>
            </w:pPr>
            <w:r>
              <w:rPr>
                <w:sz w:val="18"/>
              </w:rPr>
              <w:t>NF11 Authorization</w:t>
            </w:r>
          </w:p>
        </w:tc>
        <w:tc>
          <w:tcPr>
            <w:tcW w:type="dxa" w:w="4392"/>
            <w:vAlign w:val="center"/>
            <w:shd w:fill="FFFFFF"/>
          </w:tcPr>
          <w:p>
            <w:pPr>
              <w:spacing w:after="0" w:line="247" w:lineRule="auto"/>
            </w:pPr>
            <w:r>
              <w:rPr>
                <w:sz w:val="18"/>
              </w:rPr>
              <w:t>Zero unauthorized effects in the defined security suite</w:t>
            </w:r>
          </w:p>
        </w:tc>
        <w:tc>
          <w:tcPr>
            <w:tcW w:type="dxa" w:w="3888"/>
            <w:vAlign w:val="center"/>
            <w:shd w:fill="FFFFFF"/>
          </w:tcPr>
          <w:p>
            <w:pPr>
              <w:spacing w:after="0" w:line="247" w:lineRule="auto"/>
            </w:pPr>
            <w:r>
              <w:rPr>
                <w:sz w:val="18"/>
              </w:rPr>
              <w:t>Tests include injection, stale grants, cross-user access and spoofing; not a proof of universal immunity</w:t>
            </w:r>
          </w:p>
        </w:tc>
      </w:tr>
      <w:tr>
        <w:trPr>
          <w:cantSplit/>
        </w:trPr>
        <w:tc>
          <w:tcPr>
            <w:tcW w:type="dxa" w:w="1800"/>
            <w:vAlign w:val="center"/>
            <w:shd w:fill="F6F8FA"/>
          </w:tcPr>
          <w:p>
            <w:pPr>
              <w:spacing w:after="0" w:line="247" w:lineRule="auto"/>
            </w:pPr>
            <w:r>
              <w:rPr>
                <w:sz w:val="18"/>
              </w:rPr>
              <w:t>NF12 Durability</w:t>
            </w:r>
          </w:p>
        </w:tc>
        <w:tc>
          <w:tcPr>
            <w:tcW w:type="dxa" w:w="4392"/>
            <w:vAlign w:val="center"/>
            <w:shd w:fill="F6F8FA"/>
          </w:tcPr>
          <w:p>
            <w:pPr>
              <w:spacing w:after="0" w:line="247" w:lineRule="auto"/>
            </w:pPr>
            <w:r>
              <w:rPr>
                <w:sz w:val="18"/>
              </w:rPr>
              <w:t>No loss or corruption of acknowledged managed commits in 1,000 injected crash/restart trials</w:t>
            </w:r>
          </w:p>
        </w:tc>
        <w:tc>
          <w:tcPr>
            <w:tcW w:type="dxa" w:w="3888"/>
            <w:vAlign w:val="center"/>
            <w:shd w:fill="F6F8FA"/>
          </w:tcPr>
          <w:p>
            <w:pPr>
              <w:spacing w:after="0" w:line="247" w:lineRule="auto"/>
            </w:pPr>
            <w:r>
              <w:rPr>
                <w:sz w:val="18"/>
              </w:rPr>
              <w:t>Supported hardware flush semantics and configured filesystem</w:t>
            </w:r>
          </w:p>
        </w:tc>
      </w:tr>
      <w:tr>
        <w:trPr>
          <w:cantSplit/>
        </w:trPr>
        <w:tc>
          <w:tcPr>
            <w:tcW w:type="dxa" w:w="1800"/>
            <w:vAlign w:val="center"/>
            <w:shd w:fill="FFFFFF"/>
          </w:tcPr>
          <w:p>
            <w:pPr>
              <w:spacing w:after="0" w:line="247" w:lineRule="auto"/>
            </w:pPr>
            <w:r>
              <w:rPr>
                <w:sz w:val="18"/>
              </w:rPr>
              <w:t>NF13 Recovery</w:t>
            </w:r>
          </w:p>
        </w:tc>
        <w:tc>
          <w:tcPr>
            <w:tcW w:type="dxa" w:w="4392"/>
            <w:vAlign w:val="center"/>
            <w:shd w:fill="FFFFFF"/>
          </w:tcPr>
          <w:p>
            <w:pPr>
              <w:spacing w:after="0" w:line="247" w:lineRule="auto"/>
            </w:pPr>
            <w:r>
              <w:rPr>
                <w:sz w:val="18"/>
              </w:rPr>
              <w:t>Manual UI remains usable after model kill; service recovers within 30 s or stays explicitly degraded</w:t>
            </w:r>
          </w:p>
        </w:tc>
        <w:tc>
          <w:tcPr>
            <w:tcW w:type="dxa" w:w="3888"/>
            <w:vAlign w:val="center"/>
            <w:shd w:fill="FFFFFF"/>
          </w:tcPr>
          <w:p>
            <w:pPr>
              <w:spacing w:after="0" w:line="247" w:lineRule="auto"/>
            </w:pPr>
            <w:r>
              <w:rPr>
                <w:sz w:val="18"/>
              </w:rPr>
              <w:t>Repeated process kill, bad model and accelerator reset tests</w:t>
            </w:r>
          </w:p>
        </w:tc>
      </w:tr>
      <w:tr>
        <w:trPr>
          <w:cantSplit/>
        </w:trPr>
        <w:tc>
          <w:tcPr>
            <w:tcW w:type="dxa" w:w="1800"/>
            <w:vAlign w:val="center"/>
            <w:shd w:fill="F6F8FA"/>
          </w:tcPr>
          <w:p>
            <w:pPr>
              <w:spacing w:after="0" w:line="247" w:lineRule="auto"/>
            </w:pPr>
            <w:r>
              <w:rPr>
                <w:sz w:val="18"/>
              </w:rPr>
              <w:t>NF14 Capture cancellation</w:t>
            </w:r>
          </w:p>
        </w:tc>
        <w:tc>
          <w:tcPr>
            <w:tcW w:type="dxa" w:w="4392"/>
            <w:vAlign w:val="center"/>
            <w:shd w:fill="F6F8FA"/>
          </w:tcPr>
          <w:p>
            <w:pPr>
              <w:spacing w:after="0" w:line="247" w:lineRule="auto"/>
            </w:pPr>
            <w:r>
              <w:rPr>
                <w:sz w:val="18"/>
              </w:rPr>
              <w:t>Visible capture stops within 500 ms; inference cancellation acknowledgment within 1 s</w:t>
            </w:r>
          </w:p>
        </w:tc>
        <w:tc>
          <w:tcPr>
            <w:tcW w:type="dxa" w:w="3888"/>
            <w:vAlign w:val="center"/>
            <w:shd w:fill="F6F8FA"/>
          </w:tcPr>
          <w:p>
            <w:pPr>
              <w:spacing w:after="0" w:line="247" w:lineRule="auto"/>
            </w:pPr>
            <w:r>
              <w:rPr>
                <w:sz w:val="18"/>
              </w:rPr>
              <w:t>Device and UI timestamps; irrevocable effects reported accurately</w:t>
            </w:r>
          </w:p>
        </w:tc>
      </w:tr>
      <w:tr>
        <w:trPr>
          <w:cantSplit/>
        </w:trPr>
        <w:tc>
          <w:tcPr>
            <w:tcW w:type="dxa" w:w="1800"/>
            <w:vAlign w:val="center"/>
            <w:shd w:fill="FFFFFF"/>
          </w:tcPr>
          <w:p>
            <w:pPr>
              <w:spacing w:after="0" w:line="247" w:lineRule="auto"/>
            </w:pPr>
            <w:r>
              <w:rPr>
                <w:sz w:val="18"/>
              </w:rPr>
              <w:t>NF15 Offline operation</w:t>
            </w:r>
          </w:p>
        </w:tc>
        <w:tc>
          <w:tcPr>
            <w:tcW w:type="dxa" w:w="4392"/>
            <w:vAlign w:val="center"/>
            <w:shd w:fill="FFFFFF"/>
          </w:tcPr>
          <w:p>
            <w:pPr>
              <w:spacing w:after="0" w:line="247" w:lineRule="auto"/>
            </w:pPr>
            <w:r>
              <w:rPr>
                <w:sz w:val="18"/>
              </w:rPr>
              <w:t>All core R1 workflows pass with network interfaces disabled</w:t>
            </w:r>
          </w:p>
        </w:tc>
        <w:tc>
          <w:tcPr>
            <w:tcW w:type="dxa" w:w="3888"/>
            <w:vAlign w:val="center"/>
            <w:shd w:fill="FFFFFF"/>
          </w:tcPr>
          <w:p>
            <w:pPr>
              <w:spacing w:after="0" w:line="247" w:lineRule="auto"/>
            </w:pPr>
            <w:r>
              <w:rPr>
                <w:sz w:val="18"/>
              </w:rPr>
              <w:t>Clean installation with bundled assets and disabled telemetry</w:t>
            </w:r>
          </w:p>
        </w:tc>
      </w:tr>
      <w:tr>
        <w:trPr>
          <w:cantSplit/>
        </w:trPr>
        <w:tc>
          <w:tcPr>
            <w:tcW w:type="dxa" w:w="1800"/>
            <w:vAlign w:val="center"/>
            <w:shd w:fill="F6F8FA"/>
          </w:tcPr>
          <w:p>
            <w:pPr>
              <w:spacing w:after="0" w:line="247" w:lineRule="auto"/>
            </w:pPr>
            <w:r>
              <w:rPr>
                <w:sz w:val="18"/>
              </w:rPr>
              <w:t>NF16 Background energy</w:t>
            </w:r>
          </w:p>
        </w:tc>
        <w:tc>
          <w:tcPr>
            <w:tcW w:type="dxa" w:w="4392"/>
            <w:vAlign w:val="center"/>
            <w:shd w:fill="F6F8FA"/>
          </w:tcPr>
          <w:p>
            <w:pPr>
              <w:spacing w:after="0" w:line="247" w:lineRule="auto"/>
            </w:pPr>
            <w:r>
              <w:rPr>
                <w:sz w:val="18"/>
              </w:rPr>
              <w:t>AI services add at most 1 W average idle overhead over the same shell with AI disabled, excluding opted-in sensing</w:t>
            </w:r>
          </w:p>
        </w:tc>
        <w:tc>
          <w:tcPr>
            <w:tcW w:type="dxa" w:w="3888"/>
            <w:vAlign w:val="center"/>
            <w:shd w:fill="F6F8FA"/>
          </w:tcPr>
          <w:p>
            <w:pPr>
              <w:spacing w:after="0" w:line="247" w:lineRule="auto"/>
            </w:pPr>
            <w:r>
              <w:rPr>
                <w:sz w:val="18"/>
              </w:rPr>
              <w:t>Controlled battery discharge or platform power measurement over 30 minutes</w:t>
            </w:r>
          </w:p>
        </w:tc>
      </w:tr>
      <w:tr>
        <w:trPr>
          <w:cantSplit/>
        </w:trPr>
        <w:tc>
          <w:tcPr>
            <w:tcW w:type="dxa" w:w="1800"/>
            <w:vAlign w:val="center"/>
            <w:shd w:fill="FFFFFF"/>
          </w:tcPr>
          <w:p>
            <w:pPr>
              <w:spacing w:after="0" w:line="247" w:lineRule="auto"/>
            </w:pPr>
            <w:r>
              <w:rPr>
                <w:sz w:val="18"/>
              </w:rPr>
              <w:t>NF17 Thermal behavior</w:t>
            </w:r>
          </w:p>
        </w:tc>
        <w:tc>
          <w:tcPr>
            <w:tcW w:type="dxa" w:w="4392"/>
            <w:vAlign w:val="center"/>
            <w:shd w:fill="FFFFFF"/>
          </w:tcPr>
          <w:p>
            <w:pPr>
              <w:spacing w:after="0" w:line="247" w:lineRule="auto"/>
            </w:pPr>
            <w:r>
              <w:rPr>
                <w:sz w:val="18"/>
              </w:rPr>
              <w:t>Last 10-minute median decode at least 80 percent of initial 10-minute median over a 60-minute run</w:t>
            </w:r>
          </w:p>
        </w:tc>
        <w:tc>
          <w:tcPr>
            <w:tcW w:type="dxa" w:w="3888"/>
            <w:vAlign w:val="center"/>
            <w:shd w:fill="FFFFFF"/>
          </w:tcPr>
          <w:p>
            <w:pPr>
              <w:spacing w:after="0" w:line="247" w:lineRule="auto"/>
            </w:pPr>
            <w:r>
              <w:rPr>
                <w:sz w:val="18"/>
              </w:rPr>
              <w:t>Fixed ambient, power mode, model and prompt distribution</w:t>
            </w:r>
          </w:p>
        </w:tc>
      </w:tr>
      <w:tr>
        <w:trPr>
          <w:cantSplit/>
        </w:trPr>
        <w:tc>
          <w:tcPr>
            <w:tcW w:type="dxa" w:w="1800"/>
            <w:vAlign w:val="center"/>
            <w:shd w:fill="F6F8FA"/>
          </w:tcPr>
          <w:p>
            <w:pPr>
              <w:spacing w:after="0" w:line="247" w:lineRule="auto"/>
            </w:pPr>
            <w:r>
              <w:rPr>
                <w:sz w:val="18"/>
              </w:rPr>
              <w:t>NF18 Update reliability</w:t>
            </w:r>
          </w:p>
        </w:tc>
        <w:tc>
          <w:tcPr>
            <w:tcW w:type="dxa" w:w="4392"/>
            <w:vAlign w:val="center"/>
            <w:shd w:fill="F6F8FA"/>
          </w:tcPr>
          <w:p>
            <w:pPr>
              <w:spacing w:after="0" w:line="247" w:lineRule="auto"/>
            </w:pPr>
            <w:r>
              <w:rPr>
                <w:sz w:val="18"/>
              </w:rPr>
              <w:t>Previous release restores after every failed trial update in the fault suite</w:t>
            </w:r>
          </w:p>
        </w:tc>
        <w:tc>
          <w:tcPr>
            <w:tcW w:type="dxa" w:w="3888"/>
            <w:vAlign w:val="center"/>
            <w:shd w:fill="F6F8FA"/>
          </w:tcPr>
          <w:p>
            <w:pPr>
              <w:spacing w:after="0" w:line="247" w:lineRule="auto"/>
            </w:pPr>
            <w:r>
              <w:rPr>
                <w:sz w:val="18"/>
              </w:rPr>
              <w:t>Power interruption at download, verification, write, selection and first boot</w:t>
            </w:r>
          </w:p>
        </w:tc>
      </w:tr>
    </w:tbl>
    <w:p>
      <w:pPr>
        <w:spacing w:after="20"/>
      </w:pPr>
    </w:p>
    <w:p>
      <w:r>
        <w:t>If the 8–9B configuration misses interactive targets, first reduce unnecessary context and output length, then optimize or change the backend, and finally select the qualified 4B edition. Do not reduce security or durability controls to meet a benchmark. Energy and latency targets may require separate plugged-in and battery profiles. A product that misses a target needs a recorded exception and an accurately labeled hardware tier.</w:t>
      </w:r>
    </w:p>
    <w:p>
      <w:pPr>
        <w:pStyle w:val="Heading1"/>
      </w:pPr>
      <w:r>
        <w:t>17 Verification operations and release evidence</w:t>
      </w:r>
    </w:p>
    <w:p>
      <w:pPr>
        <w:pStyle w:val="Heading2"/>
      </w:pPr>
      <w:r>
        <w:t>17.1 Acceptance suites and traceability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520"/>
        <w:gridCol w:w="2376"/>
        <w:gridCol w:w="5184"/>
      </w:tblGrid>
      <w:tr>
        <w:trPr>
          <w:cantSplit/>
          <w:tblHeader/>
        </w:trPr>
        <w:tc>
          <w:tcPr>
            <w:tcW w:type="dxa" w:w="2520"/>
            <w:vAlign w:val="center"/>
            <w:shd w:fill="DCE6EE"/>
          </w:tcPr>
          <w:p>
            <w:pPr>
              <w:keepNext/>
              <w:spacing w:after="0" w:line="247" w:lineRule="auto"/>
            </w:pPr>
            <w:r>
              <w:rPr>
                <w:b/>
                <w:sz w:val="18"/>
              </w:rPr>
              <w:t>Suite</w:t>
            </w:r>
          </w:p>
        </w:tc>
        <w:tc>
          <w:tcPr>
            <w:tcW w:type="dxa" w:w="2376"/>
            <w:vAlign w:val="center"/>
            <w:shd w:fill="DCE6EE"/>
          </w:tcPr>
          <w:p>
            <w:pPr>
              <w:keepNext/>
              <w:spacing w:after="0" w:line="247" w:lineRule="auto"/>
            </w:pPr>
            <w:r>
              <w:rPr>
                <w:b/>
                <w:sz w:val="18"/>
              </w:rPr>
              <w:t>Requirements covered</w:t>
            </w:r>
          </w:p>
        </w:tc>
        <w:tc>
          <w:tcPr>
            <w:tcW w:type="dxa" w:w="5184"/>
            <w:vAlign w:val="center"/>
            <w:shd w:fill="DCE6EE"/>
          </w:tcPr>
          <w:p>
            <w:pPr>
              <w:keepNext/>
              <w:spacing w:after="0" w:line="247" w:lineRule="auto"/>
            </w:pPr>
            <w:r>
              <w:rPr>
                <w:b/>
                <w:sz w:val="18"/>
              </w:rPr>
              <w:t>Required evidence</w:t>
            </w:r>
          </w:p>
        </w:tc>
      </w:tr>
      <w:tr>
        <w:trPr>
          <w:cantSplit/>
        </w:trPr>
        <w:tc>
          <w:tcPr>
            <w:tcW w:type="dxa" w:w="2520"/>
            <w:vAlign w:val="center"/>
            <w:shd w:fill="FFFFFF"/>
          </w:tcPr>
          <w:p>
            <w:pPr>
              <w:spacing w:after="0" w:line="247" w:lineRule="auto"/>
            </w:pPr>
            <w:r>
              <w:rPr>
                <w:sz w:val="18"/>
              </w:rPr>
              <w:t>T01 Installation and recovery</w:t>
            </w:r>
          </w:p>
        </w:tc>
        <w:tc>
          <w:tcPr>
            <w:tcW w:type="dxa" w:w="2376"/>
            <w:vAlign w:val="center"/>
            <w:shd w:fill="FFFFFF"/>
          </w:tcPr>
          <w:p>
            <w:pPr>
              <w:spacing w:after="0" w:line="247" w:lineRule="auto"/>
            </w:pPr>
            <w:r>
              <w:rPr>
                <w:sz w:val="18"/>
              </w:rPr>
              <w:t>FR01–08; NF13, NF18</w:t>
            </w:r>
          </w:p>
        </w:tc>
        <w:tc>
          <w:tcPr>
            <w:tcW w:type="dxa" w:w="5184"/>
            <w:vAlign w:val="center"/>
            <w:shd w:fill="FFFFFF"/>
          </w:tcPr>
          <w:p>
            <w:pPr>
              <w:spacing w:after="0" w:line="247" w:lineRule="auto"/>
            </w:pPr>
            <w:r>
              <w:rPr>
                <w:sz w:val="18"/>
              </w:rPr>
              <w:t>Offline installation logs, disk-layout checks, bad-slot rollback, lost-accelerator and model-missing boot</w:t>
            </w:r>
          </w:p>
        </w:tc>
      </w:tr>
      <w:tr>
        <w:trPr>
          <w:cantSplit/>
        </w:trPr>
        <w:tc>
          <w:tcPr>
            <w:tcW w:type="dxa" w:w="2520"/>
            <w:vAlign w:val="center"/>
            <w:shd w:fill="F6F8FA"/>
          </w:tcPr>
          <w:p>
            <w:pPr>
              <w:spacing w:after="0" w:line="247" w:lineRule="auto"/>
            </w:pPr>
            <w:r>
              <w:rPr>
                <w:sz w:val="18"/>
              </w:rPr>
              <w:t>T02 Skills and sandboxing</w:t>
            </w:r>
          </w:p>
        </w:tc>
        <w:tc>
          <w:tcPr>
            <w:tcW w:type="dxa" w:w="2376"/>
            <w:vAlign w:val="center"/>
            <w:shd w:fill="F6F8FA"/>
          </w:tcPr>
          <w:p>
            <w:pPr>
              <w:spacing w:after="0" w:line="247" w:lineRule="auto"/>
            </w:pPr>
            <w:r>
              <w:rPr>
                <w:sz w:val="18"/>
              </w:rPr>
              <w:t>FR09–14, FR41–42; NF06–07</w:t>
            </w:r>
          </w:p>
        </w:tc>
        <w:tc>
          <w:tcPr>
            <w:tcW w:type="dxa" w:w="5184"/>
            <w:vAlign w:val="center"/>
            <w:shd w:fill="F6F8FA"/>
          </w:tcPr>
          <w:p>
            <w:pPr>
              <w:spacing w:after="0" w:line="247" w:lineRule="auto"/>
            </w:pPr>
            <w:r>
              <w:rPr>
                <w:sz w:val="18"/>
              </w:rPr>
              <w:t>Package checks, worker isolation, resource release, cancellation and malicious-skill cases</w:t>
            </w:r>
          </w:p>
        </w:tc>
      </w:tr>
      <w:tr>
        <w:trPr>
          <w:cantSplit/>
        </w:trPr>
        <w:tc>
          <w:tcPr>
            <w:tcW w:type="dxa" w:w="2520"/>
            <w:vAlign w:val="center"/>
            <w:shd w:fill="FFFFFF"/>
          </w:tcPr>
          <w:p>
            <w:pPr>
              <w:spacing w:after="0" w:line="247" w:lineRule="auto"/>
            </w:pPr>
            <w:r>
              <w:rPr>
                <w:sz w:val="18"/>
              </w:rPr>
              <w:t>T03 Workflow correctness</w:t>
            </w:r>
          </w:p>
        </w:tc>
        <w:tc>
          <w:tcPr>
            <w:tcW w:type="dxa" w:w="2376"/>
            <w:vAlign w:val="center"/>
            <w:shd w:fill="FFFFFF"/>
          </w:tcPr>
          <w:p>
            <w:pPr>
              <w:spacing w:after="0" w:line="247" w:lineRule="auto"/>
            </w:pPr>
            <w:r>
              <w:rPr>
                <w:sz w:val="18"/>
              </w:rPr>
              <w:t>FR15–21, FR55–56; NF04, NF09–11</w:t>
            </w:r>
          </w:p>
        </w:tc>
        <w:tc>
          <w:tcPr>
            <w:tcW w:type="dxa" w:w="5184"/>
            <w:vAlign w:val="center"/>
            <w:shd w:fill="FFFFFF"/>
          </w:tcPr>
          <w:p>
            <w:pPr>
              <w:spacing w:after="0" w:line="247" w:lineRule="auto"/>
            </w:pPr>
            <w:r>
              <w:rPr>
                <w:sz w:val="18"/>
              </w:rPr>
              <w:t>Held-out tasks, step receipts, idempotent replay and external-status reconciliation</w:t>
            </w:r>
          </w:p>
        </w:tc>
      </w:tr>
      <w:tr>
        <w:trPr>
          <w:cantSplit/>
        </w:trPr>
        <w:tc>
          <w:tcPr>
            <w:tcW w:type="dxa" w:w="2520"/>
            <w:vAlign w:val="center"/>
            <w:shd w:fill="F6F8FA"/>
          </w:tcPr>
          <w:p>
            <w:pPr>
              <w:spacing w:after="0" w:line="247" w:lineRule="auto"/>
            </w:pPr>
            <w:r>
              <w:rPr>
                <w:sz w:val="18"/>
              </w:rPr>
              <w:t>T04 Files and search</w:t>
            </w:r>
          </w:p>
        </w:tc>
        <w:tc>
          <w:tcPr>
            <w:tcW w:type="dxa" w:w="2376"/>
            <w:vAlign w:val="center"/>
            <w:shd w:fill="F6F8FA"/>
          </w:tcPr>
          <w:p>
            <w:pPr>
              <w:spacing w:after="0" w:line="247" w:lineRule="auto"/>
            </w:pPr>
            <w:r>
              <w:rPr>
                <w:sz w:val="18"/>
              </w:rPr>
              <w:t>FR22–31; NF08, NF12</w:t>
            </w:r>
          </w:p>
        </w:tc>
        <w:tc>
          <w:tcPr>
            <w:tcW w:type="dxa" w:w="5184"/>
            <w:vAlign w:val="center"/>
            <w:shd w:fill="F6F8FA"/>
          </w:tcPr>
          <w:p>
            <w:pPr>
              <w:spacing w:after="0" w:line="247" w:lineRule="auto"/>
            </w:pPr>
            <w:r>
              <w:rPr>
                <w:sz w:val="18"/>
              </w:rPr>
              <w:t>Version conflicts, rename, crash matrix, rebuild, restore, ACL and link-race tests</w:t>
            </w:r>
          </w:p>
        </w:tc>
      </w:tr>
      <w:tr>
        <w:trPr>
          <w:cantSplit/>
        </w:trPr>
        <w:tc>
          <w:tcPr>
            <w:tcW w:type="dxa" w:w="2520"/>
            <w:vAlign w:val="center"/>
            <w:shd w:fill="FFFFFF"/>
          </w:tcPr>
          <w:p>
            <w:pPr>
              <w:spacing w:after="0" w:line="247" w:lineRule="auto"/>
            </w:pPr>
            <w:r>
              <w:rPr>
                <w:sz w:val="18"/>
              </w:rPr>
              <w:t>T05 Multimodal and accessibility</w:t>
            </w:r>
          </w:p>
        </w:tc>
        <w:tc>
          <w:tcPr>
            <w:tcW w:type="dxa" w:w="2376"/>
            <w:vAlign w:val="center"/>
            <w:shd w:fill="FFFFFF"/>
          </w:tcPr>
          <w:p>
            <w:pPr>
              <w:spacing w:after="0" w:line="247" w:lineRule="auto"/>
            </w:pPr>
            <w:r>
              <w:rPr>
                <w:sz w:val="18"/>
              </w:rPr>
              <w:t>FR32–36; NF01, NF14</w:t>
            </w:r>
          </w:p>
        </w:tc>
        <w:tc>
          <w:tcPr>
            <w:tcW w:type="dxa" w:w="5184"/>
            <w:vAlign w:val="center"/>
            <w:shd w:fill="FFFFFF"/>
          </w:tcPr>
          <w:p>
            <w:pPr>
              <w:spacing w:after="0" w:line="247" w:lineRule="auto"/>
            </w:pPr>
            <w:r>
              <w:rPr>
                <w:sz w:val="18"/>
              </w:rPr>
              <w:t>Speech/image grounding, capture indicators, keyboard and screen-reader workflows</w:t>
            </w:r>
          </w:p>
        </w:tc>
      </w:tr>
      <w:tr>
        <w:trPr>
          <w:cantSplit/>
        </w:trPr>
        <w:tc>
          <w:tcPr>
            <w:tcW w:type="dxa" w:w="2520"/>
            <w:vAlign w:val="center"/>
            <w:shd w:fill="F6F8FA"/>
          </w:tcPr>
          <w:p>
            <w:pPr>
              <w:spacing w:after="0" w:line="247" w:lineRule="auto"/>
            </w:pPr>
            <w:r>
              <w:rPr>
                <w:sz w:val="18"/>
              </w:rPr>
              <w:t>T06 Content generation</w:t>
            </w:r>
          </w:p>
        </w:tc>
        <w:tc>
          <w:tcPr>
            <w:tcW w:type="dxa" w:w="2376"/>
            <w:vAlign w:val="center"/>
            <w:shd w:fill="F6F8FA"/>
          </w:tcPr>
          <w:p>
            <w:pPr>
              <w:spacing w:after="0" w:line="247" w:lineRule="auto"/>
            </w:pPr>
            <w:r>
              <w:rPr>
                <w:sz w:val="18"/>
              </w:rPr>
              <w:t>FR37–43; NF09</w:t>
            </w:r>
          </w:p>
        </w:tc>
        <w:tc>
          <w:tcPr>
            <w:tcW w:type="dxa" w:w="5184"/>
            <w:vAlign w:val="center"/>
            <w:shd w:fill="F6F8FA"/>
          </w:tcPr>
          <w:p>
            <w:pPr>
              <w:spacing w:after="0" w:line="247" w:lineRule="auto"/>
            </w:pPr>
            <w:r>
              <w:rPr>
                <w:sz w:val="18"/>
              </w:rPr>
              <w:t>Reference datasets, formula recalculation, output reopen and render evidence</w:t>
            </w:r>
          </w:p>
        </w:tc>
      </w:tr>
      <w:tr>
        <w:trPr>
          <w:cantSplit/>
        </w:trPr>
        <w:tc>
          <w:tcPr>
            <w:tcW w:type="dxa" w:w="2520"/>
            <w:vAlign w:val="center"/>
            <w:shd w:fill="FFFFFF"/>
          </w:tcPr>
          <w:p>
            <w:pPr>
              <w:spacing w:after="0" w:line="247" w:lineRule="auto"/>
            </w:pPr>
            <w:r>
              <w:rPr>
                <w:sz w:val="18"/>
              </w:rPr>
              <w:t>T07 Inference and hardware</w:t>
            </w:r>
          </w:p>
        </w:tc>
        <w:tc>
          <w:tcPr>
            <w:tcW w:type="dxa" w:w="2376"/>
            <w:vAlign w:val="center"/>
            <w:shd w:fill="FFFFFF"/>
          </w:tcPr>
          <w:p>
            <w:pPr>
              <w:spacing w:after="0" w:line="247" w:lineRule="auto"/>
            </w:pPr>
            <w:r>
              <w:rPr>
                <w:sz w:val="18"/>
              </w:rPr>
              <w:t>FR44–54; NF02–03, NF05, NF07, NF16–17</w:t>
            </w:r>
          </w:p>
        </w:tc>
        <w:tc>
          <w:tcPr>
            <w:tcW w:type="dxa" w:w="5184"/>
            <w:vAlign w:val="center"/>
            <w:shd w:fill="FFFFFF"/>
          </w:tcPr>
          <w:p>
            <w:pPr>
              <w:spacing w:after="0" w:line="247" w:lineRule="auto"/>
            </w:pPr>
            <w:r>
              <w:rPr>
                <w:sz w:val="18"/>
              </w:rPr>
              <w:t>Backend compatibility matrix, peak memory, thermal and energy reports</w:t>
            </w:r>
          </w:p>
        </w:tc>
      </w:tr>
      <w:tr>
        <w:trPr>
          <w:cantSplit/>
        </w:trPr>
        <w:tc>
          <w:tcPr>
            <w:tcW w:type="dxa" w:w="2520"/>
            <w:vAlign w:val="center"/>
            <w:shd w:fill="F6F8FA"/>
          </w:tcPr>
          <w:p>
            <w:pPr>
              <w:spacing w:after="0" w:line="247" w:lineRule="auto"/>
            </w:pPr>
            <w:r>
              <w:rPr>
                <w:sz w:val="18"/>
              </w:rPr>
              <w:t>T08 Security and operations</w:t>
            </w:r>
          </w:p>
        </w:tc>
        <w:tc>
          <w:tcPr>
            <w:tcW w:type="dxa" w:w="2376"/>
            <w:vAlign w:val="center"/>
            <w:shd w:fill="F6F8FA"/>
          </w:tcPr>
          <w:p>
            <w:pPr>
              <w:spacing w:after="0" w:line="247" w:lineRule="auto"/>
            </w:pPr>
            <w:r>
              <w:rPr>
                <w:sz w:val="18"/>
              </w:rPr>
              <w:t>FR57–60 plus authorization across all effects; NF10–11, NF13, NF15</w:t>
            </w:r>
          </w:p>
        </w:tc>
        <w:tc>
          <w:tcPr>
            <w:tcW w:type="dxa" w:w="5184"/>
            <w:vAlign w:val="center"/>
            <w:shd w:fill="F6F8FA"/>
          </w:tcPr>
          <w:p>
            <w:pPr>
              <w:spacing w:after="0" w:line="247" w:lineRule="auto"/>
            </w:pPr>
            <w:r>
              <w:rPr>
                <w:sz w:val="18"/>
              </w:rPr>
              <w:t>Injection, credential isolation, peer-authentication, log-redaction and offline tests</w:t>
            </w:r>
          </w:p>
        </w:tc>
      </w:tr>
    </w:tbl>
    <w:p>
      <w:pPr>
        <w:spacing w:after="20"/>
      </w:pPr>
    </w:p>
    <w:p>
      <w:pPr>
        <w:pStyle w:val="Heading2"/>
      </w:pPr>
      <w:r>
        <w:t>17.2 Task and adversarial dataset</w:t>
      </w:r>
    </w:p>
    <w:p>
      <w:r>
        <w:t>Build at least 500 held-out task scenarios for R1: 200 file and retrieval tasks, 150 content and code tasks, 75 application-adapter tasks, 50 multimodal tasks, and 25 system-management tasks. Tag each by step count, ambiguity, required permissions, data sensitivity, and expected outcome. Partition by source document and task family to reduce train-test leakage. Keep a separate development set; do not fine-tune on release acceptance tasks.</w:t>
      </w:r>
    </w:p>
    <w:p>
      <w:r>
        <w:t>Add at least 300 adversarial cases covering prompt injection, malformed inputs, hidden instructions in OCR, malicious filenames, cross-user references, revoked grants, package tampering, and code exfiltration attempts. The expected outcome may be a denial or clarification rather than task completion. Measure false refusals separately so a system cannot pass safety checks simply by refusing everything.</w:t>
      </w:r>
    </w:p>
    <w:p>
      <w:r>
        <w:t>Compare the chosen 4B and 8–9B candidates with the same skills and datasets. Compare unquantized or higher-precision reference outputs against the shipped quantization where hardware permits. Record exact argument matches, final-state correctness, source grounding, number of repairs, latency, energy, and memory. For stochastic behaviors, repeat representative cases across at least three seeds; runtime enforcement tests remain deterministic.</w:t>
      </w:r>
    </w:p>
    <w:p>
      <w:pPr>
        <w:pStyle w:val="Heading2"/>
      </w:pPr>
      <w:r>
        <w:t>17.3 Fault injection</w:t>
      </w:r>
    </w:p>
    <w:p>
      <w:r>
        <w:t>Inject failures before and after staging writes, file flush, metadata commit, namespace projection, index update, worker receipt, and UI completion. Also inject full disks, corrupt indexes, GPU reset, NPU timeout, worker termination, power loss during update, clock changes, network disconnection, and external-API timeouts. After restart verify durable state, visible partial effects, and absence of accidental duplicate commitments.</w:t>
      </w:r>
    </w:p>
    <w:p>
      <w:r>
        <w:t>Use dedicated virtual machines for early storage crash tests and certified physical devices for final power-loss and firmware behavior. Emulation does not establish real accelerator recovery or SSD flush behavior. Test backup restore on a clean installation, not only in-place recovery on the original machine.</w:t>
      </w:r>
    </w:p>
    <w:p>
      <w:pPr>
        <w:pStyle w:val="Heading2"/>
      </w:pPr>
      <w:r>
        <w:t>17.4 Operational design</w:t>
      </w:r>
    </w:p>
    <w:p>
      <w:r>
        <w:t>Provide a manual health panel for installed versions, available RAM and disk, active workers, model backend, queue lengths, device errors, recent update status, and backup health. Metrics omit document content. A diagnostic bundle requires user approval and includes redacted logs, configuration hashes, and recent error codes. The user can restart inference, disable a skill, rebuild an index, restore a file, and roll back a release without asking the LLM.</w:t>
      </w:r>
    </w:p>
    <w:p>
      <w:r>
        <w:t>Release artifacts include signed installation images, recovery images, SDK and interface schemas, reproducible build instructions, model manifests, license records, SBOMs, a hardware compatibility list, benchmark reports, security results, user/admin/developer guides, and an incident-response runbook. A release is complete only when both user workflows and recovery procedures pass on each claimed platform.</w:t>
      </w:r>
    </w:p>
    <w:p>
      <w:pPr>
        <w:pStyle w:val="Heading1"/>
      </w:pPr>
      <w:r>
        <w:t>18 Development plan and engineering resources</w:t>
      </w:r>
    </w:p>
    <w:p>
      <w:pPr>
        <w:pStyle w:val="Heading2"/>
      </w:pPr>
      <w:r>
        <w:t>18.1 Delivery stages</w:t>
      </w:r>
    </w:p>
    <w:p>
      <w:r>
        <w:t>The estimates below assume reuse of Linux, existing inference engines, established content libraries, and a narrow certified hardware set. They are engineering planning ranges, not quoted delivery commitments. Native ARM support and a new microkernel are not hidden inside the R1 estimate.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1944"/>
        <w:gridCol w:w="2448"/>
        <w:gridCol w:w="2520"/>
        <w:gridCol w:w="3168"/>
      </w:tblGrid>
      <w:tr>
        <w:trPr>
          <w:cantSplit/>
          <w:tblHeader/>
        </w:trPr>
        <w:tc>
          <w:tcPr>
            <w:tcW w:type="dxa" w:w="1944"/>
            <w:vAlign w:val="center"/>
            <w:shd w:fill="DCE6EE"/>
          </w:tcPr>
          <w:p>
            <w:pPr>
              <w:keepNext/>
              <w:spacing w:after="0" w:line="247" w:lineRule="auto"/>
            </w:pPr>
            <w:r>
              <w:rPr>
                <w:b/>
                <w:sz w:val="18"/>
              </w:rPr>
              <w:t>Stage</w:t>
            </w:r>
          </w:p>
        </w:tc>
        <w:tc>
          <w:tcPr>
            <w:tcW w:type="dxa" w:w="2448"/>
            <w:vAlign w:val="center"/>
            <w:shd w:fill="DCE6EE"/>
          </w:tcPr>
          <w:p>
            <w:pPr>
              <w:keepNext/>
              <w:spacing w:after="0" w:line="247" w:lineRule="auto"/>
            </w:pPr>
            <w:r>
              <w:rPr>
                <w:b/>
                <w:sz w:val="18"/>
              </w:rPr>
              <w:t>Indicative duration</w:t>
            </w:r>
          </w:p>
        </w:tc>
        <w:tc>
          <w:tcPr>
            <w:tcW w:type="dxa" w:w="2520"/>
            <w:vAlign w:val="center"/>
            <w:shd w:fill="DCE6EE"/>
          </w:tcPr>
          <w:p>
            <w:pPr>
              <w:keepNext/>
              <w:spacing w:after="0" w:line="247" w:lineRule="auto"/>
            </w:pPr>
            <w:r>
              <w:rPr>
                <w:b/>
                <w:sz w:val="18"/>
              </w:rPr>
              <w:t>Engineering output</w:t>
            </w:r>
          </w:p>
        </w:tc>
        <w:tc>
          <w:tcPr>
            <w:tcW w:type="dxa" w:w="3168"/>
            <w:vAlign w:val="center"/>
            <w:shd w:fill="DCE6EE"/>
          </w:tcPr>
          <w:p>
            <w:pPr>
              <w:keepNext/>
              <w:spacing w:after="0" w:line="247" w:lineRule="auto"/>
            </w:pPr>
            <w:r>
              <w:rPr>
                <w:b/>
                <w:sz w:val="18"/>
              </w:rPr>
              <w:t>Exit decision</w:t>
            </w:r>
          </w:p>
        </w:tc>
      </w:tr>
      <w:tr>
        <w:trPr>
          <w:cantSplit/>
        </w:trPr>
        <w:tc>
          <w:tcPr>
            <w:tcW w:type="dxa" w:w="1944"/>
            <w:vAlign w:val="center"/>
            <w:shd w:fill="FFFFFF"/>
          </w:tcPr>
          <w:p>
            <w:pPr>
              <w:spacing w:after="0" w:line="247" w:lineRule="auto"/>
            </w:pPr>
            <w:r>
              <w:rPr>
                <w:sz w:val="18"/>
              </w:rPr>
              <w:t>P0 Feasibility prototype</w:t>
            </w:r>
          </w:p>
        </w:tc>
        <w:tc>
          <w:tcPr>
            <w:tcW w:type="dxa" w:w="2448"/>
            <w:vAlign w:val="center"/>
            <w:shd w:fill="FFFFFF"/>
          </w:tcPr>
          <w:p>
            <w:pPr>
              <w:spacing w:after="0" w:line="247" w:lineRule="auto"/>
            </w:pPr>
            <w:r>
              <w:rPr>
                <w:sz w:val="18"/>
              </w:rPr>
              <w:t>6–8 weeks</w:t>
            </w:r>
          </w:p>
        </w:tc>
        <w:tc>
          <w:tcPr>
            <w:tcW w:type="dxa" w:w="2520"/>
            <w:vAlign w:val="center"/>
            <w:shd w:fill="FFFFFF"/>
          </w:tcPr>
          <w:p>
            <w:pPr>
              <w:spacing w:after="0" w:line="247" w:lineRule="auto"/>
            </w:pPr>
            <w:r>
              <w:rPr>
                <w:sz w:val="18"/>
              </w:rPr>
              <w:t>Local model benchmarks, broker proof, three workflows, bootable development image</w:t>
            </w:r>
          </w:p>
        </w:tc>
        <w:tc>
          <w:tcPr>
            <w:tcW w:type="dxa" w:w="3168"/>
            <w:vAlign w:val="center"/>
            <w:shd w:fill="FFFFFF"/>
          </w:tcPr>
          <w:p>
            <w:pPr>
              <w:spacing w:after="0" w:line="247" w:lineRule="auto"/>
            </w:pPr>
            <w:r>
              <w:rPr>
                <w:sz w:val="18"/>
              </w:rPr>
              <w:t>Demonstrate capability, isolation and fit on target hardware</w:t>
            </w:r>
          </w:p>
        </w:tc>
      </w:tr>
      <w:tr>
        <w:trPr>
          <w:cantSplit/>
        </w:trPr>
        <w:tc>
          <w:tcPr>
            <w:tcW w:type="dxa" w:w="1944"/>
            <w:vAlign w:val="center"/>
            <w:shd w:fill="F6F8FA"/>
          </w:tcPr>
          <w:p>
            <w:pPr>
              <w:spacing w:after="0" w:line="247" w:lineRule="auto"/>
            </w:pPr>
            <w:r>
              <w:rPr>
                <w:sz w:val="18"/>
              </w:rPr>
              <w:t>P1 Integrated alpha</w:t>
            </w:r>
          </w:p>
        </w:tc>
        <w:tc>
          <w:tcPr>
            <w:tcW w:type="dxa" w:w="2448"/>
            <w:vAlign w:val="center"/>
            <w:shd w:fill="F6F8FA"/>
          </w:tcPr>
          <w:p>
            <w:pPr>
              <w:spacing w:after="0" w:line="247" w:lineRule="auto"/>
            </w:pPr>
            <w:r>
              <w:rPr>
                <w:sz w:val="18"/>
              </w:rPr>
              <w:t>Additional 3–4 months</w:t>
            </w:r>
          </w:p>
        </w:tc>
        <w:tc>
          <w:tcPr>
            <w:tcW w:type="dxa" w:w="2520"/>
            <w:vAlign w:val="center"/>
            <w:shd w:fill="F6F8FA"/>
          </w:tcPr>
          <w:p>
            <w:pPr>
              <w:spacing w:after="0" w:line="247" w:lineRule="auto"/>
            </w:pPr>
            <w:r>
              <w:rPr>
                <w:sz w:val="18"/>
              </w:rPr>
              <w:t>Semantic store, skill SDK, workflow engine, shell, offline install</w:t>
            </w:r>
          </w:p>
        </w:tc>
        <w:tc>
          <w:tcPr>
            <w:tcW w:type="dxa" w:w="3168"/>
            <w:vAlign w:val="center"/>
            <w:shd w:fill="F6F8FA"/>
          </w:tcPr>
          <w:p>
            <w:pPr>
              <w:spacing w:after="0" w:line="247" w:lineRule="auto"/>
            </w:pPr>
            <w:r>
              <w:rPr>
                <w:sz w:val="18"/>
              </w:rPr>
              <w:t>Complete core flows with crash recovery and cancellation</w:t>
            </w:r>
          </w:p>
        </w:tc>
      </w:tr>
      <w:tr>
        <w:trPr>
          <w:cantSplit/>
        </w:trPr>
        <w:tc>
          <w:tcPr>
            <w:tcW w:type="dxa" w:w="1944"/>
            <w:vAlign w:val="center"/>
            <w:shd w:fill="FFFFFF"/>
          </w:tcPr>
          <w:p>
            <w:pPr>
              <w:spacing w:after="0" w:line="247" w:lineRule="auto"/>
            </w:pPr>
            <w:r>
              <w:rPr>
                <w:sz w:val="18"/>
              </w:rPr>
              <w:t>P2 Hardware beta</w:t>
            </w:r>
          </w:p>
        </w:tc>
        <w:tc>
          <w:tcPr>
            <w:tcW w:type="dxa" w:w="2448"/>
            <w:vAlign w:val="center"/>
            <w:shd w:fill="FFFFFF"/>
          </w:tcPr>
          <w:p>
            <w:pPr>
              <w:spacing w:after="0" w:line="247" w:lineRule="auto"/>
            </w:pPr>
            <w:r>
              <w:rPr>
                <w:sz w:val="18"/>
              </w:rPr>
              <w:t>Additional 3–4 months</w:t>
            </w:r>
          </w:p>
        </w:tc>
        <w:tc>
          <w:tcPr>
            <w:tcW w:type="dxa" w:w="2520"/>
            <w:vAlign w:val="center"/>
            <w:shd w:fill="FFFFFF"/>
          </w:tcPr>
          <w:p>
            <w:pPr>
              <w:spacing w:after="0" w:line="247" w:lineRule="auto"/>
            </w:pPr>
            <w:r>
              <w:rPr>
                <w:sz w:val="18"/>
              </w:rPr>
              <w:t>Two x86 configurations, updates, speech/vision, adapter catalog, code sandbox</w:t>
            </w:r>
          </w:p>
        </w:tc>
        <w:tc>
          <w:tcPr>
            <w:tcW w:type="dxa" w:w="3168"/>
            <w:vAlign w:val="center"/>
            <w:shd w:fill="FFFFFF"/>
          </w:tcPr>
          <w:p>
            <w:pPr>
              <w:spacing w:after="0" w:line="247" w:lineRule="auto"/>
            </w:pPr>
            <w:r>
              <w:rPr>
                <w:sz w:val="18"/>
              </w:rPr>
              <w:t>Meet functional and security gates; characterize performance</w:t>
            </w:r>
          </w:p>
        </w:tc>
      </w:tr>
      <w:tr>
        <w:trPr>
          <w:cantSplit/>
        </w:trPr>
        <w:tc>
          <w:tcPr>
            <w:tcW w:type="dxa" w:w="1944"/>
            <w:vAlign w:val="center"/>
            <w:shd w:fill="F6F8FA"/>
          </w:tcPr>
          <w:p>
            <w:pPr>
              <w:spacing w:after="0" w:line="247" w:lineRule="auto"/>
            </w:pPr>
            <w:r>
              <w:rPr>
                <w:sz w:val="18"/>
              </w:rPr>
              <w:t>P3 R1 hardening</w:t>
            </w:r>
          </w:p>
        </w:tc>
        <w:tc>
          <w:tcPr>
            <w:tcW w:type="dxa" w:w="2448"/>
            <w:vAlign w:val="center"/>
            <w:shd w:fill="F6F8FA"/>
          </w:tcPr>
          <w:p>
            <w:pPr>
              <w:spacing w:after="0" w:line="247" w:lineRule="auto"/>
            </w:pPr>
            <w:r>
              <w:rPr>
                <w:sz w:val="18"/>
              </w:rPr>
              <w:t>Additional 3–5 months</w:t>
            </w:r>
          </w:p>
        </w:tc>
        <w:tc>
          <w:tcPr>
            <w:tcW w:type="dxa" w:w="2520"/>
            <w:vAlign w:val="center"/>
            <w:shd w:fill="F6F8FA"/>
          </w:tcPr>
          <w:p>
            <w:pPr>
              <w:spacing w:after="0" w:line="247" w:lineRule="auto"/>
            </w:pPr>
            <w:r>
              <w:rPr>
                <w:sz w:val="18"/>
              </w:rPr>
              <w:t>Reliability, accessibility, installer UX, recovery, signed release pipeline</w:t>
            </w:r>
          </w:p>
        </w:tc>
        <w:tc>
          <w:tcPr>
            <w:tcW w:type="dxa" w:w="3168"/>
            <w:vAlign w:val="center"/>
            <w:shd w:fill="F6F8FA"/>
          </w:tcPr>
          <w:p>
            <w:pPr>
              <w:spacing w:after="0" w:line="247" w:lineRule="auto"/>
            </w:pPr>
            <w:r>
              <w:rPr>
                <w:sz w:val="18"/>
              </w:rPr>
              <w:t>Release all claimed features on certified systems</w:t>
            </w:r>
          </w:p>
        </w:tc>
      </w:tr>
      <w:tr>
        <w:trPr>
          <w:cantSplit/>
        </w:trPr>
        <w:tc>
          <w:tcPr>
            <w:tcW w:type="dxa" w:w="1944"/>
            <w:vAlign w:val="center"/>
            <w:shd w:fill="FFFFFF"/>
          </w:tcPr>
          <w:p>
            <w:pPr>
              <w:spacing w:after="0" w:line="247" w:lineRule="auto"/>
            </w:pPr>
            <w:r>
              <w:rPr>
                <w:sz w:val="18"/>
              </w:rPr>
              <w:t>P4 R2 expansion</w:t>
            </w:r>
          </w:p>
        </w:tc>
        <w:tc>
          <w:tcPr>
            <w:tcW w:type="dxa" w:w="2448"/>
            <w:vAlign w:val="center"/>
            <w:shd w:fill="FFFFFF"/>
          </w:tcPr>
          <w:p>
            <w:pPr>
              <w:spacing w:after="0" w:line="247" w:lineRule="auto"/>
            </w:pPr>
            <w:r>
              <w:rPr>
                <w:sz w:val="18"/>
              </w:rPr>
              <w:t>Additional 6–12 months</w:t>
            </w:r>
          </w:p>
        </w:tc>
        <w:tc>
          <w:tcPr>
            <w:tcW w:type="dxa" w:w="2520"/>
            <w:vAlign w:val="center"/>
            <w:shd w:fill="FFFFFF"/>
          </w:tcPr>
          <w:p>
            <w:pPr>
              <w:spacing w:after="0" w:line="247" w:lineRule="auto"/>
            </w:pPr>
            <w:r>
              <w:rPr>
                <w:sz w:val="18"/>
              </w:rPr>
              <w:t>ARM64 if feasible, more hardware/adapters, media packs, enterprise policies</w:t>
            </w:r>
          </w:p>
        </w:tc>
        <w:tc>
          <w:tcPr>
            <w:tcW w:type="dxa" w:w="3168"/>
            <w:vAlign w:val="center"/>
            <w:shd w:fill="FFFFFF"/>
          </w:tcPr>
          <w:p>
            <w:pPr>
              <w:spacing w:after="0" w:line="247" w:lineRule="auto"/>
            </w:pPr>
            <w:r>
              <w:rPr>
                <w:sz w:val="18"/>
              </w:rPr>
              <w:t>Qualify each added capability independently</w:t>
            </w:r>
          </w:p>
        </w:tc>
      </w:tr>
      <w:tr>
        <w:trPr>
          <w:cantSplit/>
        </w:trPr>
        <w:tc>
          <w:tcPr>
            <w:tcW w:type="dxa" w:w="1944"/>
            <w:vAlign w:val="center"/>
            <w:shd w:fill="F6F8FA"/>
          </w:tcPr>
          <w:p>
            <w:pPr>
              <w:spacing w:after="0" w:line="247" w:lineRule="auto"/>
            </w:pPr>
            <w:r>
              <w:rPr>
                <w:sz w:val="18"/>
              </w:rPr>
              <w:t>RX Microkernel track</w:t>
            </w:r>
          </w:p>
        </w:tc>
        <w:tc>
          <w:tcPr>
            <w:tcW w:type="dxa" w:w="2448"/>
            <w:vAlign w:val="center"/>
            <w:shd w:fill="F6F8FA"/>
          </w:tcPr>
          <w:p>
            <w:pPr>
              <w:spacing w:after="0" w:line="247" w:lineRule="auto"/>
            </w:pPr>
            <w:r>
              <w:rPr>
                <w:sz w:val="18"/>
              </w:rPr>
              <w:t>6–9 month feasibility track, then a separate multi-year program if justified</w:t>
            </w:r>
          </w:p>
        </w:tc>
        <w:tc>
          <w:tcPr>
            <w:tcW w:type="dxa" w:w="2520"/>
            <w:vAlign w:val="center"/>
            <w:shd w:fill="F6F8FA"/>
          </w:tcPr>
          <w:p>
            <w:pPr>
              <w:spacing w:after="0" w:line="247" w:lineRule="auto"/>
            </w:pPr>
            <w:r>
              <w:rPr>
                <w:sz w:val="18"/>
              </w:rPr>
              <w:t>One-board deterministic kernel and isolated service experiment</w:t>
            </w:r>
          </w:p>
        </w:tc>
        <w:tc>
          <w:tcPr>
            <w:tcW w:type="dxa" w:w="3168"/>
            <w:vAlign w:val="center"/>
            <w:shd w:fill="F6F8FA"/>
          </w:tcPr>
          <w:p>
            <w:pPr>
              <w:spacing w:after="0" w:line="247" w:lineRule="auto"/>
            </w:pPr>
            <w:r>
              <w:rPr>
                <w:sz w:val="18"/>
              </w:rPr>
              <w:t>Continue only after driver/runtime and compatibility feasibility is proven</w:t>
            </w:r>
          </w:p>
        </w:tc>
      </w:tr>
    </w:tbl>
    <w:p>
      <w:pPr>
        <w:spacing w:after="20"/>
      </w:pPr>
    </w:p>
    <w:p>
      <w:r>
        <w:t>An integrated R1 therefore suggests approximately 11–15 months including the prototype, with variation driven by driver readiness, application scope, and reliability targets. A smaller demonstrator can show the interaction concept earlier, but should not be described as a production OS. Broad consumer hardware coverage is an ongoing maintenance program.</w:t>
      </w:r>
    </w:p>
    <w:p>
      <w:pPr>
        <w:pStyle w:val="Heading2"/>
      </w:pPr>
      <w:r>
        <w:t>18.2 Team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3312"/>
        <w:gridCol w:w="4392"/>
      </w:tblGrid>
      <w:tr>
        <w:trPr>
          <w:cantSplit/>
          <w:tblHeader/>
        </w:trPr>
        <w:tc>
          <w:tcPr>
            <w:tcW w:type="dxa" w:w="2376"/>
            <w:vAlign w:val="center"/>
            <w:shd w:fill="DCE6EE"/>
          </w:tcPr>
          <w:p>
            <w:pPr>
              <w:keepNext/>
              <w:spacing w:after="0" w:line="247" w:lineRule="auto"/>
            </w:pPr>
            <w:r>
              <w:rPr>
                <w:b/>
                <w:sz w:val="18"/>
              </w:rPr>
              <w:t>Role</w:t>
            </w:r>
          </w:p>
        </w:tc>
        <w:tc>
          <w:tcPr>
            <w:tcW w:type="dxa" w:w="3312"/>
            <w:vAlign w:val="center"/>
            <w:shd w:fill="DCE6EE"/>
          </w:tcPr>
          <w:p>
            <w:pPr>
              <w:keepNext/>
              <w:spacing w:after="0" w:line="247" w:lineRule="auto"/>
            </w:pPr>
            <w:r>
              <w:rPr>
                <w:b/>
                <w:sz w:val="18"/>
              </w:rPr>
              <w:t>Indicative full-time equivalents</w:t>
            </w:r>
          </w:p>
        </w:tc>
        <w:tc>
          <w:tcPr>
            <w:tcW w:type="dxa" w:w="4392"/>
            <w:vAlign w:val="center"/>
            <w:shd w:fill="DCE6EE"/>
          </w:tcPr>
          <w:p>
            <w:pPr>
              <w:keepNext/>
              <w:spacing w:after="0" w:line="247" w:lineRule="auto"/>
            </w:pPr>
            <w:r>
              <w:rPr>
                <w:b/>
                <w:sz w:val="18"/>
              </w:rPr>
              <w:t>Main ownership</w:t>
            </w:r>
          </w:p>
        </w:tc>
      </w:tr>
      <w:tr>
        <w:trPr>
          <w:cantSplit/>
        </w:trPr>
        <w:tc>
          <w:tcPr>
            <w:tcW w:type="dxa" w:w="2376"/>
            <w:vAlign w:val="center"/>
            <w:shd w:fill="FFFFFF"/>
          </w:tcPr>
          <w:p>
            <w:pPr>
              <w:spacing w:after="0" w:line="247" w:lineRule="auto"/>
            </w:pPr>
            <w:r>
              <w:rPr>
                <w:sz w:val="18"/>
              </w:rPr>
              <w:t>System architect and technical lead</w:t>
            </w:r>
          </w:p>
        </w:tc>
        <w:tc>
          <w:tcPr>
            <w:tcW w:type="dxa" w:w="3312"/>
            <w:vAlign w:val="center"/>
            <w:shd w:fill="FFFFFF"/>
          </w:tcPr>
          <w:p>
            <w:pPr>
              <w:spacing w:after="0" w:line="247" w:lineRule="auto"/>
            </w:pPr>
            <w:r>
              <w:rPr>
                <w:sz w:val="18"/>
              </w:rPr>
              <w:t>1</w:t>
            </w:r>
          </w:p>
        </w:tc>
        <w:tc>
          <w:tcPr>
            <w:tcW w:type="dxa" w:w="4392"/>
            <w:vAlign w:val="center"/>
            <w:shd w:fill="FFFFFF"/>
          </w:tcPr>
          <w:p>
            <w:pPr>
              <w:spacing w:after="0" w:line="247" w:lineRule="auto"/>
            </w:pPr>
            <w:r>
              <w:rPr>
                <w:sz w:val="18"/>
              </w:rPr>
              <w:t>Architecture, interfaces, tradeoffs and release decisions</w:t>
            </w:r>
          </w:p>
        </w:tc>
      </w:tr>
      <w:tr>
        <w:trPr>
          <w:cantSplit/>
        </w:trPr>
        <w:tc>
          <w:tcPr>
            <w:tcW w:type="dxa" w:w="2376"/>
            <w:vAlign w:val="center"/>
            <w:shd w:fill="F6F8FA"/>
          </w:tcPr>
          <w:p>
            <w:pPr>
              <w:spacing w:after="0" w:line="247" w:lineRule="auto"/>
            </w:pPr>
            <w:r>
              <w:rPr>
                <w:sz w:val="18"/>
              </w:rPr>
              <w:t>Linux platform and hardware engineers</w:t>
            </w:r>
          </w:p>
        </w:tc>
        <w:tc>
          <w:tcPr>
            <w:tcW w:type="dxa" w:w="3312"/>
            <w:vAlign w:val="center"/>
            <w:shd w:fill="F6F8FA"/>
          </w:tcPr>
          <w:p>
            <w:pPr>
              <w:spacing w:after="0" w:line="247" w:lineRule="auto"/>
            </w:pPr>
            <w:r>
              <w:rPr>
                <w:sz w:val="18"/>
              </w:rPr>
              <w:t>2–3</w:t>
            </w:r>
          </w:p>
        </w:tc>
        <w:tc>
          <w:tcPr>
            <w:tcW w:type="dxa" w:w="4392"/>
            <w:vAlign w:val="center"/>
            <w:shd w:fill="F6F8FA"/>
          </w:tcPr>
          <w:p>
            <w:pPr>
              <w:spacing w:after="0" w:line="247" w:lineRule="auto"/>
            </w:pPr>
            <w:r>
              <w:rPr>
                <w:sz w:val="18"/>
              </w:rPr>
              <w:t>Image, drivers, boot, power, hardware certification</w:t>
            </w:r>
          </w:p>
        </w:tc>
      </w:tr>
      <w:tr>
        <w:trPr>
          <w:cantSplit/>
        </w:trPr>
        <w:tc>
          <w:tcPr>
            <w:tcW w:type="dxa" w:w="2376"/>
            <w:vAlign w:val="center"/>
            <w:shd w:fill="FFFFFF"/>
          </w:tcPr>
          <w:p>
            <w:pPr>
              <w:spacing w:after="0" w:line="247" w:lineRule="auto"/>
            </w:pPr>
            <w:r>
              <w:rPr>
                <w:sz w:val="18"/>
              </w:rPr>
              <w:t>Rust services and storage engineers</w:t>
            </w:r>
          </w:p>
        </w:tc>
        <w:tc>
          <w:tcPr>
            <w:tcW w:type="dxa" w:w="3312"/>
            <w:vAlign w:val="center"/>
            <w:shd w:fill="FFFFFF"/>
          </w:tcPr>
          <w:p>
            <w:pPr>
              <w:spacing w:after="0" w:line="247" w:lineRule="auto"/>
            </w:pPr>
            <w:r>
              <w:rPr>
                <w:sz w:val="18"/>
              </w:rPr>
              <w:t>2–3</w:t>
            </w:r>
          </w:p>
        </w:tc>
        <w:tc>
          <w:tcPr>
            <w:tcW w:type="dxa" w:w="4392"/>
            <w:vAlign w:val="center"/>
            <w:shd w:fill="FFFFFF"/>
          </w:tcPr>
          <w:p>
            <w:pPr>
              <w:spacing w:after="0" w:line="247" w:lineRule="auto"/>
            </w:pPr>
            <w:r>
              <w:rPr>
                <w:sz w:val="18"/>
              </w:rPr>
              <w:t>Broker, workflow engine, artifact store and transactions</w:t>
            </w:r>
          </w:p>
        </w:tc>
      </w:tr>
      <w:tr>
        <w:trPr>
          <w:cantSplit/>
        </w:trPr>
        <w:tc>
          <w:tcPr>
            <w:tcW w:type="dxa" w:w="2376"/>
            <w:vAlign w:val="center"/>
            <w:shd w:fill="F6F8FA"/>
          </w:tcPr>
          <w:p>
            <w:pPr>
              <w:spacing w:after="0" w:line="247" w:lineRule="auto"/>
            </w:pPr>
            <w:r>
              <w:rPr>
                <w:sz w:val="18"/>
              </w:rPr>
              <w:t>Inference and model engineers</w:t>
            </w:r>
          </w:p>
        </w:tc>
        <w:tc>
          <w:tcPr>
            <w:tcW w:type="dxa" w:w="3312"/>
            <w:vAlign w:val="center"/>
            <w:shd w:fill="F6F8FA"/>
          </w:tcPr>
          <w:p>
            <w:pPr>
              <w:spacing w:after="0" w:line="247" w:lineRule="auto"/>
            </w:pPr>
            <w:r>
              <w:rPr>
                <w:sz w:val="18"/>
              </w:rPr>
              <w:t>2</w:t>
            </w:r>
          </w:p>
        </w:tc>
        <w:tc>
          <w:tcPr>
            <w:tcW w:type="dxa" w:w="4392"/>
            <w:vAlign w:val="center"/>
            <w:shd w:fill="F6F8FA"/>
          </w:tcPr>
          <w:p>
            <w:pPr>
              <w:spacing w:after="0" w:line="247" w:lineRule="auto"/>
            </w:pPr>
            <w:r>
              <w:rPr>
                <w:sz w:val="18"/>
              </w:rPr>
              <w:t>Runtime integration, quantization, evaluations and tuning</w:t>
            </w:r>
          </w:p>
        </w:tc>
      </w:tr>
      <w:tr>
        <w:trPr>
          <w:cantSplit/>
        </w:trPr>
        <w:tc>
          <w:tcPr>
            <w:tcW w:type="dxa" w:w="2376"/>
            <w:vAlign w:val="center"/>
            <w:shd w:fill="FFFFFF"/>
          </w:tcPr>
          <w:p>
            <w:pPr>
              <w:spacing w:after="0" w:line="247" w:lineRule="auto"/>
            </w:pPr>
            <w:r>
              <w:rPr>
                <w:sz w:val="18"/>
              </w:rPr>
              <w:t>Desktop and interaction engineers</w:t>
            </w:r>
          </w:p>
        </w:tc>
        <w:tc>
          <w:tcPr>
            <w:tcW w:type="dxa" w:w="3312"/>
            <w:vAlign w:val="center"/>
            <w:shd w:fill="FFFFFF"/>
          </w:tcPr>
          <w:p>
            <w:pPr>
              <w:spacing w:after="0" w:line="247" w:lineRule="auto"/>
            </w:pPr>
            <w:r>
              <w:rPr>
                <w:sz w:val="18"/>
              </w:rPr>
              <w:t>2</w:t>
            </w:r>
          </w:p>
        </w:tc>
        <w:tc>
          <w:tcPr>
            <w:tcW w:type="dxa" w:w="4392"/>
            <w:vAlign w:val="center"/>
            <w:shd w:fill="FFFFFF"/>
          </w:tcPr>
          <w:p>
            <w:pPr>
              <w:spacing w:after="0" w:line="247" w:lineRule="auto"/>
            </w:pPr>
            <w:r>
              <w:rPr>
                <w:sz w:val="18"/>
              </w:rPr>
              <w:t>Shell, canvas, multimodal interaction and accessibility</w:t>
            </w:r>
          </w:p>
        </w:tc>
      </w:tr>
      <w:tr>
        <w:trPr>
          <w:cantSplit/>
        </w:trPr>
        <w:tc>
          <w:tcPr>
            <w:tcW w:type="dxa" w:w="2376"/>
            <w:vAlign w:val="center"/>
            <w:shd w:fill="F6F8FA"/>
          </w:tcPr>
          <w:p>
            <w:pPr>
              <w:spacing w:after="0" w:line="247" w:lineRule="auto"/>
            </w:pPr>
            <w:r>
              <w:rPr>
                <w:sz w:val="18"/>
              </w:rPr>
              <w:t>Skill and compatibility engineers</w:t>
            </w:r>
          </w:p>
        </w:tc>
        <w:tc>
          <w:tcPr>
            <w:tcW w:type="dxa" w:w="3312"/>
            <w:vAlign w:val="center"/>
            <w:shd w:fill="F6F8FA"/>
          </w:tcPr>
          <w:p>
            <w:pPr>
              <w:spacing w:after="0" w:line="247" w:lineRule="auto"/>
            </w:pPr>
            <w:r>
              <w:rPr>
                <w:sz w:val="18"/>
              </w:rPr>
              <w:t>2</w:t>
            </w:r>
          </w:p>
        </w:tc>
        <w:tc>
          <w:tcPr>
            <w:tcW w:type="dxa" w:w="4392"/>
            <w:vAlign w:val="center"/>
            <w:shd w:fill="F6F8FA"/>
          </w:tcPr>
          <w:p>
            <w:pPr>
              <w:spacing w:after="0" w:line="247" w:lineRule="auto"/>
            </w:pPr>
            <w:r>
              <w:rPr>
                <w:sz w:val="18"/>
              </w:rPr>
              <w:t>Content engines, code sandbox and application adapters</w:t>
            </w:r>
          </w:p>
        </w:tc>
      </w:tr>
      <w:tr>
        <w:trPr>
          <w:cantSplit/>
        </w:trPr>
        <w:tc>
          <w:tcPr>
            <w:tcW w:type="dxa" w:w="2376"/>
            <w:vAlign w:val="center"/>
            <w:shd w:fill="FFFFFF"/>
          </w:tcPr>
          <w:p>
            <w:pPr>
              <w:spacing w:after="0" w:line="247" w:lineRule="auto"/>
            </w:pPr>
            <w:r>
              <w:rPr>
                <w:sz w:val="18"/>
              </w:rPr>
              <w:t>Security engineer</w:t>
            </w:r>
          </w:p>
        </w:tc>
        <w:tc>
          <w:tcPr>
            <w:tcW w:type="dxa" w:w="3312"/>
            <w:vAlign w:val="center"/>
            <w:shd w:fill="FFFFFF"/>
          </w:tcPr>
          <w:p>
            <w:pPr>
              <w:spacing w:after="0" w:line="247" w:lineRule="auto"/>
            </w:pPr>
            <w:r>
              <w:rPr>
                <w:sz w:val="18"/>
              </w:rPr>
              <w:t>1</w:t>
            </w:r>
          </w:p>
        </w:tc>
        <w:tc>
          <w:tcPr>
            <w:tcW w:type="dxa" w:w="4392"/>
            <w:vAlign w:val="center"/>
            <w:shd w:fill="FFFFFF"/>
          </w:tcPr>
          <w:p>
            <w:pPr>
              <w:spacing w:after="0" w:line="247" w:lineRule="auto"/>
            </w:pPr>
            <w:r>
              <w:rPr>
                <w:sz w:val="18"/>
              </w:rPr>
              <w:t>Threat model, sandbox review and adversarial testing</w:t>
            </w:r>
          </w:p>
        </w:tc>
      </w:tr>
      <w:tr>
        <w:trPr>
          <w:cantSplit/>
        </w:trPr>
        <w:tc>
          <w:tcPr>
            <w:tcW w:type="dxa" w:w="2376"/>
            <w:vAlign w:val="center"/>
            <w:shd w:fill="F6F8FA"/>
          </w:tcPr>
          <w:p>
            <w:pPr>
              <w:spacing w:after="0" w:line="247" w:lineRule="auto"/>
            </w:pPr>
            <w:r>
              <w:rPr>
                <w:sz w:val="18"/>
              </w:rPr>
              <w:t>QA and release engineers</w:t>
            </w:r>
          </w:p>
        </w:tc>
        <w:tc>
          <w:tcPr>
            <w:tcW w:type="dxa" w:w="3312"/>
            <w:vAlign w:val="center"/>
            <w:shd w:fill="F6F8FA"/>
          </w:tcPr>
          <w:p>
            <w:pPr>
              <w:spacing w:after="0" w:line="247" w:lineRule="auto"/>
            </w:pPr>
            <w:r>
              <w:rPr>
                <w:sz w:val="18"/>
              </w:rPr>
              <w:t>2</w:t>
            </w:r>
          </w:p>
        </w:tc>
        <w:tc>
          <w:tcPr>
            <w:tcW w:type="dxa" w:w="4392"/>
            <w:vAlign w:val="center"/>
            <w:shd w:fill="F6F8FA"/>
          </w:tcPr>
          <w:p>
            <w:pPr>
              <w:spacing w:after="0" w:line="247" w:lineRule="auto"/>
            </w:pPr>
            <w:r>
              <w:rPr>
                <w:sz w:val="18"/>
              </w:rPr>
              <w:t>Automation, fault injection, performance and release evidence</w:t>
            </w:r>
          </w:p>
        </w:tc>
      </w:tr>
      <w:tr>
        <w:trPr>
          <w:cantSplit/>
        </w:trPr>
        <w:tc>
          <w:tcPr>
            <w:tcW w:type="dxa" w:w="2376"/>
            <w:vAlign w:val="center"/>
            <w:shd w:fill="FFFFFF"/>
          </w:tcPr>
          <w:p>
            <w:pPr>
              <w:spacing w:after="0" w:line="247" w:lineRule="auto"/>
            </w:pPr>
            <w:r>
              <w:rPr>
                <w:sz w:val="18"/>
              </w:rPr>
              <w:t>Product and UX support</w:t>
            </w:r>
          </w:p>
        </w:tc>
        <w:tc>
          <w:tcPr>
            <w:tcW w:type="dxa" w:w="3312"/>
            <w:vAlign w:val="center"/>
            <w:shd w:fill="FFFFFF"/>
          </w:tcPr>
          <w:p>
            <w:pPr>
              <w:spacing w:after="0" w:line="247" w:lineRule="auto"/>
            </w:pPr>
            <w:r>
              <w:rPr>
                <w:sz w:val="18"/>
              </w:rPr>
              <w:t>1</w:t>
            </w:r>
          </w:p>
        </w:tc>
        <w:tc>
          <w:tcPr>
            <w:tcW w:type="dxa" w:w="4392"/>
            <w:vAlign w:val="center"/>
            <w:shd w:fill="FFFFFF"/>
          </w:tcPr>
          <w:p>
            <w:pPr>
              <w:spacing w:after="0" w:line="247" w:lineRule="auto"/>
            </w:pPr>
            <w:r>
              <w:rPr>
                <w:sz w:val="18"/>
              </w:rPr>
              <w:t>Task scope, usability and documentation</w:t>
            </w:r>
          </w:p>
        </w:tc>
      </w:tr>
      <w:tr>
        <w:trPr>
          <w:cantSplit/>
        </w:trPr>
        <w:tc>
          <w:tcPr>
            <w:tcW w:type="dxa" w:w="2376"/>
            <w:vAlign w:val="center"/>
            <w:shd w:fill="F6F8FA"/>
          </w:tcPr>
          <w:p>
            <w:pPr>
              <w:spacing w:after="0" w:line="247" w:lineRule="auto"/>
            </w:pPr>
            <w:r>
              <w:rPr>
                <w:sz w:val="18"/>
              </w:rPr>
              <w:t>Total</w:t>
            </w:r>
          </w:p>
        </w:tc>
        <w:tc>
          <w:tcPr>
            <w:tcW w:type="dxa" w:w="3312"/>
            <w:vAlign w:val="center"/>
            <w:shd w:fill="F6F8FA"/>
          </w:tcPr>
          <w:p>
            <w:pPr>
              <w:spacing w:after="0" w:line="247" w:lineRule="auto"/>
            </w:pPr>
            <w:r>
              <w:rPr>
                <w:sz w:val="18"/>
              </w:rPr>
              <w:t>15–17</w:t>
            </w:r>
          </w:p>
        </w:tc>
        <w:tc>
          <w:tcPr>
            <w:tcW w:type="dxa" w:w="4392"/>
            <w:vAlign w:val="center"/>
            <w:shd w:fill="F6F8FA"/>
          </w:tcPr>
          <w:p>
            <w:pPr>
              <w:spacing w:after="0" w:line="247" w:lineRule="auto"/>
            </w:pPr>
            <w:r>
              <w:rPr>
                <w:sz w:val="18"/>
              </w:rPr>
              <w:t>Some roles can start part-time during P0</w:t>
            </w:r>
          </w:p>
        </w:tc>
      </w:tr>
    </w:tbl>
    <w:p>
      <w:pPr>
        <w:spacing w:after="20"/>
      </w:pPr>
    </w:p>
    <w:p>
      <w:r>
        <w:t>A P0 team can begin with four to six engineers covering platform, inference, workflow/security, storage, and UI. External penetration testing and device-lab support should be planned before release. Cost planning should use these role-months, local compensation, equipment, and contingency rather than an unsupported universal budget.</w:t>
      </w:r>
    </w:p>
    <w:p>
      <w:pPr>
        <w:pStyle w:val="Heading2"/>
      </w:pPr>
      <w:r>
        <w:t>18.3 Work packages and dependencies</w:t>
      </w:r>
    </w:p>
    <w:p>
      <w:r>
        <w:t>WP1 supplies the bootable image and certified development hardware. WP2 supplies inference profiles and benchmarks. WP3 supplies identity, capabilities and sandboxes. WP4 supplies the artifact store and recovery protocol. These four precede unrestricted workflow integration. WP5 supplies the planner and workflow engine; WP6 adds desktop interaction; WP7 adds content and adapters; WP8 supplies updates, tests, and release operations.</w:t>
      </w:r>
    </w:p>
    <w:p>
      <w:r>
        <w:t>The first integrated milestone is deliberately concrete: install offline, issue a spoken request against a small local file set, generate a recalculating workbook and diagram, edit and undo a local change, kill inference without losing file access, then update and roll back the OS. This demonstrates the core product claim and its recovery behavior before expanding the skill catalog.</w:t>
      </w:r>
    </w:p>
    <w:p>
      <w:pPr>
        <w:pStyle w:val="Heading2"/>
      </w:pPr>
      <w:r>
        <w:t>18.4 Principal risks and decision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3312"/>
        <w:gridCol w:w="4392"/>
      </w:tblGrid>
      <w:tr>
        <w:trPr>
          <w:cantSplit/>
          <w:tblHeader/>
        </w:trPr>
        <w:tc>
          <w:tcPr>
            <w:tcW w:type="dxa" w:w="2376"/>
            <w:vAlign w:val="center"/>
            <w:shd w:fill="DCE6EE"/>
          </w:tcPr>
          <w:p>
            <w:pPr>
              <w:keepNext/>
              <w:spacing w:after="0" w:line="247" w:lineRule="auto"/>
            </w:pPr>
            <w:r>
              <w:rPr>
                <w:b/>
                <w:sz w:val="18"/>
              </w:rPr>
              <w:t>Risk</w:t>
            </w:r>
          </w:p>
        </w:tc>
        <w:tc>
          <w:tcPr>
            <w:tcW w:type="dxa" w:w="3312"/>
            <w:vAlign w:val="center"/>
            <w:shd w:fill="DCE6EE"/>
          </w:tcPr>
          <w:p>
            <w:pPr>
              <w:keepNext/>
              <w:spacing w:after="0" w:line="247" w:lineRule="auto"/>
            </w:pPr>
            <w:r>
              <w:rPr>
                <w:b/>
                <w:sz w:val="18"/>
              </w:rPr>
              <w:t>Consequence</w:t>
            </w:r>
          </w:p>
        </w:tc>
        <w:tc>
          <w:tcPr>
            <w:tcW w:type="dxa" w:w="4392"/>
            <w:vAlign w:val="center"/>
            <w:shd w:fill="DCE6EE"/>
          </w:tcPr>
          <w:p>
            <w:pPr>
              <w:keepNext/>
              <w:spacing w:after="0" w:line="247" w:lineRule="auto"/>
            </w:pPr>
            <w:r>
              <w:rPr>
                <w:b/>
                <w:sz w:val="18"/>
              </w:rPr>
              <w:t>Mitigation and decision gate</w:t>
            </w:r>
          </w:p>
        </w:tc>
      </w:tr>
      <w:tr>
        <w:trPr>
          <w:cantSplit/>
        </w:trPr>
        <w:tc>
          <w:tcPr>
            <w:tcW w:type="dxa" w:w="2376"/>
            <w:vAlign w:val="center"/>
            <w:shd w:fill="FFFFFF"/>
          </w:tcPr>
          <w:p>
            <w:pPr>
              <w:spacing w:after="0" w:line="247" w:lineRule="auto"/>
            </w:pPr>
            <w:r>
              <w:rPr>
                <w:sz w:val="18"/>
              </w:rPr>
              <w:t>New kernel driver gap</w:t>
            </w:r>
          </w:p>
        </w:tc>
        <w:tc>
          <w:tcPr>
            <w:tcW w:type="dxa" w:w="3312"/>
            <w:vAlign w:val="center"/>
            <w:shd w:fill="FFFFFF"/>
          </w:tcPr>
          <w:p>
            <w:pPr>
              <w:spacing w:after="0" w:line="247" w:lineRule="auto"/>
            </w:pPr>
            <w:r>
              <w:rPr>
                <w:sz w:val="18"/>
              </w:rPr>
              <w:t>No usable GPU, NPU, networking or power management</w:t>
            </w:r>
          </w:p>
        </w:tc>
        <w:tc>
          <w:tcPr>
            <w:tcW w:type="dxa" w:w="4392"/>
            <w:vAlign w:val="center"/>
            <w:shd w:fill="FFFFFF"/>
          </w:tcPr>
          <w:p>
            <w:pPr>
              <w:spacing w:after="0" w:line="247" w:lineRule="auto"/>
            </w:pPr>
            <w:r>
              <w:rPr>
                <w:sz w:val="18"/>
              </w:rPr>
              <w:t>Ship Linux baseline; require an OEM/BSP path before microkernel commitment</w:t>
            </w:r>
          </w:p>
        </w:tc>
      </w:tr>
      <w:tr>
        <w:trPr>
          <w:cantSplit/>
        </w:trPr>
        <w:tc>
          <w:tcPr>
            <w:tcW w:type="dxa" w:w="2376"/>
            <w:vAlign w:val="center"/>
            <w:shd w:fill="F6F8FA"/>
          </w:tcPr>
          <w:p>
            <w:pPr>
              <w:spacing w:after="0" w:line="247" w:lineRule="auto"/>
            </w:pPr>
            <w:r>
              <w:rPr>
                <w:sz w:val="18"/>
              </w:rPr>
              <w:t>Small model tool errors</w:t>
            </w:r>
          </w:p>
        </w:tc>
        <w:tc>
          <w:tcPr>
            <w:tcW w:type="dxa" w:w="3312"/>
            <w:vAlign w:val="center"/>
            <w:shd w:fill="F6F8FA"/>
          </w:tcPr>
          <w:p>
            <w:pPr>
              <w:spacing w:after="0" w:line="247" w:lineRule="auto"/>
            </w:pPr>
            <w:r>
              <w:rPr>
                <w:sz w:val="18"/>
              </w:rPr>
              <w:t>Wrong files, incomplete workflows, poor user trust</w:t>
            </w:r>
          </w:p>
        </w:tc>
        <w:tc>
          <w:tcPr>
            <w:tcW w:type="dxa" w:w="4392"/>
            <w:vAlign w:val="center"/>
            <w:shd w:fill="F6F8FA"/>
          </w:tcPr>
          <w:p>
            <w:pPr>
              <w:spacing w:after="0" w:line="247" w:lineRule="auto"/>
            </w:pPr>
            <w:r>
              <w:rPr>
                <w:sz w:val="18"/>
              </w:rPr>
              <w:t>Typed skills, grounded references and held-out evaluations; choose model by NF09</w:t>
            </w:r>
          </w:p>
        </w:tc>
      </w:tr>
      <w:tr>
        <w:trPr>
          <w:cantSplit/>
        </w:trPr>
        <w:tc>
          <w:tcPr>
            <w:tcW w:type="dxa" w:w="2376"/>
            <w:vAlign w:val="center"/>
            <w:shd w:fill="FFFFFF"/>
          </w:tcPr>
          <w:p>
            <w:pPr>
              <w:spacing w:after="0" w:line="247" w:lineRule="auto"/>
            </w:pPr>
            <w:r>
              <w:rPr>
                <w:sz w:val="18"/>
              </w:rPr>
              <w:t>NPU model restrictions</w:t>
            </w:r>
          </w:p>
        </w:tc>
        <w:tc>
          <w:tcPr>
            <w:tcW w:type="dxa" w:w="3312"/>
            <w:vAlign w:val="center"/>
            <w:shd w:fill="FFFFFF"/>
          </w:tcPr>
          <w:p>
            <w:pPr>
              <w:spacing w:after="0" w:line="247" w:lineRule="auto"/>
            </w:pPr>
            <w:r>
              <w:rPr>
                <w:sz w:val="18"/>
              </w:rPr>
              <w:t>Selected model cannot compile or loses quality</w:t>
            </w:r>
          </w:p>
        </w:tc>
        <w:tc>
          <w:tcPr>
            <w:tcW w:type="dxa" w:w="4392"/>
            <w:vAlign w:val="center"/>
            <w:shd w:fill="FFFFFF"/>
          </w:tcPr>
          <w:p>
            <w:pPr>
              <w:spacing w:after="0" w:line="247" w:lineRule="auto"/>
            </w:pPr>
            <w:r>
              <w:rPr>
                <w:sz w:val="18"/>
              </w:rPr>
              <w:t>Maintain CPU/GPU fallback; certify exact graph before committing hardware</w:t>
            </w:r>
          </w:p>
        </w:tc>
      </w:tr>
      <w:tr>
        <w:trPr>
          <w:cantSplit/>
        </w:trPr>
        <w:tc>
          <w:tcPr>
            <w:tcW w:type="dxa" w:w="2376"/>
            <w:vAlign w:val="center"/>
            <w:shd w:fill="F6F8FA"/>
          </w:tcPr>
          <w:p>
            <w:pPr>
              <w:spacing w:after="0" w:line="247" w:lineRule="auto"/>
            </w:pPr>
            <w:r>
              <w:rPr>
                <w:sz w:val="18"/>
              </w:rPr>
              <w:t>Memory or thermal contention</w:t>
            </w:r>
          </w:p>
        </w:tc>
        <w:tc>
          <w:tcPr>
            <w:tcW w:type="dxa" w:w="3312"/>
            <w:vAlign w:val="center"/>
            <w:shd w:fill="F6F8FA"/>
          </w:tcPr>
          <w:p>
            <w:pPr>
              <w:spacing w:after="0" w:line="247" w:lineRule="auto"/>
            </w:pPr>
            <w:r>
              <w:rPr>
                <w:sz w:val="18"/>
              </w:rPr>
              <w:t>Chat stalls while content renders</w:t>
            </w:r>
          </w:p>
        </w:tc>
        <w:tc>
          <w:tcPr>
            <w:tcW w:type="dxa" w:w="4392"/>
            <w:vAlign w:val="center"/>
            <w:shd w:fill="F6F8FA"/>
          </w:tcPr>
          <w:p>
            <w:pPr>
              <w:spacing w:after="0" w:line="247" w:lineRule="auto"/>
            </w:pPr>
            <w:r>
              <w:rPr>
                <w:sz w:val="18"/>
              </w:rPr>
              <w:t>Admission control, smaller models, queueing and sustained-load qualification</w:t>
            </w:r>
          </w:p>
        </w:tc>
      </w:tr>
      <w:tr>
        <w:trPr>
          <w:cantSplit/>
        </w:trPr>
        <w:tc>
          <w:tcPr>
            <w:tcW w:type="dxa" w:w="2376"/>
            <w:vAlign w:val="center"/>
            <w:shd w:fill="FFFFFF"/>
          </w:tcPr>
          <w:p>
            <w:pPr>
              <w:spacing w:after="0" w:line="247" w:lineRule="auto"/>
            </w:pPr>
            <w:r>
              <w:rPr>
                <w:sz w:val="18"/>
              </w:rPr>
              <w:t>Semantic data corruption</w:t>
            </w:r>
          </w:p>
        </w:tc>
        <w:tc>
          <w:tcPr>
            <w:tcW w:type="dxa" w:w="3312"/>
            <w:vAlign w:val="center"/>
            <w:shd w:fill="FFFFFF"/>
          </w:tcPr>
          <w:p>
            <w:pPr>
              <w:spacing w:after="0" w:line="247" w:lineRule="auto"/>
            </w:pPr>
            <w:r>
              <w:rPr>
                <w:sz w:val="18"/>
              </w:rPr>
              <w:t>Lost identity or misleading file organization</w:t>
            </w:r>
          </w:p>
        </w:tc>
        <w:tc>
          <w:tcPr>
            <w:tcW w:type="dxa" w:w="4392"/>
            <w:vAlign w:val="center"/>
            <w:shd w:fill="FFFFFF"/>
          </w:tcPr>
          <w:p>
            <w:pPr>
              <w:spacing w:after="0" w:line="247" w:lineRule="auto"/>
            </w:pPr>
            <w:r>
              <w:rPr>
                <w:sz w:val="18"/>
              </w:rPr>
              <w:t>Immutable versions, reconciliation, external-edit tests and recoverable metadata</w:t>
            </w:r>
          </w:p>
        </w:tc>
      </w:tr>
      <w:tr>
        <w:trPr>
          <w:cantSplit/>
        </w:trPr>
        <w:tc>
          <w:tcPr>
            <w:tcW w:type="dxa" w:w="2376"/>
            <w:vAlign w:val="center"/>
            <w:shd w:fill="F6F8FA"/>
          </w:tcPr>
          <w:p>
            <w:pPr>
              <w:spacing w:after="0" w:line="247" w:lineRule="auto"/>
            </w:pPr>
            <w:r>
              <w:rPr>
                <w:sz w:val="18"/>
              </w:rPr>
              <w:t>Security prompt injection</w:t>
            </w:r>
          </w:p>
        </w:tc>
        <w:tc>
          <w:tcPr>
            <w:tcW w:type="dxa" w:w="3312"/>
            <w:vAlign w:val="center"/>
            <w:shd w:fill="F6F8FA"/>
          </w:tcPr>
          <w:p>
            <w:pPr>
              <w:spacing w:after="0" w:line="247" w:lineRule="auto"/>
            </w:pPr>
            <w:r>
              <w:rPr>
                <w:sz w:val="18"/>
              </w:rPr>
              <w:t>Unwanted actions or data disclosure</w:t>
            </w:r>
          </w:p>
        </w:tc>
        <w:tc>
          <w:tcPr>
            <w:tcW w:type="dxa" w:w="4392"/>
            <w:vAlign w:val="center"/>
            <w:shd w:fill="F6F8FA"/>
          </w:tcPr>
          <w:p>
            <w:pPr>
              <w:spacing w:after="0" w:line="247" w:lineRule="auto"/>
            </w:pPr>
            <w:r>
              <w:rPr>
                <w:sz w:val="18"/>
              </w:rPr>
              <w:t>Capabilities, sandboxes and effect-time authorization independent of model</w:t>
            </w:r>
          </w:p>
        </w:tc>
      </w:tr>
      <w:tr>
        <w:trPr>
          <w:cantSplit/>
        </w:trPr>
        <w:tc>
          <w:tcPr>
            <w:tcW w:type="dxa" w:w="2376"/>
            <w:vAlign w:val="center"/>
            <w:shd w:fill="FFFFFF"/>
          </w:tcPr>
          <w:p>
            <w:pPr>
              <w:spacing w:after="0" w:line="247" w:lineRule="auto"/>
            </w:pPr>
            <w:r>
              <w:rPr>
                <w:sz w:val="18"/>
              </w:rPr>
              <w:t>Legacy application mismatch</w:t>
            </w:r>
          </w:p>
        </w:tc>
        <w:tc>
          <w:tcPr>
            <w:tcW w:type="dxa" w:w="3312"/>
            <w:vAlign w:val="center"/>
            <w:shd w:fill="FFFFFF"/>
          </w:tcPr>
          <w:p>
            <w:pPr>
              <w:spacing w:after="0" w:line="247" w:lineRule="auto"/>
            </w:pPr>
            <w:r>
              <w:rPr>
                <w:sz w:val="18"/>
              </w:rPr>
              <w:t>Adapters break after updates</w:t>
            </w:r>
          </w:p>
        </w:tc>
        <w:tc>
          <w:tcPr>
            <w:tcW w:type="dxa" w:w="4392"/>
            <w:vAlign w:val="center"/>
            <w:shd w:fill="FFFFFF"/>
          </w:tcPr>
          <w:p>
            <w:pPr>
              <w:spacing w:after="0" w:line="247" w:lineRule="auto"/>
            </w:pPr>
            <w:r>
              <w:rPr>
                <w:sz w:val="18"/>
              </w:rPr>
              <w:t>Named version support and verified API-based integration</w:t>
            </w:r>
          </w:p>
        </w:tc>
      </w:tr>
      <w:tr>
        <w:trPr>
          <w:cantSplit/>
        </w:trPr>
        <w:tc>
          <w:tcPr>
            <w:tcW w:type="dxa" w:w="2376"/>
            <w:vAlign w:val="center"/>
            <w:shd w:fill="F6F8FA"/>
          </w:tcPr>
          <w:p>
            <w:pPr>
              <w:spacing w:after="0" w:line="247" w:lineRule="auto"/>
            </w:pPr>
            <w:r>
              <w:rPr>
                <w:sz w:val="18"/>
              </w:rPr>
              <w:t>Update incompatibility</w:t>
            </w:r>
          </w:p>
        </w:tc>
        <w:tc>
          <w:tcPr>
            <w:tcW w:type="dxa" w:w="3312"/>
            <w:vAlign w:val="center"/>
            <w:shd w:fill="F6F8FA"/>
          </w:tcPr>
          <w:p>
            <w:pPr>
              <w:spacing w:after="0" w:line="247" w:lineRule="auto"/>
            </w:pPr>
            <w:r>
              <w:rPr>
                <w:sz w:val="18"/>
              </w:rPr>
              <w:t>Unbootable or unusable AI environment</w:t>
            </w:r>
          </w:p>
        </w:tc>
        <w:tc>
          <w:tcPr>
            <w:tcW w:type="dxa" w:w="4392"/>
            <w:vAlign w:val="center"/>
            <w:shd w:fill="F6F8FA"/>
          </w:tcPr>
          <w:p>
            <w:pPr>
              <w:spacing w:after="0" w:line="247" w:lineRule="auto"/>
            </w:pPr>
            <w:r>
              <w:rPr>
                <w:sz w:val="18"/>
              </w:rPr>
              <w:t>Bound release manifest, trial slots, compatible schema migration and recovery</w:t>
            </w:r>
          </w:p>
        </w:tc>
      </w:tr>
      <w:tr>
        <w:trPr>
          <w:cantSplit/>
        </w:trPr>
        <w:tc>
          <w:tcPr>
            <w:tcW w:type="dxa" w:w="2376"/>
            <w:vAlign w:val="center"/>
            <w:shd w:fill="FFFFFF"/>
          </w:tcPr>
          <w:p>
            <w:pPr>
              <w:spacing w:after="0" w:line="247" w:lineRule="auto"/>
            </w:pPr>
            <w:r>
              <w:rPr>
                <w:sz w:val="18"/>
              </w:rPr>
              <w:t>Model and runtime distribution terms</w:t>
            </w:r>
          </w:p>
        </w:tc>
        <w:tc>
          <w:tcPr>
            <w:tcW w:type="dxa" w:w="3312"/>
            <w:vAlign w:val="center"/>
            <w:shd w:fill="FFFFFF"/>
          </w:tcPr>
          <w:p>
            <w:pPr>
              <w:spacing w:after="0" w:line="247" w:lineRule="auto"/>
            </w:pPr>
            <w:r>
              <w:rPr>
                <w:sz w:val="18"/>
              </w:rPr>
              <w:t>Unable to ship the selected embedded assets</w:t>
            </w:r>
          </w:p>
        </w:tc>
        <w:tc>
          <w:tcPr>
            <w:tcW w:type="dxa" w:w="4392"/>
            <w:vAlign w:val="center"/>
            <w:shd w:fill="FFFFFF"/>
          </w:tcPr>
          <w:p>
            <w:pPr>
              <w:spacing w:after="0" w:line="247" w:lineRule="auto"/>
            </w:pPr>
            <w:r>
              <w:rPr>
                <w:sz w:val="18"/>
              </w:rPr>
              <w:t>Review exact model, tokenizer, runtime and firmware licenses before freezing image</w:t>
            </w:r>
          </w:p>
        </w:tc>
      </w:tr>
    </w:tbl>
    <w:p>
      <w:pPr>
        <w:spacing w:after="20"/>
      </w:pPr>
    </w:p>
    <w:p>
      <w:r>
        <w:t>Distribution review is a release engineering task: record the actual licenses and redistribution rights for all chosen components and obtain any needed permissions. This document does not determine legal compliance or assume that every downloadable model or firmware blob may be redistributed unchanged.</w:t>
      </w:r>
    </w:p>
    <w:p>
      <w:pPr>
        <w:pStyle w:val="Heading1"/>
      </w:pPr>
      <w:r>
        <w:t>19 Alternative microkernel and generated kernel research</w:t>
      </w:r>
    </w:p>
    <w:p>
      <w:pPr>
        <w:pStyle w:val="Heading2"/>
      </w:pPr>
      <w:r>
        <w:t>19.1 Research architecture</w:t>
      </w:r>
    </w:p>
    <w:p>
      <w:r>
        <w:t>For an OS that eventually uses a new kernel, preserve the same service APIs while replacing the platform beneath them. The deterministic microkernel supplies address spaces, threads, IPC, interrupt delivery, timers, and capability enforcement. Isolated native driver servers handle storage, networking and devices. The filesystem server and POSIX personality support applications. Inference remains a userspace service. The LLM-facing skills call these servers through typed IPC.</w:t>
      </w:r>
    </w:p>
    <w:p>
      <w:r>
        <w:t>Begin on one hardware platform with published interfaces and a documented board-support package. Boot in an emulator with serial console, timers, memory isolation and IPC. Add a simple storage path and deterministic filesystem server, then CPU-only inference to demonstrate the dependency chain. A modern GPU or NPU should be a separately gated milestone because its firmware, command interface and runtime assumptions may depend extensively on Linux or Windows.</w:t>
      </w:r>
    </w:p>
    <w:p>
      <w:r>
        <w:t>A Linux VM can preserve compatibility during research, using virtual devices or qualified passthrough. This adds memory overhead, duplicate services and more recovery complexity; it does not eliminate the Linux dependency for the hosted functions. Publish that boundary honestly. A POSIX syscall layer alone does not guarantee arbitrary Linux binary or GPU application compatibility.</w:t>
      </w:r>
    </w:p>
    <w:p>
      <w:pPr>
        <w:pStyle w:val="Heading2"/>
      </w:pPr>
      <w:r>
        <w:t>19.2 LLM assisted kernel development</w:t>
      </w:r>
    </w:p>
    <w:p>
      <w:r>
        <w:t>An LLM can help generate driver skeletons, register definitions from validated specifications, test fixtures, documentation, and candidate patches. Each contribution is ordinary source code after generation. Require human engineering review, compiler diagnostics, static analysis, simulator tests, concurrency and memory-ordering review, fuzzing, and hardware qualification. Privileged code is signed only through the normal release pipeline.</w:t>
      </w:r>
    </w:p>
    <w:p>
      <w:r>
        <w:t>Do not permit the running OS to fetch a hardware datasheet, generate a driver, and automatically load it with kernel privilege. Such a flow lacks reliable validation of register semantics, DMA behavior, races, error handling, and electrical or firmware constraints. An assisted driver workbench can stage a candidate for a developer and execute it only in an appropriate isolated test environment.</w:t>
      </w:r>
    </w:p>
    <w:p>
      <w:pPr>
        <w:pStyle w:val="Heading2"/>
      </w:pPr>
      <w:r>
        <w:t>19.3 Go or no go criteria</w:t>
      </w:r>
    </w:p>
    <w:p>
      <w:r>
        <w:t>Proceed with a microkernel product only if a reference board supports storage, display, input, network and the chosen inference accelerator; the compatibility layer runs the required applications; resource overhead is acceptable; recovery works; and the architecture demonstrates a measured security or maintainability benefit sufficient to fund the porting burden. A user interface demonstration alone does not satisfy these criteria.</w:t>
      </w:r>
    </w:p>
    <w:p>
      <w:r>
        <w:t>The initial investment should validate the local skill OS on Linux. That establishes the semantic file model, skill contract, content engines, model-size evidence, and demand for the interaction model. Those components can later move behind the same interfaces to a microkernel if the platform research succeeds.</w:t>
      </w:r>
    </w:p>
    <w:p>
      <w:pPr>
        <w:pStyle w:val="Heading1"/>
      </w:pPr>
      <w:r>
        <w:t>20 Decisions to freeze before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3312"/>
        <w:gridCol w:w="4392"/>
      </w:tblGrid>
      <w:tr>
        <w:trPr>
          <w:cantSplit/>
          <w:tblHeader/>
        </w:trPr>
        <w:tc>
          <w:tcPr>
            <w:tcW w:type="dxa" w:w="2376"/>
            <w:vAlign w:val="center"/>
            <w:shd w:fill="DCE6EE"/>
          </w:tcPr>
          <w:p>
            <w:pPr>
              <w:keepNext/>
              <w:spacing w:after="0" w:line="247" w:lineRule="auto"/>
            </w:pPr>
            <w:r>
              <w:rPr>
                <w:b/>
                <w:sz w:val="18"/>
              </w:rPr>
              <w:t>Decision</w:t>
            </w:r>
          </w:p>
        </w:tc>
        <w:tc>
          <w:tcPr>
            <w:tcW w:type="dxa" w:w="3312"/>
            <w:vAlign w:val="center"/>
            <w:shd w:fill="DCE6EE"/>
          </w:tcPr>
          <w:p>
            <w:pPr>
              <w:keepNext/>
              <w:spacing w:after="0" w:line="247" w:lineRule="auto"/>
            </w:pPr>
            <w:r>
              <w:rPr>
                <w:b/>
                <w:sz w:val="18"/>
              </w:rPr>
              <w:t>Recommended baseline</w:t>
            </w:r>
          </w:p>
        </w:tc>
        <w:tc>
          <w:tcPr>
            <w:tcW w:type="dxa" w:w="4392"/>
            <w:vAlign w:val="center"/>
            <w:shd w:fill="DCE6EE"/>
          </w:tcPr>
          <w:p>
            <w:pPr>
              <w:keepNext/>
              <w:spacing w:after="0" w:line="247" w:lineRule="auto"/>
            </w:pPr>
            <w:r>
              <w:rPr>
                <w:b/>
                <w:sz w:val="18"/>
              </w:rPr>
              <w:t>Required evidence before freeze</w:t>
            </w:r>
          </w:p>
        </w:tc>
      </w:tr>
      <w:tr>
        <w:trPr>
          <w:cantSplit/>
        </w:trPr>
        <w:tc>
          <w:tcPr>
            <w:tcW w:type="dxa" w:w="2376"/>
            <w:vAlign w:val="center"/>
            <w:shd w:fill="FFFFFF"/>
          </w:tcPr>
          <w:p>
            <w:pPr>
              <w:spacing w:after="0" w:line="247" w:lineRule="auto"/>
            </w:pPr>
            <w:r>
              <w:rPr>
                <w:sz w:val="18"/>
              </w:rPr>
              <w:t>Kernel strategy</w:t>
            </w:r>
          </w:p>
        </w:tc>
        <w:tc>
          <w:tcPr>
            <w:tcW w:type="dxa" w:w="3312"/>
            <w:vAlign w:val="center"/>
            <w:shd w:fill="FFFFFF"/>
          </w:tcPr>
          <w:p>
            <w:pPr>
              <w:spacing w:after="0" w:line="247" w:lineRule="auto"/>
            </w:pPr>
            <w:r>
              <w:rPr>
                <w:sz w:val="18"/>
              </w:rPr>
              <w:t>Linux R1; microkernel RX</w:t>
            </w:r>
          </w:p>
        </w:tc>
        <w:tc>
          <w:tcPr>
            <w:tcW w:type="dxa" w:w="4392"/>
            <w:vAlign w:val="center"/>
            <w:shd w:fill="FFFFFF"/>
          </w:tcPr>
          <w:p>
            <w:pPr>
              <w:spacing w:after="0" w:line="247" w:lineRule="auto"/>
            </w:pPr>
            <w:r>
              <w:rPr>
                <w:sz w:val="18"/>
              </w:rPr>
              <w:t>Supported boot and driver stack on two reference machines</w:t>
            </w:r>
          </w:p>
        </w:tc>
      </w:tr>
      <w:tr>
        <w:trPr>
          <w:cantSplit/>
        </w:trPr>
        <w:tc>
          <w:tcPr>
            <w:tcW w:type="dxa" w:w="2376"/>
            <w:vAlign w:val="center"/>
            <w:shd w:fill="F6F8FA"/>
          </w:tcPr>
          <w:p>
            <w:pPr>
              <w:spacing w:after="0" w:line="247" w:lineRule="auto"/>
            </w:pPr>
            <w:r>
              <w:rPr>
                <w:sz w:val="18"/>
              </w:rPr>
              <w:t>Main model</w:t>
            </w:r>
          </w:p>
        </w:tc>
        <w:tc>
          <w:tcPr>
            <w:tcW w:type="dxa" w:w="3312"/>
            <w:vAlign w:val="center"/>
            <w:shd w:fill="F6F8FA"/>
          </w:tcPr>
          <w:p>
            <w:pPr>
              <w:spacing w:after="0" w:line="247" w:lineRule="auto"/>
            </w:pPr>
            <w:r>
              <w:rPr>
                <w:sz w:val="18"/>
              </w:rPr>
              <w:t>8–9B 4-bit, 8K context</w:t>
            </w:r>
          </w:p>
        </w:tc>
        <w:tc>
          <w:tcPr>
            <w:tcW w:type="dxa" w:w="4392"/>
            <w:vAlign w:val="center"/>
            <w:shd w:fill="F6F8FA"/>
          </w:tcPr>
          <w:p>
            <w:pPr>
              <w:spacing w:after="0" w:line="247" w:lineRule="auto"/>
            </w:pPr>
            <w:r>
              <w:rPr>
                <w:sz w:val="18"/>
              </w:rPr>
              <w:t>Task success, quantization, latency, memory and license review</w:t>
            </w:r>
          </w:p>
        </w:tc>
      </w:tr>
      <w:tr>
        <w:trPr>
          <w:cantSplit/>
        </w:trPr>
        <w:tc>
          <w:tcPr>
            <w:tcW w:type="dxa" w:w="2376"/>
            <w:vAlign w:val="center"/>
            <w:shd w:fill="FFFFFF"/>
          </w:tcPr>
          <w:p>
            <w:pPr>
              <w:spacing w:after="0" w:line="247" w:lineRule="auto"/>
            </w:pPr>
            <w:r>
              <w:rPr>
                <w:sz w:val="18"/>
              </w:rPr>
              <w:t>Compact model</w:t>
            </w:r>
          </w:p>
        </w:tc>
        <w:tc>
          <w:tcPr>
            <w:tcW w:type="dxa" w:w="3312"/>
            <w:vAlign w:val="center"/>
            <w:shd w:fill="FFFFFF"/>
          </w:tcPr>
          <w:p>
            <w:pPr>
              <w:spacing w:after="0" w:line="247" w:lineRule="auto"/>
            </w:pPr>
            <w:r>
              <w:rPr>
                <w:sz w:val="18"/>
              </w:rPr>
              <w:t>3–4B profile</w:t>
            </w:r>
          </w:p>
        </w:tc>
        <w:tc>
          <w:tcPr>
            <w:tcW w:type="dxa" w:w="4392"/>
            <w:vAlign w:val="center"/>
            <w:shd w:fill="FFFFFF"/>
          </w:tcPr>
          <w:p>
            <w:pPr>
              <w:spacing w:after="0" w:line="247" w:lineRule="auto"/>
            </w:pPr>
            <w:r>
              <w:rPr>
                <w:sz w:val="18"/>
              </w:rPr>
              <w:t>Same essential workflows with published compact-tier limitations</w:t>
            </w:r>
          </w:p>
        </w:tc>
      </w:tr>
      <w:tr>
        <w:trPr>
          <w:cantSplit/>
        </w:trPr>
        <w:tc>
          <w:tcPr>
            <w:tcW w:type="dxa" w:w="2376"/>
            <w:vAlign w:val="center"/>
            <w:shd w:fill="F6F8FA"/>
          </w:tcPr>
          <w:p>
            <w:pPr>
              <w:spacing w:after="0" w:line="247" w:lineRule="auto"/>
            </w:pPr>
            <w:r>
              <w:rPr>
                <w:sz w:val="18"/>
              </w:rPr>
              <w:t>Model residency</w:t>
            </w:r>
          </w:p>
        </w:tc>
        <w:tc>
          <w:tcPr>
            <w:tcW w:type="dxa" w:w="3312"/>
            <w:vAlign w:val="center"/>
            <w:shd w:fill="F6F8FA"/>
          </w:tcPr>
          <w:p>
            <w:pPr>
              <w:spacing w:after="0" w:line="247" w:lineRule="auto"/>
            </w:pPr>
            <w:r>
              <w:rPr>
                <w:sz w:val="18"/>
              </w:rPr>
              <w:t>One main model; auxiliary assets on demand</w:t>
            </w:r>
          </w:p>
        </w:tc>
        <w:tc>
          <w:tcPr>
            <w:tcW w:type="dxa" w:w="4392"/>
            <w:vAlign w:val="center"/>
            <w:shd w:fill="F6F8FA"/>
          </w:tcPr>
          <w:p>
            <w:pPr>
              <w:spacing w:after="0" w:line="247" w:lineRule="auto"/>
            </w:pPr>
            <w:r>
              <w:rPr>
                <w:sz w:val="18"/>
              </w:rPr>
              <w:t>Peak memory and energy measurements</w:t>
            </w:r>
          </w:p>
        </w:tc>
      </w:tr>
      <w:tr>
        <w:trPr>
          <w:cantSplit/>
        </w:trPr>
        <w:tc>
          <w:tcPr>
            <w:tcW w:type="dxa" w:w="2376"/>
            <w:vAlign w:val="center"/>
            <w:shd w:fill="FFFFFF"/>
          </w:tcPr>
          <w:p>
            <w:pPr>
              <w:spacing w:after="0" w:line="247" w:lineRule="auto"/>
            </w:pPr>
            <w:r>
              <w:rPr>
                <w:sz w:val="18"/>
              </w:rPr>
              <w:t>Filesystem</w:t>
            </w:r>
          </w:p>
        </w:tc>
        <w:tc>
          <w:tcPr>
            <w:tcW w:type="dxa" w:w="3312"/>
            <w:vAlign w:val="center"/>
            <w:shd w:fill="FFFFFF"/>
          </w:tcPr>
          <w:p>
            <w:pPr>
              <w:spacing w:after="0" w:line="247" w:lineRule="auto"/>
            </w:pPr>
            <w:r>
              <w:rPr>
                <w:sz w:val="18"/>
              </w:rPr>
              <w:t>Established physical filesystem plus managed semantic layer</w:t>
            </w:r>
          </w:p>
        </w:tc>
        <w:tc>
          <w:tcPr>
            <w:tcW w:type="dxa" w:w="4392"/>
            <w:vAlign w:val="center"/>
            <w:shd w:fill="FFFFFF"/>
          </w:tcPr>
          <w:p>
            <w:pPr>
              <w:spacing w:after="0" w:line="247" w:lineRule="auto"/>
            </w:pPr>
            <w:r>
              <w:rPr>
                <w:sz w:val="18"/>
              </w:rPr>
              <w:t>Crash consistency and legacy edit reconciliation</w:t>
            </w:r>
          </w:p>
        </w:tc>
      </w:tr>
      <w:tr>
        <w:trPr>
          <w:cantSplit/>
        </w:trPr>
        <w:tc>
          <w:tcPr>
            <w:tcW w:type="dxa" w:w="2376"/>
            <w:vAlign w:val="center"/>
            <w:shd w:fill="F6F8FA"/>
          </w:tcPr>
          <w:p>
            <w:pPr>
              <w:spacing w:after="0" w:line="247" w:lineRule="auto"/>
            </w:pPr>
            <w:r>
              <w:rPr>
                <w:sz w:val="18"/>
              </w:rPr>
              <w:t>Skill ABI</w:t>
            </w:r>
          </w:p>
        </w:tc>
        <w:tc>
          <w:tcPr>
            <w:tcW w:type="dxa" w:w="3312"/>
            <w:vAlign w:val="center"/>
            <w:shd w:fill="F6F8FA"/>
          </w:tcPr>
          <w:p>
            <w:pPr>
              <w:spacing w:after="0" w:line="247" w:lineRule="auto"/>
            </w:pPr>
            <w:r>
              <w:rPr>
                <w:sz w:val="18"/>
              </w:rPr>
              <w:t>Versioned schemas plus capability and resource declarations</w:t>
            </w:r>
          </w:p>
        </w:tc>
        <w:tc>
          <w:tcPr>
            <w:tcW w:type="dxa" w:w="4392"/>
            <w:vAlign w:val="center"/>
            <w:shd w:fill="F6F8FA"/>
          </w:tcPr>
          <w:p>
            <w:pPr>
              <w:spacing w:after="0" w:line="247" w:lineRule="auto"/>
            </w:pPr>
            <w:r>
              <w:rPr>
                <w:sz w:val="18"/>
              </w:rPr>
              <w:t>SDK prototype and two independently implemented skills</w:t>
            </w:r>
          </w:p>
        </w:tc>
      </w:tr>
      <w:tr>
        <w:trPr>
          <w:cantSplit/>
        </w:trPr>
        <w:tc>
          <w:tcPr>
            <w:tcW w:type="dxa" w:w="2376"/>
            <w:vAlign w:val="center"/>
            <w:shd w:fill="FFFFFF"/>
          </w:tcPr>
          <w:p>
            <w:pPr>
              <w:spacing w:after="0" w:line="247" w:lineRule="auto"/>
            </w:pPr>
            <w:r>
              <w:rPr>
                <w:sz w:val="18"/>
              </w:rPr>
              <w:t>Isolation</w:t>
            </w:r>
          </w:p>
        </w:tc>
        <w:tc>
          <w:tcPr>
            <w:tcW w:type="dxa" w:w="3312"/>
            <w:vAlign w:val="center"/>
            <w:shd w:fill="FFFFFF"/>
          </w:tcPr>
          <w:p>
            <w:pPr>
              <w:spacing w:after="0" w:line="247" w:lineRule="auto"/>
            </w:pPr>
            <w:r>
              <w:rPr>
                <w:sz w:val="18"/>
              </w:rPr>
              <w:t>WASI or restricted process; microVM for higher-risk code</w:t>
            </w:r>
          </w:p>
        </w:tc>
        <w:tc>
          <w:tcPr>
            <w:tcW w:type="dxa" w:w="4392"/>
            <w:vAlign w:val="center"/>
            <w:shd w:fill="FFFFFF"/>
          </w:tcPr>
          <w:p>
            <w:pPr>
              <w:spacing w:after="0" w:line="247" w:lineRule="auto"/>
            </w:pPr>
            <w:r>
              <w:rPr>
                <w:sz w:val="18"/>
              </w:rPr>
              <w:t>Escape, credential and resource tests</w:t>
            </w:r>
          </w:p>
        </w:tc>
      </w:tr>
      <w:tr>
        <w:trPr>
          <w:cantSplit/>
        </w:trPr>
        <w:tc>
          <w:tcPr>
            <w:tcW w:type="dxa" w:w="2376"/>
            <w:vAlign w:val="center"/>
            <w:shd w:fill="F6F8FA"/>
          </w:tcPr>
          <w:p>
            <w:pPr>
              <w:spacing w:after="0" w:line="247" w:lineRule="auto"/>
            </w:pPr>
            <w:r>
              <w:rPr>
                <w:sz w:val="18"/>
              </w:rPr>
              <w:t>Hardware launch scope</w:t>
            </w:r>
          </w:p>
        </w:tc>
        <w:tc>
          <w:tcPr>
            <w:tcW w:type="dxa" w:w="3312"/>
            <w:vAlign w:val="center"/>
            <w:shd w:fill="F6F8FA"/>
          </w:tcPr>
          <w:p>
            <w:pPr>
              <w:spacing w:after="0" w:line="247" w:lineRule="auto"/>
            </w:pPr>
            <w:r>
              <w:rPr>
                <w:sz w:val="18"/>
              </w:rPr>
              <w:t>Two x86-64 configurations</w:t>
            </w:r>
          </w:p>
        </w:tc>
        <w:tc>
          <w:tcPr>
            <w:tcW w:type="dxa" w:w="4392"/>
            <w:vAlign w:val="center"/>
            <w:shd w:fill="F6F8FA"/>
          </w:tcPr>
          <w:p>
            <w:pPr>
              <w:spacing w:after="0" w:line="247" w:lineRule="auto"/>
            </w:pPr>
            <w:r>
              <w:rPr>
                <w:sz w:val="18"/>
              </w:rPr>
              <w:t>Full hardware compatibility reports</w:t>
            </w:r>
          </w:p>
        </w:tc>
      </w:tr>
      <w:tr>
        <w:trPr>
          <w:cantSplit/>
        </w:trPr>
        <w:tc>
          <w:tcPr>
            <w:tcW w:type="dxa" w:w="2376"/>
            <w:vAlign w:val="center"/>
            <w:shd w:fill="FFFFFF"/>
          </w:tcPr>
          <w:p>
            <w:pPr>
              <w:spacing w:after="0" w:line="247" w:lineRule="auto"/>
            </w:pPr>
            <w:r>
              <w:rPr>
                <w:sz w:val="18"/>
              </w:rPr>
              <w:t>ARM64</w:t>
            </w:r>
          </w:p>
        </w:tc>
        <w:tc>
          <w:tcPr>
            <w:tcW w:type="dxa" w:w="3312"/>
            <w:vAlign w:val="center"/>
            <w:shd w:fill="FFFFFF"/>
          </w:tcPr>
          <w:p>
            <w:pPr>
              <w:spacing w:after="0" w:line="247" w:lineRule="auto"/>
            </w:pPr>
            <w:r>
              <w:rPr>
                <w:sz w:val="18"/>
              </w:rPr>
              <w:t>R2 conditional</w:t>
            </w:r>
          </w:p>
        </w:tc>
        <w:tc>
          <w:tcPr>
            <w:tcW w:type="dxa" w:w="4392"/>
            <w:vAlign w:val="center"/>
            <w:shd w:fill="FFFFFF"/>
          </w:tcPr>
          <w:p>
            <w:pPr>
              <w:spacing w:after="0" w:line="247" w:lineRule="auto"/>
            </w:pPr>
            <w:r>
              <w:rPr>
                <w:sz w:val="18"/>
              </w:rPr>
              <w:t>Native firmware, GPU/NPU and application evidence</w:t>
            </w:r>
          </w:p>
        </w:tc>
      </w:tr>
      <w:tr>
        <w:trPr>
          <w:cantSplit/>
        </w:trPr>
        <w:tc>
          <w:tcPr>
            <w:tcW w:type="dxa" w:w="2376"/>
            <w:vAlign w:val="center"/>
            <w:shd w:fill="F6F8FA"/>
          </w:tcPr>
          <w:p>
            <w:pPr>
              <w:spacing w:after="0" w:line="247" w:lineRule="auto"/>
            </w:pPr>
            <w:r>
              <w:rPr>
                <w:sz w:val="18"/>
              </w:rPr>
              <w:t>Content scope</w:t>
            </w:r>
          </w:p>
        </w:tc>
        <w:tc>
          <w:tcPr>
            <w:tcW w:type="dxa" w:w="3312"/>
            <w:vAlign w:val="center"/>
            <w:shd w:fill="F6F8FA"/>
          </w:tcPr>
          <w:p>
            <w:pPr>
              <w:spacing w:after="0" w:line="247" w:lineRule="auto"/>
            </w:pPr>
            <w:r>
              <w:rPr>
                <w:sz w:val="18"/>
              </w:rPr>
              <w:t>Editable structured artifacts and programmatic animation</w:t>
            </w:r>
          </w:p>
        </w:tc>
        <w:tc>
          <w:tcPr>
            <w:tcW w:type="dxa" w:w="4392"/>
            <w:vAlign w:val="center"/>
            <w:shd w:fill="F6F8FA"/>
          </w:tcPr>
          <w:p>
            <w:pPr>
              <w:spacing w:after="0" w:line="247" w:lineRule="auto"/>
            </w:pPr>
            <w:r>
              <w:rPr>
                <w:sz w:val="18"/>
              </w:rPr>
              <w:t>Deterministic arithmetic, reopen and rendering results</w:t>
            </w:r>
          </w:p>
        </w:tc>
      </w:tr>
      <w:tr>
        <w:trPr>
          <w:cantSplit/>
        </w:trPr>
        <w:tc>
          <w:tcPr>
            <w:tcW w:type="dxa" w:w="2376"/>
            <w:vAlign w:val="center"/>
            <w:shd w:fill="FFFFFF"/>
          </w:tcPr>
          <w:p>
            <w:pPr>
              <w:spacing w:after="0" w:line="247" w:lineRule="auto"/>
            </w:pPr>
            <w:r>
              <w:rPr>
                <w:sz w:val="18"/>
              </w:rPr>
              <w:t>Heavy generative media</w:t>
            </w:r>
          </w:p>
        </w:tc>
        <w:tc>
          <w:tcPr>
            <w:tcW w:type="dxa" w:w="3312"/>
            <w:vAlign w:val="center"/>
            <w:shd w:fill="FFFFFF"/>
          </w:tcPr>
          <w:p>
            <w:pPr>
              <w:spacing w:after="0" w:line="247" w:lineRule="auto"/>
            </w:pPr>
            <w:r>
              <w:rPr>
                <w:sz w:val="18"/>
              </w:rPr>
              <w:t>Optional model packs</w:t>
            </w:r>
          </w:p>
        </w:tc>
        <w:tc>
          <w:tcPr>
            <w:tcW w:type="dxa" w:w="4392"/>
            <w:vAlign w:val="center"/>
            <w:shd w:fill="FFFFFF"/>
          </w:tcPr>
          <w:p>
            <w:pPr>
              <w:spacing w:after="0" w:line="247" w:lineRule="auto"/>
            </w:pPr>
            <w:r>
              <w:rPr>
                <w:sz w:val="18"/>
              </w:rPr>
              <w:t>Hardware-specific dimensions, duration and runtime targets</w:t>
            </w:r>
          </w:p>
        </w:tc>
      </w:tr>
    </w:tbl>
    <w:p>
      <w:pPr>
        <w:spacing w:after="20"/>
      </w:pPr>
    </w:p>
    <w:p>
      <w:r>
        <w:t>This baseline is sufficient to organize implementation work and prototype contracts. Before production development is fully estimated, P0 must close the exact board, backend, model, sandbox, and storage choices. The complete engineering deliverable set then includes machine-readable schemas, SDKs, source code, build definitions, qualified binaries, tests, and operational guides in addition to this specification.</w:t>
      </w:r>
    </w:p>
    <w:p>
      <w:pPr>
        <w:pStyle w:val="Heading1"/>
      </w:pPr>
      <w:r>
        <w:t>21 Source register</w:t>
      </w:r>
    </w:p>
    <w:p>
      <w:r>
        <w:t>Primary sources were accessed on 10 September 2026. Vendor specifications and support pages can change; archive the exact revisions used for a product release. Numeric budgets, targets, engineering estimates, and architecture choices in this document are original proposed design values unless explicitly attributed. Source-derived summaries are limited to the claims needed for this assessment.</w:t>
      </w:r>
    </w:p>
    <w:p>
      <w:pPr>
        <w:keepNext/>
      </w:pPr>
      <w:r/>
      <w:hyperlink r:id="rId20">
        <w:r>
          <w:rPr>
            <w:color w:val="244F70"/>
          </w:rPr>
          <w:t>[S1]</w:t>
        </w:r>
      </w:hyperlink>
      <w:r>
        <w:t xml:space="preserve"> AMD. AMD Expands AI Leadership Across Client Graphics and Software. CES 2026 announcement. Supports the Ryzen AI 400 and PRO 400 specifications and distinction from Max products.</w:t>
      </w:r>
    </w:p>
    <w:p>
      <w:pPr>
        <w:spacing w:after="160"/>
      </w:pPr>
      <w:hyperlink r:id="rId20">
        <w:r>
          <w:rPr>
            <w:color w:val="244F70"/>
          </w:rPr>
          <w:t>Open primary source</w:t>
        </w:r>
      </w:hyperlink>
    </w:p>
    <w:p>
      <w:pPr>
        <w:keepNext/>
      </w:pPr>
      <w:r/>
      <w:hyperlink r:id="rId21">
        <w:r>
          <w:rPr>
            <w:color w:val="244F70"/>
          </w:rPr>
          <w:t>[S2]</w:t>
        </w:r>
      </w:hyperlink>
      <w:r>
        <w:t xml:space="preserve"> AMD. Ryzen AI Max plus PRO 395 product specification. Supports 128 GB maximum memory, 256-bit LPDDR5x-8000, graphics and 50 NPU TOPS.</w:t>
      </w:r>
    </w:p>
    <w:p>
      <w:pPr>
        <w:spacing w:after="160"/>
      </w:pPr>
      <w:hyperlink r:id="rId21">
        <w:r>
          <w:rPr>
            <w:color w:val="244F70"/>
          </w:rPr>
          <w:t>Open primary source</w:t>
        </w:r>
      </w:hyperlink>
    </w:p>
    <w:p>
      <w:pPr>
        <w:keepNext/>
      </w:pPr>
      <w:r/>
      <w:hyperlink r:id="rId18">
        <w:r>
          <w:rPr>
            <w:color w:val="244F70"/>
          </w:rPr>
          <w:t>[S3]</w:t>
        </w:r>
      </w:hyperlink>
      <w:r>
        <w:t xml:space="preserve"> AMD. Running LLM on Linux. Ryzen AI Software 1.8 documentation, last updated 3 August 2026. Supports prepared-model and Linux hybrid-flow limitations.</w:t>
      </w:r>
    </w:p>
    <w:p>
      <w:pPr>
        <w:spacing w:after="160"/>
      </w:pPr>
      <w:hyperlink r:id="rId18">
        <w:r>
          <w:rPr>
            <w:color w:val="244F70"/>
          </w:rPr>
          <w:t>Open primary source</w:t>
        </w:r>
      </w:hyperlink>
    </w:p>
    <w:p>
      <w:pPr>
        <w:keepNext/>
      </w:pPr>
      <w:r/>
      <w:hyperlink r:id="rId25">
        <w:r>
          <w:rPr>
            <w:color w:val="244F70"/>
          </w:rPr>
          <w:t>[S4]</w:t>
        </w:r>
      </w:hyperlink>
      <w:r>
        <w:t xml:space="preserve"> Intel. OpenVINO 2026 System Requirements. Supports qualified OS and driver requirements, including Linux NPU support caveats.</w:t>
      </w:r>
    </w:p>
    <w:p>
      <w:pPr>
        <w:spacing w:after="160"/>
      </w:pPr>
      <w:hyperlink r:id="rId25">
        <w:r>
          <w:rPr>
            <w:color w:val="244F70"/>
          </w:rPr>
          <w:t>Open primary source</w:t>
        </w:r>
      </w:hyperlink>
    </w:p>
    <w:p>
      <w:pPr>
        <w:keepNext/>
      </w:pPr>
      <w:r/>
      <w:hyperlink r:id="rId26">
        <w:r>
          <w:rPr>
            <w:color w:val="244F70"/>
          </w:rPr>
          <w:t>[S5]</w:t>
        </w:r>
      </w:hyperlink>
      <w:r>
        <w:t xml:space="preserve"> Intel. OpenVINO NPU Device documentation. Reference for backend properties and supported device execution.</w:t>
      </w:r>
    </w:p>
    <w:p>
      <w:pPr>
        <w:spacing w:after="160"/>
      </w:pPr>
      <w:hyperlink r:id="rId26">
        <w:r>
          <w:rPr>
            <w:color w:val="244F70"/>
          </w:rPr>
          <w:t>Open primary source</w:t>
        </w:r>
      </w:hyperlink>
    </w:p>
    <w:p>
      <w:pPr>
        <w:keepNext/>
      </w:pPr>
      <w:r/>
      <w:hyperlink r:id="rId16">
        <w:r>
          <w:rPr>
            <w:color w:val="244F70"/>
          </w:rPr>
          <w:t>[S6]</w:t>
        </w:r>
      </w:hyperlink>
      <w:r>
        <w:t xml:space="preserve"> Qwen. Qwen3 8B official model card. Supports total parameter count, layers, attention heads and deployment context. No vendor benchmark in this card is assumed to hold for the proposed OS.</w:t>
      </w:r>
    </w:p>
    <w:p>
      <w:pPr>
        <w:spacing w:after="160"/>
      </w:pPr>
      <w:hyperlink r:id="rId16">
        <w:r>
          <w:rPr>
            <w:color w:val="244F70"/>
          </w:rPr>
          <w:t>Open primary source</w:t>
        </w:r>
      </w:hyperlink>
    </w:p>
    <w:p>
      <w:pPr>
        <w:keepNext/>
      </w:pPr>
      <w:r/>
      <w:hyperlink r:id="rId17">
        <w:r>
          <w:rPr>
            <w:color w:val="244F70"/>
          </w:rPr>
          <w:t>[S7]</w:t>
        </w:r>
      </w:hyperlink>
      <w:r>
        <w:t xml:space="preserve"> Microsoft. Phi 4 mini instruct official model card. Compact text-model candidate.</w:t>
      </w:r>
    </w:p>
    <w:p>
      <w:pPr>
        <w:spacing w:after="160"/>
      </w:pPr>
      <w:hyperlink r:id="rId17">
        <w:r>
          <w:rPr>
            <w:color w:val="244F70"/>
          </w:rPr>
          <w:t>Open primary source</w:t>
        </w:r>
      </w:hyperlink>
    </w:p>
    <w:p>
      <w:pPr>
        <w:keepNext/>
      </w:pPr>
      <w:r/>
      <w:hyperlink r:id="rId22">
        <w:r>
          <w:rPr>
            <w:color w:val="244F70"/>
          </w:rPr>
          <w:t>[S8]</w:t>
        </w:r>
      </w:hyperlink>
      <w:r>
        <w:t xml:space="preserve"> Qualcomm. Snapdragon X2 Elite Product Brief. Supports named SKU NPU and memory specifications. Hardware maxima differ from OEM-installed configurations.</w:t>
      </w:r>
    </w:p>
    <w:p>
      <w:pPr>
        <w:spacing w:after="160"/>
      </w:pPr>
      <w:hyperlink r:id="rId22">
        <w:r>
          <w:rPr>
            <w:color w:val="244F70"/>
          </w:rPr>
          <w:t>Open primary source</w:t>
        </w:r>
      </w:hyperlink>
    </w:p>
    <w:p>
      <w:pPr>
        <w:keepNext/>
      </w:pPr>
      <w:r/>
      <w:hyperlink r:id="rId27">
        <w:r>
          <w:rPr>
            <w:color w:val="244F70"/>
          </w:rPr>
          <w:t>[S9]</w:t>
        </w:r>
      </w:hyperlink>
      <w:r>
        <w:t xml:space="preserve"> Qualcomm. Run Nexa AI agents locally on Snapdragon X PCs with Hexagon NPU. March 2026 developer article. The example describes Windows PCs and is not evidence of universal Linux NPU compatibility.</w:t>
      </w:r>
    </w:p>
    <w:p>
      <w:pPr>
        <w:spacing w:after="160"/>
      </w:pPr>
      <w:hyperlink r:id="rId27">
        <w:r>
          <w:rPr>
            <w:color w:val="244F70"/>
          </w:rPr>
          <w:t>Open primary source</w:t>
        </w:r>
      </w:hyperlink>
    </w:p>
    <w:p>
      <w:pPr>
        <w:keepNext/>
      </w:pPr>
      <w:r/>
      <w:hyperlink r:id="rId28">
        <w:r>
          <w:rPr>
            <w:color w:val="244F70"/>
          </w:rPr>
          <w:t>[S10]</w:t>
        </w:r>
      </w:hyperlink>
      <w:r>
        <w:t xml:space="preserve"> Qwen. Qwen3.5 9B official model card. Candidate for mainstream local multimodal evaluation.</w:t>
      </w:r>
    </w:p>
    <w:p>
      <w:pPr>
        <w:spacing w:after="160"/>
      </w:pPr>
      <w:hyperlink r:id="rId28">
        <w:r>
          <w:rPr>
            <w:color w:val="244F70"/>
          </w:rPr>
          <w:t>Open primary source</w:t>
        </w:r>
      </w:hyperlink>
    </w:p>
    <w:p>
      <w:pPr>
        <w:keepNext/>
      </w:pPr>
      <w:r/>
      <w:hyperlink r:id="rId29">
        <w:r>
          <w:rPr>
            <w:color w:val="244F70"/>
          </w:rPr>
          <w:t>[S11]</w:t>
        </w:r>
      </w:hyperlink>
      <w:r>
        <w:t xml:space="preserve"> Qwen. Qwen3.5 4B official model card. Candidate for compact local multimodal evaluation.</w:t>
      </w:r>
    </w:p>
    <w:p>
      <w:pPr>
        <w:spacing w:after="160"/>
      </w:pPr>
      <w:hyperlink r:id="rId29">
        <w:r>
          <w:rPr>
            <w:color w:val="244F70"/>
          </w:rPr>
          <w:t>Open primary source</w:t>
        </w:r>
      </w:hyperlink>
    </w:p>
    <w:p>
      <w:pPr>
        <w:keepNext/>
      </w:pPr>
      <w:r/>
      <w:hyperlink r:id="rId12">
        <w:r>
          <w:rPr>
            <w:color w:val="244F70"/>
          </w:rPr>
          <w:t>[S12]</w:t>
        </w:r>
      </w:hyperlink>
      <w:r>
        <w:t xml:space="preserve"> Mei and collaborators. AIOS LLM Agent Operating System. arXiv 2403.16971. Related agent-operating-system research; it does not prove replacement of bare-metal kernel mechanisms.</w:t>
      </w:r>
    </w:p>
    <w:p>
      <w:pPr>
        <w:spacing w:after="160"/>
      </w:pPr>
      <w:hyperlink r:id="rId12">
        <w:r>
          <w:rPr>
            <w:color w:val="244F70"/>
          </w:rPr>
          <w:t>Open primary source</w:t>
        </w:r>
      </w:hyperlink>
    </w:p>
    <w:p>
      <w:pPr>
        <w:keepNext/>
      </w:pPr>
      <w:r/>
      <w:hyperlink r:id="rId11">
        <w:r>
          <w:rPr>
            <w:color w:val="244F70"/>
          </w:rPr>
          <w:t>[S13]</w:t>
        </w:r>
      </w:hyperlink>
      <w:r>
        <w:t xml:space="preserve"> seL4. What the Proofs Assume. Reference for the scope and assumptions of kernel verification.</w:t>
      </w:r>
    </w:p>
    <w:p>
      <w:pPr>
        <w:spacing w:after="160"/>
      </w:pPr>
      <w:hyperlink r:id="rId11">
        <w:r>
          <w:rPr>
            <w:color w:val="244F70"/>
          </w:rPr>
          <w:t>Open primary source</w:t>
        </w:r>
      </w:hyperlink>
    </w:p>
    <w:p>
      <w:pPr>
        <w:keepNext/>
      </w:pPr>
      <w:r/>
      <w:hyperlink r:id="rId30">
        <w:r>
          <w:rPr>
            <w:color w:val="244F70"/>
          </w:rPr>
          <w:t>[S14]</w:t>
        </w:r>
      </w:hyperlink>
      <w:r>
        <w:t xml:space="preserve"> ggml org. llama.cpp build documentation. Reference for available inference backend build paths; exact device and model support requires qualification.</w:t>
      </w:r>
    </w:p>
    <w:p>
      <w:pPr>
        <w:spacing w:after="160"/>
      </w:pPr>
      <w:hyperlink r:id="rId30">
        <w:r>
          <w:rPr>
            <w:color w:val="244F70"/>
          </w:rPr>
          <w:t>Open primary source</w:t>
        </w:r>
      </w:hyperlink>
    </w:p>
    <w:p>
      <w:pPr>
        <w:keepNext/>
      </w:pPr>
      <w:r/>
      <w:hyperlink r:id="rId14">
        <w:r>
          <w:rPr>
            <w:color w:val="244F70"/>
          </w:rPr>
          <w:t>[S15]</w:t>
        </w:r>
      </w:hyperlink>
      <w:r>
        <w:t xml:space="preserve"> Linux kernel documentation. Extensible Scheduler Class. Reference for sched_ext policy experiments and fallback behavior.</w:t>
      </w:r>
    </w:p>
    <w:p>
      <w:pPr>
        <w:spacing w:after="160"/>
      </w:pPr>
      <w:hyperlink r:id="rId14">
        <w:r>
          <w:rPr>
            <w:color w:val="244F70"/>
          </w:rPr>
          <w:t>Open primary source</w:t>
        </w:r>
      </w:hyperlink>
    </w:p>
    <w:p>
      <w:pPr>
        <w:keepNext/>
      </w:pPr>
      <w:r/>
      <w:hyperlink r:id="rId23">
        <w:r>
          <w:rPr>
            <w:color w:val="244F70"/>
          </w:rPr>
          <w:t>[S16]</w:t>
        </w:r>
      </w:hyperlink>
      <w:r>
        <w:t xml:space="preserve"> Intel. Core Ultra Desktop Processors Series 2 Product Brief. Supports the 200S desktop example of up to 13 NPU TOPS; do not generalize it to every Series 2 processor.</w:t>
      </w:r>
    </w:p>
    <w:p>
      <w:pPr>
        <w:spacing w:after="160"/>
      </w:pPr>
      <w:hyperlink r:id="rId23">
        <w:r>
          <w:rPr>
            <w:color w:val="244F70"/>
          </w:rPr>
          <w:t>Open primary source</w:t>
        </w:r>
      </w:hyperlink>
    </w:p>
    <w:p>
      <w:pPr>
        <w:keepNext/>
      </w:pPr>
      <w:r/>
      <w:hyperlink r:id="rId24">
        <w:r>
          <w:rPr>
            <w:color w:val="244F70"/>
          </w:rPr>
          <w:t>[S17]</w:t>
        </w:r>
      </w:hyperlink>
      <w:r>
        <w:t xml:space="preserve"> Intel. Core Ultra Processors Series 3 for Edge Overview. Supports up to 50 NPU TOPS and variation in memory and graphics across platform configurations.</w:t>
      </w:r>
    </w:p>
    <w:p>
      <w:pPr>
        <w:spacing w:after="160"/>
      </w:pPr>
      <w:hyperlink r:id="rId24">
        <w:r>
          <w:rPr>
            <w:color w:val="244F70"/>
          </w:rPr>
          <w:t>Open primary source</w:t>
        </w:r>
      </w:hyperlink>
    </w:p>
    <w:p>
      <w:pPr>
        <w:pStyle w:val="Heading1"/>
      </w:pPr>
      <w:r>
        <w:t>22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85" w:type="dxa"/>
          <w:bottom w:w="75" w:type="dxa"/>
          <w:right w:w="85" w:type="dxa"/>
        </w:tblCellMar>
      </w:tblPr>
      <w:tblGrid>
        <w:gridCol w:w="2376"/>
        <w:gridCol w:w="7704"/>
      </w:tblGrid>
      <w:tr>
        <w:trPr>
          <w:cantSplit/>
          <w:tblHeader/>
        </w:trPr>
        <w:tc>
          <w:tcPr>
            <w:tcW w:type="dxa" w:w="2376"/>
            <w:vAlign w:val="center"/>
            <w:shd w:fill="DCE6EE"/>
          </w:tcPr>
          <w:p>
            <w:pPr>
              <w:keepNext/>
              <w:spacing w:after="0" w:line="247" w:lineRule="auto"/>
            </w:pPr>
            <w:r>
              <w:rPr>
                <w:b/>
                <w:sz w:val="18"/>
              </w:rPr>
              <w:t>Term</w:t>
            </w:r>
          </w:p>
        </w:tc>
        <w:tc>
          <w:tcPr>
            <w:tcW w:type="dxa" w:w="7704"/>
            <w:vAlign w:val="center"/>
            <w:shd w:fill="DCE6EE"/>
          </w:tcPr>
          <w:p>
            <w:pPr>
              <w:keepNext/>
              <w:spacing w:after="0" w:line="247" w:lineRule="auto"/>
            </w:pPr>
            <w:r>
              <w:rPr>
                <w:b/>
                <w:sz w:val="18"/>
              </w:rPr>
              <w:t>Meaning</w:t>
            </w:r>
          </w:p>
        </w:tc>
      </w:tr>
      <w:tr>
        <w:trPr>
          <w:cantSplit/>
        </w:trPr>
        <w:tc>
          <w:tcPr>
            <w:tcW w:type="dxa" w:w="2376"/>
            <w:vAlign w:val="center"/>
            <w:shd w:fill="FFFFFF"/>
          </w:tcPr>
          <w:p>
            <w:pPr>
              <w:spacing w:after="0" w:line="247" w:lineRule="auto"/>
            </w:pPr>
            <w:r>
              <w:rPr>
                <w:sz w:val="18"/>
              </w:rPr>
              <w:t>ABI</w:t>
            </w:r>
          </w:p>
        </w:tc>
        <w:tc>
          <w:tcPr>
            <w:tcW w:type="dxa" w:w="7704"/>
            <w:vAlign w:val="center"/>
            <w:shd w:fill="FFFFFF"/>
          </w:tcPr>
          <w:p>
            <w:pPr>
              <w:spacing w:after="0" w:line="247" w:lineRule="auto"/>
            </w:pPr>
            <w:r>
              <w:rPr>
                <w:sz w:val="18"/>
              </w:rPr>
              <w:t>Application binary interface defining how compiled components interact</w:t>
            </w:r>
          </w:p>
        </w:tc>
      </w:tr>
      <w:tr>
        <w:trPr>
          <w:cantSplit/>
        </w:trPr>
        <w:tc>
          <w:tcPr>
            <w:tcW w:type="dxa" w:w="2376"/>
            <w:vAlign w:val="center"/>
            <w:shd w:fill="F6F8FA"/>
          </w:tcPr>
          <w:p>
            <w:pPr>
              <w:spacing w:after="0" w:line="247" w:lineRule="auto"/>
            </w:pPr>
            <w:r>
              <w:rPr>
                <w:sz w:val="18"/>
              </w:rPr>
              <w:t>ACL</w:t>
            </w:r>
          </w:p>
        </w:tc>
        <w:tc>
          <w:tcPr>
            <w:tcW w:type="dxa" w:w="7704"/>
            <w:vAlign w:val="center"/>
            <w:shd w:fill="F6F8FA"/>
          </w:tcPr>
          <w:p>
            <w:pPr>
              <w:spacing w:after="0" w:line="247" w:lineRule="auto"/>
            </w:pPr>
            <w:r>
              <w:rPr>
                <w:sz w:val="18"/>
              </w:rPr>
              <w:t>Access control list defining access rights for principals</w:t>
            </w:r>
          </w:p>
        </w:tc>
      </w:tr>
      <w:tr>
        <w:trPr>
          <w:cantSplit/>
        </w:trPr>
        <w:tc>
          <w:tcPr>
            <w:tcW w:type="dxa" w:w="2376"/>
            <w:vAlign w:val="center"/>
            <w:shd w:fill="FFFFFF"/>
          </w:tcPr>
          <w:p>
            <w:pPr>
              <w:spacing w:after="0" w:line="247" w:lineRule="auto"/>
            </w:pPr>
            <w:r>
              <w:rPr>
                <w:sz w:val="18"/>
              </w:rPr>
              <w:t>ARM64</w:t>
            </w:r>
          </w:p>
        </w:tc>
        <w:tc>
          <w:tcPr>
            <w:tcW w:type="dxa" w:w="7704"/>
            <w:vAlign w:val="center"/>
            <w:shd w:fill="FFFFFF"/>
          </w:tcPr>
          <w:p>
            <w:pPr>
              <w:spacing w:after="0" w:line="247" w:lineRule="auto"/>
            </w:pPr>
            <w:r>
              <w:rPr>
                <w:sz w:val="18"/>
              </w:rPr>
              <w:t>64-bit Arm instruction-set architecture used by Snapdragon PCs</w:t>
            </w:r>
          </w:p>
        </w:tc>
      </w:tr>
      <w:tr>
        <w:trPr>
          <w:cantSplit/>
        </w:trPr>
        <w:tc>
          <w:tcPr>
            <w:tcW w:type="dxa" w:w="2376"/>
            <w:vAlign w:val="center"/>
            <w:shd w:fill="F6F8FA"/>
          </w:tcPr>
          <w:p>
            <w:pPr>
              <w:spacing w:after="0" w:line="247" w:lineRule="auto"/>
            </w:pPr>
            <w:r>
              <w:rPr>
                <w:sz w:val="18"/>
              </w:rPr>
              <w:t>BPF</w:t>
            </w:r>
          </w:p>
        </w:tc>
        <w:tc>
          <w:tcPr>
            <w:tcW w:type="dxa" w:w="7704"/>
            <w:vAlign w:val="center"/>
            <w:shd w:fill="F6F8FA"/>
          </w:tcPr>
          <w:p>
            <w:pPr>
              <w:spacing w:after="0" w:line="247" w:lineRule="auto"/>
            </w:pPr>
            <w:r>
              <w:rPr>
                <w:sz w:val="18"/>
              </w:rPr>
              <w:t>Verified bytecode mechanism used for selected kernel extensions</w:t>
            </w:r>
          </w:p>
        </w:tc>
      </w:tr>
      <w:tr>
        <w:trPr>
          <w:cantSplit/>
        </w:trPr>
        <w:tc>
          <w:tcPr>
            <w:tcW w:type="dxa" w:w="2376"/>
            <w:vAlign w:val="center"/>
            <w:shd w:fill="FFFFFF"/>
          </w:tcPr>
          <w:p>
            <w:pPr>
              <w:spacing w:after="0" w:line="247" w:lineRule="auto"/>
            </w:pPr>
            <w:r>
              <w:rPr>
                <w:sz w:val="18"/>
              </w:rPr>
              <w:t>BSP</w:t>
            </w:r>
          </w:p>
        </w:tc>
        <w:tc>
          <w:tcPr>
            <w:tcW w:type="dxa" w:w="7704"/>
            <w:vAlign w:val="center"/>
            <w:shd w:fill="FFFFFF"/>
          </w:tcPr>
          <w:p>
            <w:pPr>
              <w:spacing w:after="0" w:line="247" w:lineRule="auto"/>
            </w:pPr>
            <w:r>
              <w:rPr>
                <w:sz w:val="18"/>
              </w:rPr>
              <w:t>Board support package containing platform-specific firmware and software</w:t>
            </w:r>
          </w:p>
        </w:tc>
      </w:tr>
      <w:tr>
        <w:trPr>
          <w:cantSplit/>
        </w:trPr>
        <w:tc>
          <w:tcPr>
            <w:tcW w:type="dxa" w:w="2376"/>
            <w:vAlign w:val="center"/>
            <w:shd w:fill="F6F8FA"/>
          </w:tcPr>
          <w:p>
            <w:pPr>
              <w:spacing w:after="0" w:line="247" w:lineRule="auto"/>
            </w:pPr>
            <w:r>
              <w:rPr>
                <w:sz w:val="18"/>
              </w:rPr>
              <w:t>Capability</w:t>
            </w:r>
          </w:p>
        </w:tc>
        <w:tc>
          <w:tcPr>
            <w:tcW w:type="dxa" w:w="7704"/>
            <w:vAlign w:val="center"/>
            <w:shd w:fill="F6F8FA"/>
          </w:tcPr>
          <w:p>
            <w:pPr>
              <w:spacing w:after="0" w:line="247" w:lineRule="auto"/>
            </w:pPr>
            <w:r>
              <w:rPr>
                <w:sz w:val="18"/>
              </w:rPr>
              <w:t>Restricted authority to perform an operation on specified resources</w:t>
            </w:r>
          </w:p>
        </w:tc>
      </w:tr>
      <w:tr>
        <w:trPr>
          <w:cantSplit/>
        </w:trPr>
        <w:tc>
          <w:tcPr>
            <w:tcW w:type="dxa" w:w="2376"/>
            <w:vAlign w:val="center"/>
            <w:shd w:fill="FFFFFF"/>
          </w:tcPr>
          <w:p>
            <w:pPr>
              <w:spacing w:after="0" w:line="247" w:lineRule="auto"/>
            </w:pPr>
            <w:r>
              <w:rPr>
                <w:sz w:val="18"/>
              </w:rPr>
              <w:t>cgroup</w:t>
            </w:r>
          </w:p>
        </w:tc>
        <w:tc>
          <w:tcPr>
            <w:tcW w:type="dxa" w:w="7704"/>
            <w:vAlign w:val="center"/>
            <w:shd w:fill="FFFFFF"/>
          </w:tcPr>
          <w:p>
            <w:pPr>
              <w:spacing w:after="0" w:line="247" w:lineRule="auto"/>
            </w:pPr>
            <w:r>
              <w:rPr>
                <w:sz w:val="18"/>
              </w:rPr>
              <w:t>Linux resource-control group for processes</w:t>
            </w:r>
          </w:p>
        </w:tc>
      </w:tr>
      <w:tr>
        <w:trPr>
          <w:cantSplit/>
        </w:trPr>
        <w:tc>
          <w:tcPr>
            <w:tcW w:type="dxa" w:w="2376"/>
            <w:vAlign w:val="center"/>
            <w:shd w:fill="F6F8FA"/>
          </w:tcPr>
          <w:p>
            <w:pPr>
              <w:spacing w:after="0" w:line="247" w:lineRule="auto"/>
            </w:pPr>
            <w:r>
              <w:rPr>
                <w:sz w:val="18"/>
              </w:rPr>
              <w:t>DAG</w:t>
            </w:r>
          </w:p>
        </w:tc>
        <w:tc>
          <w:tcPr>
            <w:tcW w:type="dxa" w:w="7704"/>
            <w:vAlign w:val="center"/>
            <w:shd w:fill="F6F8FA"/>
          </w:tcPr>
          <w:p>
            <w:pPr>
              <w:spacing w:after="0" w:line="247" w:lineRule="auto"/>
            </w:pPr>
            <w:r>
              <w:rPr>
                <w:sz w:val="18"/>
              </w:rPr>
              <w:t>Directed acyclic graph describing workflow dependencies</w:t>
            </w:r>
          </w:p>
        </w:tc>
      </w:tr>
      <w:tr>
        <w:trPr>
          <w:cantSplit/>
        </w:trPr>
        <w:tc>
          <w:tcPr>
            <w:tcW w:type="dxa" w:w="2376"/>
            <w:vAlign w:val="center"/>
            <w:shd w:fill="FFFFFF"/>
          </w:tcPr>
          <w:p>
            <w:pPr>
              <w:spacing w:after="0" w:line="247" w:lineRule="auto"/>
            </w:pPr>
            <w:r>
              <w:rPr>
                <w:sz w:val="18"/>
              </w:rPr>
              <w:t>DMA</w:t>
            </w:r>
          </w:p>
        </w:tc>
        <w:tc>
          <w:tcPr>
            <w:tcW w:type="dxa" w:w="7704"/>
            <w:vAlign w:val="center"/>
            <w:shd w:fill="FFFFFF"/>
          </w:tcPr>
          <w:p>
            <w:pPr>
              <w:spacing w:after="0" w:line="247" w:lineRule="auto"/>
            </w:pPr>
            <w:r>
              <w:rPr>
                <w:sz w:val="18"/>
              </w:rPr>
              <w:t>Direct memory access performed by a device</w:t>
            </w:r>
          </w:p>
        </w:tc>
      </w:tr>
      <w:tr>
        <w:trPr>
          <w:cantSplit/>
        </w:trPr>
        <w:tc>
          <w:tcPr>
            <w:tcW w:type="dxa" w:w="2376"/>
            <w:vAlign w:val="center"/>
            <w:shd w:fill="F6F8FA"/>
          </w:tcPr>
          <w:p>
            <w:pPr>
              <w:spacing w:after="0" w:line="247" w:lineRule="auto"/>
            </w:pPr>
            <w:r>
              <w:rPr>
                <w:sz w:val="18"/>
              </w:rPr>
              <w:t>DRM</w:t>
            </w:r>
          </w:p>
        </w:tc>
        <w:tc>
          <w:tcPr>
            <w:tcW w:type="dxa" w:w="7704"/>
            <w:vAlign w:val="center"/>
            <w:shd w:fill="F6F8FA"/>
          </w:tcPr>
          <w:p>
            <w:pPr>
              <w:spacing w:after="0" w:line="247" w:lineRule="auto"/>
            </w:pPr>
            <w:r>
              <w:rPr>
                <w:sz w:val="18"/>
              </w:rPr>
              <w:t>Direct Rendering Manager in Linux graphics; also used elsewhere for digital rights management</w:t>
            </w:r>
          </w:p>
        </w:tc>
      </w:tr>
      <w:tr>
        <w:trPr>
          <w:cantSplit/>
        </w:trPr>
        <w:tc>
          <w:tcPr>
            <w:tcW w:type="dxa" w:w="2376"/>
            <w:vAlign w:val="center"/>
            <w:shd w:fill="FFFFFF"/>
          </w:tcPr>
          <w:p>
            <w:pPr>
              <w:spacing w:after="0" w:line="247" w:lineRule="auto"/>
            </w:pPr>
            <w:r>
              <w:rPr>
                <w:sz w:val="18"/>
              </w:rPr>
              <w:t>FP16</w:t>
            </w:r>
          </w:p>
        </w:tc>
        <w:tc>
          <w:tcPr>
            <w:tcW w:type="dxa" w:w="7704"/>
            <w:vAlign w:val="center"/>
            <w:shd w:fill="FFFFFF"/>
          </w:tcPr>
          <w:p>
            <w:pPr>
              <w:spacing w:after="0" w:line="247" w:lineRule="auto"/>
            </w:pPr>
            <w:r>
              <w:rPr>
                <w:sz w:val="18"/>
              </w:rPr>
              <w:t>16-bit floating-point representation</w:t>
            </w:r>
          </w:p>
        </w:tc>
      </w:tr>
      <w:tr>
        <w:trPr>
          <w:cantSplit/>
        </w:trPr>
        <w:tc>
          <w:tcPr>
            <w:tcW w:type="dxa" w:w="2376"/>
            <w:vAlign w:val="center"/>
            <w:shd w:fill="F6F8FA"/>
          </w:tcPr>
          <w:p>
            <w:pPr>
              <w:spacing w:after="0" w:line="247" w:lineRule="auto"/>
            </w:pPr>
            <w:r>
              <w:rPr>
                <w:sz w:val="18"/>
              </w:rPr>
              <w:t>GB and GiB</w:t>
            </w:r>
          </w:p>
        </w:tc>
        <w:tc>
          <w:tcPr>
            <w:tcW w:type="dxa" w:w="7704"/>
            <w:vAlign w:val="center"/>
            <w:shd w:fill="F6F8FA"/>
          </w:tcPr>
          <w:p>
            <w:pPr>
              <w:spacing w:after="0" w:line="247" w:lineRule="auto"/>
            </w:pPr>
            <w:r>
              <w:rPr>
                <w:sz w:val="18"/>
              </w:rPr>
              <w:t>Decimal billion bytes and binary 1,073,741,824 bytes respectively</w:t>
            </w:r>
          </w:p>
        </w:tc>
      </w:tr>
      <w:tr>
        <w:trPr>
          <w:cantSplit/>
        </w:trPr>
        <w:tc>
          <w:tcPr>
            <w:tcW w:type="dxa" w:w="2376"/>
            <w:vAlign w:val="center"/>
            <w:shd w:fill="FFFFFF"/>
          </w:tcPr>
          <w:p>
            <w:pPr>
              <w:spacing w:after="0" w:line="247" w:lineRule="auto"/>
            </w:pPr>
            <w:r>
              <w:rPr>
                <w:sz w:val="18"/>
              </w:rPr>
              <w:t>GGUF</w:t>
            </w:r>
          </w:p>
        </w:tc>
        <w:tc>
          <w:tcPr>
            <w:tcW w:type="dxa" w:w="7704"/>
            <w:vAlign w:val="center"/>
            <w:shd w:fill="FFFFFF"/>
          </w:tcPr>
          <w:p>
            <w:pPr>
              <w:spacing w:after="0" w:line="247" w:lineRule="auto"/>
            </w:pPr>
            <w:r>
              <w:rPr>
                <w:sz w:val="18"/>
              </w:rPr>
              <w:t>Model file format commonly used with llama.cpp</w:t>
            </w:r>
          </w:p>
        </w:tc>
      </w:tr>
      <w:tr>
        <w:trPr>
          <w:cantSplit/>
        </w:trPr>
        <w:tc>
          <w:tcPr>
            <w:tcW w:type="dxa" w:w="2376"/>
            <w:vAlign w:val="center"/>
            <w:shd w:fill="F6F8FA"/>
          </w:tcPr>
          <w:p>
            <w:pPr>
              <w:spacing w:after="0" w:line="247" w:lineRule="auto"/>
            </w:pPr>
            <w:r>
              <w:rPr>
                <w:sz w:val="18"/>
              </w:rPr>
              <w:t>GQA</w:t>
            </w:r>
          </w:p>
        </w:tc>
        <w:tc>
          <w:tcPr>
            <w:tcW w:type="dxa" w:w="7704"/>
            <w:vAlign w:val="center"/>
            <w:shd w:fill="F6F8FA"/>
          </w:tcPr>
          <w:p>
            <w:pPr>
              <w:spacing w:after="0" w:line="247" w:lineRule="auto"/>
            </w:pPr>
            <w:r>
              <w:rPr>
                <w:sz w:val="18"/>
              </w:rPr>
              <w:t>Grouped-query attention using fewer key/value heads than query heads</w:t>
            </w:r>
          </w:p>
        </w:tc>
      </w:tr>
      <w:tr>
        <w:trPr>
          <w:cantSplit/>
        </w:trPr>
        <w:tc>
          <w:tcPr>
            <w:tcW w:type="dxa" w:w="2376"/>
            <w:vAlign w:val="center"/>
            <w:shd w:fill="FFFFFF"/>
          </w:tcPr>
          <w:p>
            <w:pPr>
              <w:spacing w:after="0" w:line="247" w:lineRule="auto"/>
            </w:pPr>
            <w:r>
              <w:rPr>
                <w:sz w:val="18"/>
              </w:rPr>
              <w:t>HLD</w:t>
            </w:r>
          </w:p>
        </w:tc>
        <w:tc>
          <w:tcPr>
            <w:tcW w:type="dxa" w:w="7704"/>
            <w:vAlign w:val="center"/>
            <w:shd w:fill="FFFFFF"/>
          </w:tcPr>
          <w:p>
            <w:pPr>
              <w:spacing w:after="0" w:line="247" w:lineRule="auto"/>
            </w:pPr>
            <w:r>
              <w:rPr>
                <w:sz w:val="18"/>
              </w:rPr>
              <w:t>High level design describing components and their relationships</w:t>
            </w:r>
          </w:p>
        </w:tc>
      </w:tr>
      <w:tr>
        <w:trPr>
          <w:cantSplit/>
        </w:trPr>
        <w:tc>
          <w:tcPr>
            <w:tcW w:type="dxa" w:w="2376"/>
            <w:vAlign w:val="center"/>
            <w:shd w:fill="F6F8FA"/>
          </w:tcPr>
          <w:p>
            <w:pPr>
              <w:spacing w:after="0" w:line="247" w:lineRule="auto"/>
            </w:pPr>
            <w:r>
              <w:rPr>
                <w:sz w:val="18"/>
              </w:rPr>
              <w:t>INT4 and INT8</w:t>
            </w:r>
          </w:p>
        </w:tc>
        <w:tc>
          <w:tcPr>
            <w:tcW w:type="dxa" w:w="7704"/>
            <w:vAlign w:val="center"/>
            <w:shd w:fill="F6F8FA"/>
          </w:tcPr>
          <w:p>
            <w:pPr>
              <w:spacing w:after="0" w:line="247" w:lineRule="auto"/>
            </w:pPr>
            <w:r>
              <w:rPr>
                <w:sz w:val="18"/>
              </w:rPr>
              <w:t>Four-bit and eight-bit integer representations</w:t>
            </w:r>
          </w:p>
        </w:tc>
      </w:tr>
      <w:tr>
        <w:trPr>
          <w:cantSplit/>
        </w:trPr>
        <w:tc>
          <w:tcPr>
            <w:tcW w:type="dxa" w:w="2376"/>
            <w:vAlign w:val="center"/>
            <w:shd w:fill="FFFFFF"/>
          </w:tcPr>
          <w:p>
            <w:pPr>
              <w:spacing w:after="0" w:line="247" w:lineRule="auto"/>
            </w:pPr>
            <w:r>
              <w:rPr>
                <w:sz w:val="18"/>
              </w:rPr>
              <w:t>IOMMU</w:t>
            </w:r>
          </w:p>
        </w:tc>
        <w:tc>
          <w:tcPr>
            <w:tcW w:type="dxa" w:w="7704"/>
            <w:vAlign w:val="center"/>
            <w:shd w:fill="FFFFFF"/>
          </w:tcPr>
          <w:p>
            <w:pPr>
              <w:spacing w:after="0" w:line="247" w:lineRule="auto"/>
            </w:pPr>
            <w:r>
              <w:rPr>
                <w:sz w:val="18"/>
              </w:rPr>
              <w:t>Hardware unit restricting and translating device memory access</w:t>
            </w:r>
          </w:p>
        </w:tc>
      </w:tr>
      <w:tr>
        <w:trPr>
          <w:cantSplit/>
        </w:trPr>
        <w:tc>
          <w:tcPr>
            <w:tcW w:type="dxa" w:w="2376"/>
            <w:vAlign w:val="center"/>
            <w:shd w:fill="F6F8FA"/>
          </w:tcPr>
          <w:p>
            <w:pPr>
              <w:spacing w:after="0" w:line="247" w:lineRule="auto"/>
            </w:pPr>
            <w:r>
              <w:rPr>
                <w:sz w:val="18"/>
              </w:rPr>
              <w:t>IPC</w:t>
            </w:r>
          </w:p>
        </w:tc>
        <w:tc>
          <w:tcPr>
            <w:tcW w:type="dxa" w:w="7704"/>
            <w:vAlign w:val="center"/>
            <w:shd w:fill="F6F8FA"/>
          </w:tcPr>
          <w:p>
            <w:pPr>
              <w:spacing w:after="0" w:line="247" w:lineRule="auto"/>
            </w:pPr>
            <w:r>
              <w:rPr>
                <w:sz w:val="18"/>
              </w:rPr>
              <w:t>Interprocess communication</w:t>
            </w:r>
          </w:p>
        </w:tc>
      </w:tr>
      <w:tr>
        <w:trPr>
          <w:cantSplit/>
        </w:trPr>
        <w:tc>
          <w:tcPr>
            <w:tcW w:type="dxa" w:w="2376"/>
            <w:vAlign w:val="center"/>
            <w:shd w:fill="FFFFFF"/>
          </w:tcPr>
          <w:p>
            <w:pPr>
              <w:spacing w:after="0" w:line="247" w:lineRule="auto"/>
            </w:pPr>
            <w:r>
              <w:rPr>
                <w:sz w:val="18"/>
              </w:rPr>
              <w:t>KV cache</w:t>
            </w:r>
          </w:p>
        </w:tc>
        <w:tc>
          <w:tcPr>
            <w:tcW w:type="dxa" w:w="7704"/>
            <w:vAlign w:val="center"/>
            <w:shd w:fill="FFFFFF"/>
          </w:tcPr>
          <w:p>
            <w:pPr>
              <w:spacing w:after="0" w:line="247" w:lineRule="auto"/>
            </w:pPr>
            <w:r>
              <w:rPr>
                <w:sz w:val="18"/>
              </w:rPr>
              <w:t>Stored attention keys and values used during autoregressive inference</w:t>
            </w:r>
          </w:p>
        </w:tc>
      </w:tr>
      <w:tr>
        <w:trPr>
          <w:cantSplit/>
        </w:trPr>
        <w:tc>
          <w:tcPr>
            <w:tcW w:type="dxa" w:w="2376"/>
            <w:vAlign w:val="center"/>
            <w:shd w:fill="F6F8FA"/>
          </w:tcPr>
          <w:p>
            <w:pPr>
              <w:spacing w:after="0" w:line="247" w:lineRule="auto"/>
            </w:pPr>
            <w:r>
              <w:rPr>
                <w:sz w:val="18"/>
              </w:rPr>
              <w:t>LLD</w:t>
            </w:r>
          </w:p>
        </w:tc>
        <w:tc>
          <w:tcPr>
            <w:tcW w:type="dxa" w:w="7704"/>
            <w:vAlign w:val="center"/>
            <w:shd w:fill="F6F8FA"/>
          </w:tcPr>
          <w:p>
            <w:pPr>
              <w:spacing w:after="0" w:line="247" w:lineRule="auto"/>
            </w:pPr>
            <w:r>
              <w:rPr>
                <w:sz w:val="18"/>
              </w:rPr>
              <w:t>Low level design specifying interfaces, data structures and algorithms</w:t>
            </w:r>
          </w:p>
        </w:tc>
      </w:tr>
      <w:tr>
        <w:trPr>
          <w:cantSplit/>
        </w:trPr>
        <w:tc>
          <w:tcPr>
            <w:tcW w:type="dxa" w:w="2376"/>
            <w:vAlign w:val="center"/>
            <w:shd w:fill="FFFFFF"/>
          </w:tcPr>
          <w:p>
            <w:pPr>
              <w:spacing w:after="0" w:line="247" w:lineRule="auto"/>
            </w:pPr>
            <w:r>
              <w:rPr>
                <w:sz w:val="18"/>
              </w:rPr>
              <w:t>LLM</w:t>
            </w:r>
          </w:p>
        </w:tc>
        <w:tc>
          <w:tcPr>
            <w:tcW w:type="dxa" w:w="7704"/>
            <w:vAlign w:val="center"/>
            <w:shd w:fill="FFFFFF"/>
          </w:tcPr>
          <w:p>
            <w:pPr>
              <w:spacing w:after="0" w:line="247" w:lineRule="auto"/>
            </w:pPr>
            <w:r>
              <w:rPr>
                <w:sz w:val="18"/>
              </w:rPr>
              <w:t>Large language model</w:t>
            </w:r>
          </w:p>
        </w:tc>
      </w:tr>
      <w:tr>
        <w:trPr>
          <w:cantSplit/>
        </w:trPr>
        <w:tc>
          <w:tcPr>
            <w:tcW w:type="dxa" w:w="2376"/>
            <w:vAlign w:val="center"/>
            <w:shd w:fill="F6F8FA"/>
          </w:tcPr>
          <w:p>
            <w:pPr>
              <w:spacing w:after="0" w:line="247" w:lineRule="auto"/>
            </w:pPr>
            <w:r>
              <w:rPr>
                <w:sz w:val="18"/>
              </w:rPr>
              <w:t>MMIO</w:t>
            </w:r>
          </w:p>
        </w:tc>
        <w:tc>
          <w:tcPr>
            <w:tcW w:type="dxa" w:w="7704"/>
            <w:vAlign w:val="center"/>
            <w:shd w:fill="F6F8FA"/>
          </w:tcPr>
          <w:p>
            <w:pPr>
              <w:spacing w:after="0" w:line="247" w:lineRule="auto"/>
            </w:pPr>
            <w:r>
              <w:rPr>
                <w:sz w:val="18"/>
              </w:rPr>
              <w:t>Memory-mapped device input and output registers</w:t>
            </w:r>
          </w:p>
        </w:tc>
      </w:tr>
      <w:tr>
        <w:trPr>
          <w:cantSplit/>
        </w:trPr>
        <w:tc>
          <w:tcPr>
            <w:tcW w:type="dxa" w:w="2376"/>
            <w:vAlign w:val="center"/>
            <w:shd w:fill="FFFFFF"/>
          </w:tcPr>
          <w:p>
            <w:pPr>
              <w:spacing w:after="0" w:line="247" w:lineRule="auto"/>
            </w:pPr>
            <w:r>
              <w:rPr>
                <w:sz w:val="18"/>
              </w:rPr>
              <w:t>MoE</w:t>
            </w:r>
          </w:p>
        </w:tc>
        <w:tc>
          <w:tcPr>
            <w:tcW w:type="dxa" w:w="7704"/>
            <w:vAlign w:val="center"/>
            <w:shd w:fill="FFFFFF"/>
          </w:tcPr>
          <w:p>
            <w:pPr>
              <w:spacing w:after="0" w:line="247" w:lineRule="auto"/>
            </w:pPr>
            <w:r>
              <w:rPr>
                <w:sz w:val="18"/>
              </w:rPr>
              <w:t>Mixture of experts model architecture</w:t>
            </w:r>
          </w:p>
        </w:tc>
      </w:tr>
      <w:tr>
        <w:trPr>
          <w:cantSplit/>
        </w:trPr>
        <w:tc>
          <w:tcPr>
            <w:tcW w:type="dxa" w:w="2376"/>
            <w:vAlign w:val="center"/>
            <w:shd w:fill="F6F8FA"/>
          </w:tcPr>
          <w:p>
            <w:pPr>
              <w:spacing w:after="0" w:line="247" w:lineRule="auto"/>
            </w:pPr>
            <w:r>
              <w:rPr>
                <w:sz w:val="18"/>
              </w:rPr>
              <w:t>NPU</w:t>
            </w:r>
          </w:p>
        </w:tc>
        <w:tc>
          <w:tcPr>
            <w:tcW w:type="dxa" w:w="7704"/>
            <w:vAlign w:val="center"/>
            <w:shd w:fill="F6F8FA"/>
          </w:tcPr>
          <w:p>
            <w:pPr>
              <w:spacing w:after="0" w:line="247" w:lineRule="auto"/>
            </w:pPr>
            <w:r>
              <w:rPr>
                <w:sz w:val="18"/>
              </w:rPr>
              <w:t>Neural processing unit</w:t>
            </w:r>
          </w:p>
        </w:tc>
      </w:tr>
      <w:tr>
        <w:trPr>
          <w:cantSplit/>
        </w:trPr>
        <w:tc>
          <w:tcPr>
            <w:tcW w:type="dxa" w:w="2376"/>
            <w:vAlign w:val="center"/>
            <w:shd w:fill="FFFFFF"/>
          </w:tcPr>
          <w:p>
            <w:pPr>
              <w:spacing w:after="0" w:line="247" w:lineRule="auto"/>
            </w:pPr>
            <w:r>
              <w:rPr>
                <w:sz w:val="18"/>
              </w:rPr>
              <w:t>OOM</w:t>
            </w:r>
          </w:p>
        </w:tc>
        <w:tc>
          <w:tcPr>
            <w:tcW w:type="dxa" w:w="7704"/>
            <w:vAlign w:val="center"/>
            <w:shd w:fill="FFFFFF"/>
          </w:tcPr>
          <w:p>
            <w:pPr>
              <w:spacing w:after="0" w:line="247" w:lineRule="auto"/>
            </w:pPr>
            <w:r>
              <w:rPr>
                <w:sz w:val="18"/>
              </w:rPr>
              <w:t>Out of memory condition</w:t>
            </w:r>
          </w:p>
        </w:tc>
      </w:tr>
      <w:tr>
        <w:trPr>
          <w:cantSplit/>
        </w:trPr>
        <w:tc>
          <w:tcPr>
            <w:tcW w:type="dxa" w:w="2376"/>
            <w:vAlign w:val="center"/>
            <w:shd w:fill="F6F8FA"/>
          </w:tcPr>
          <w:p>
            <w:pPr>
              <w:spacing w:after="0" w:line="247" w:lineRule="auto"/>
            </w:pPr>
            <w:r>
              <w:rPr>
                <w:sz w:val="18"/>
              </w:rPr>
              <w:t>POSIX</w:t>
            </w:r>
          </w:p>
        </w:tc>
        <w:tc>
          <w:tcPr>
            <w:tcW w:type="dxa" w:w="7704"/>
            <w:vAlign w:val="center"/>
            <w:shd w:fill="F6F8FA"/>
          </w:tcPr>
          <w:p>
            <w:pPr>
              <w:spacing w:after="0" w:line="247" w:lineRule="auto"/>
            </w:pPr>
            <w:r>
              <w:rPr>
                <w:sz w:val="18"/>
              </w:rPr>
              <w:t>Family of operating-system interface standards</w:t>
            </w:r>
          </w:p>
        </w:tc>
      </w:tr>
      <w:tr>
        <w:trPr>
          <w:cantSplit/>
        </w:trPr>
        <w:tc>
          <w:tcPr>
            <w:tcW w:type="dxa" w:w="2376"/>
            <w:vAlign w:val="center"/>
            <w:shd w:fill="FFFFFF"/>
          </w:tcPr>
          <w:p>
            <w:pPr>
              <w:spacing w:after="0" w:line="247" w:lineRule="auto"/>
            </w:pPr>
            <w:r>
              <w:rPr>
                <w:sz w:val="18"/>
              </w:rPr>
              <w:t>Prefill and decode</w:t>
            </w:r>
          </w:p>
        </w:tc>
        <w:tc>
          <w:tcPr>
            <w:tcW w:type="dxa" w:w="7704"/>
            <w:vAlign w:val="center"/>
            <w:shd w:fill="FFFFFF"/>
          </w:tcPr>
          <w:p>
            <w:pPr>
              <w:spacing w:after="0" w:line="247" w:lineRule="auto"/>
            </w:pPr>
            <w:r>
              <w:rPr>
                <w:sz w:val="18"/>
              </w:rPr>
              <w:t>Processing input tokens and then generating output tokens</w:t>
            </w:r>
          </w:p>
        </w:tc>
      </w:tr>
      <w:tr>
        <w:trPr>
          <w:cantSplit/>
        </w:trPr>
        <w:tc>
          <w:tcPr>
            <w:tcW w:type="dxa" w:w="2376"/>
            <w:vAlign w:val="center"/>
            <w:shd w:fill="F6F8FA"/>
          </w:tcPr>
          <w:p>
            <w:pPr>
              <w:spacing w:after="0" w:line="247" w:lineRule="auto"/>
            </w:pPr>
            <w:r>
              <w:rPr>
                <w:sz w:val="18"/>
              </w:rPr>
              <w:t>RPC</w:t>
            </w:r>
          </w:p>
        </w:tc>
        <w:tc>
          <w:tcPr>
            <w:tcW w:type="dxa" w:w="7704"/>
            <w:vAlign w:val="center"/>
            <w:shd w:fill="F6F8FA"/>
          </w:tcPr>
          <w:p>
            <w:pPr>
              <w:spacing w:after="0" w:line="247" w:lineRule="auto"/>
            </w:pPr>
            <w:r>
              <w:rPr>
                <w:sz w:val="18"/>
              </w:rPr>
              <w:t>Remote procedure call, also used for local service interfaces</w:t>
            </w:r>
          </w:p>
        </w:tc>
      </w:tr>
      <w:tr>
        <w:trPr>
          <w:cantSplit/>
        </w:trPr>
        <w:tc>
          <w:tcPr>
            <w:tcW w:type="dxa" w:w="2376"/>
            <w:vAlign w:val="center"/>
            <w:shd w:fill="FFFFFF"/>
          </w:tcPr>
          <w:p>
            <w:pPr>
              <w:spacing w:after="0" w:line="247" w:lineRule="auto"/>
            </w:pPr>
            <w:r>
              <w:rPr>
                <w:sz w:val="18"/>
              </w:rPr>
              <w:t>SBOM</w:t>
            </w:r>
          </w:p>
        </w:tc>
        <w:tc>
          <w:tcPr>
            <w:tcW w:type="dxa" w:w="7704"/>
            <w:vAlign w:val="center"/>
            <w:shd w:fill="FFFFFF"/>
          </w:tcPr>
          <w:p>
            <w:pPr>
              <w:spacing w:after="0" w:line="247" w:lineRule="auto"/>
            </w:pPr>
            <w:r>
              <w:rPr>
                <w:sz w:val="18"/>
              </w:rPr>
              <w:t>Software bill of materials</w:t>
            </w:r>
          </w:p>
        </w:tc>
      </w:tr>
      <w:tr>
        <w:trPr>
          <w:cantSplit/>
        </w:trPr>
        <w:tc>
          <w:tcPr>
            <w:tcW w:type="dxa" w:w="2376"/>
            <w:vAlign w:val="center"/>
            <w:shd w:fill="F6F8FA"/>
          </w:tcPr>
          <w:p>
            <w:pPr>
              <w:spacing w:after="0" w:line="247" w:lineRule="auto"/>
            </w:pPr>
            <w:r>
              <w:rPr>
                <w:sz w:val="18"/>
              </w:rPr>
              <w:t>SKU</w:t>
            </w:r>
          </w:p>
        </w:tc>
        <w:tc>
          <w:tcPr>
            <w:tcW w:type="dxa" w:w="7704"/>
            <w:vAlign w:val="center"/>
            <w:shd w:fill="F6F8FA"/>
          </w:tcPr>
          <w:p>
            <w:pPr>
              <w:spacing w:after="0" w:line="247" w:lineRule="auto"/>
            </w:pPr>
            <w:r>
              <w:rPr>
                <w:sz w:val="18"/>
              </w:rPr>
              <w:t>Specific product or processor variant</w:t>
            </w:r>
          </w:p>
        </w:tc>
      </w:tr>
      <w:tr>
        <w:trPr>
          <w:cantSplit/>
        </w:trPr>
        <w:tc>
          <w:tcPr>
            <w:tcW w:type="dxa" w:w="2376"/>
            <w:vAlign w:val="center"/>
            <w:shd w:fill="FFFFFF"/>
          </w:tcPr>
          <w:p>
            <w:pPr>
              <w:spacing w:after="0" w:line="247" w:lineRule="auto"/>
            </w:pPr>
            <w:r>
              <w:rPr>
                <w:sz w:val="18"/>
              </w:rPr>
              <w:t>TOPS</w:t>
            </w:r>
          </w:p>
        </w:tc>
        <w:tc>
          <w:tcPr>
            <w:tcW w:type="dxa" w:w="7704"/>
            <w:vAlign w:val="center"/>
            <w:shd w:fill="FFFFFF"/>
          </w:tcPr>
          <w:p>
            <w:pPr>
              <w:spacing w:after="0" w:line="247" w:lineRule="auto"/>
            </w:pPr>
            <w:r>
              <w:rPr>
                <w:sz w:val="18"/>
              </w:rPr>
              <w:t>Trillion operations per second at a specified precision and counting convention</w:t>
            </w:r>
          </w:p>
        </w:tc>
      </w:tr>
      <w:tr>
        <w:trPr>
          <w:cantSplit/>
        </w:trPr>
        <w:tc>
          <w:tcPr>
            <w:tcW w:type="dxa" w:w="2376"/>
            <w:vAlign w:val="center"/>
            <w:shd w:fill="F6F8FA"/>
          </w:tcPr>
          <w:p>
            <w:pPr>
              <w:spacing w:after="0" w:line="247" w:lineRule="auto"/>
            </w:pPr>
            <w:r>
              <w:rPr>
                <w:sz w:val="18"/>
              </w:rPr>
              <w:t>TPM</w:t>
            </w:r>
          </w:p>
        </w:tc>
        <w:tc>
          <w:tcPr>
            <w:tcW w:type="dxa" w:w="7704"/>
            <w:vAlign w:val="center"/>
            <w:shd w:fill="F6F8FA"/>
          </w:tcPr>
          <w:p>
            <w:pPr>
              <w:spacing w:after="0" w:line="247" w:lineRule="auto"/>
            </w:pPr>
            <w:r>
              <w:rPr>
                <w:sz w:val="18"/>
              </w:rPr>
              <w:t>Trusted Platform Module for protected keys and measurements</w:t>
            </w:r>
          </w:p>
        </w:tc>
      </w:tr>
      <w:tr>
        <w:trPr>
          <w:cantSplit/>
        </w:trPr>
        <w:tc>
          <w:tcPr>
            <w:tcW w:type="dxa" w:w="2376"/>
            <w:vAlign w:val="center"/>
            <w:shd w:fill="FFFFFF"/>
          </w:tcPr>
          <w:p>
            <w:pPr>
              <w:spacing w:after="0" w:line="247" w:lineRule="auto"/>
            </w:pPr>
            <w:r>
              <w:rPr>
                <w:sz w:val="18"/>
              </w:rPr>
              <w:t>UEFI</w:t>
            </w:r>
          </w:p>
        </w:tc>
        <w:tc>
          <w:tcPr>
            <w:tcW w:type="dxa" w:w="7704"/>
            <w:vAlign w:val="center"/>
            <w:shd w:fill="FFFFFF"/>
          </w:tcPr>
          <w:p>
            <w:pPr>
              <w:spacing w:after="0" w:line="247" w:lineRule="auto"/>
            </w:pPr>
            <w:r>
              <w:rPr>
                <w:sz w:val="18"/>
              </w:rPr>
              <w:t>Firmware interface used for modern PC boot</w:t>
            </w:r>
          </w:p>
        </w:tc>
      </w:tr>
      <w:tr>
        <w:trPr>
          <w:cantSplit/>
        </w:trPr>
        <w:tc>
          <w:tcPr>
            <w:tcW w:type="dxa" w:w="2376"/>
            <w:vAlign w:val="center"/>
            <w:shd w:fill="F6F8FA"/>
          </w:tcPr>
          <w:p>
            <w:pPr>
              <w:spacing w:after="0" w:line="247" w:lineRule="auto"/>
            </w:pPr>
            <w:r>
              <w:rPr>
                <w:sz w:val="18"/>
              </w:rPr>
              <w:t>VRAM</w:t>
            </w:r>
          </w:p>
        </w:tc>
        <w:tc>
          <w:tcPr>
            <w:tcW w:type="dxa" w:w="7704"/>
            <w:vAlign w:val="center"/>
            <w:shd w:fill="F6F8FA"/>
          </w:tcPr>
          <w:p>
            <w:pPr>
              <w:spacing w:after="0" w:line="247" w:lineRule="auto"/>
            </w:pPr>
            <w:r>
              <w:rPr>
                <w:sz w:val="18"/>
              </w:rPr>
              <w:t>Dedicated graphics memory</w:t>
            </w:r>
          </w:p>
        </w:tc>
      </w:tr>
      <w:tr>
        <w:trPr>
          <w:cantSplit/>
        </w:trPr>
        <w:tc>
          <w:tcPr>
            <w:tcW w:type="dxa" w:w="2376"/>
            <w:vAlign w:val="center"/>
            <w:shd w:fill="FFFFFF"/>
          </w:tcPr>
          <w:p>
            <w:pPr>
              <w:spacing w:after="0" w:line="247" w:lineRule="auto"/>
            </w:pPr>
            <w:r>
              <w:rPr>
                <w:sz w:val="18"/>
              </w:rPr>
              <w:t>WAL</w:t>
            </w:r>
          </w:p>
        </w:tc>
        <w:tc>
          <w:tcPr>
            <w:tcW w:type="dxa" w:w="7704"/>
            <w:vAlign w:val="center"/>
            <w:shd w:fill="FFFFFF"/>
          </w:tcPr>
          <w:p>
            <w:pPr>
              <w:spacing w:after="0" w:line="247" w:lineRule="auto"/>
            </w:pPr>
            <w:r>
              <w:rPr>
                <w:sz w:val="18"/>
              </w:rPr>
              <w:t>Write-ahead log used for transactional recovery</w:t>
            </w:r>
          </w:p>
        </w:tc>
      </w:tr>
      <w:tr>
        <w:trPr>
          <w:cantSplit/>
        </w:trPr>
        <w:tc>
          <w:tcPr>
            <w:tcW w:type="dxa" w:w="2376"/>
            <w:vAlign w:val="center"/>
            <w:shd w:fill="F6F8FA"/>
          </w:tcPr>
          <w:p>
            <w:pPr>
              <w:spacing w:after="0" w:line="247" w:lineRule="auto"/>
            </w:pPr>
            <w:r>
              <w:rPr>
                <w:sz w:val="18"/>
              </w:rPr>
              <w:t>WASI</w:t>
            </w:r>
          </w:p>
        </w:tc>
        <w:tc>
          <w:tcPr>
            <w:tcW w:type="dxa" w:w="7704"/>
            <w:vAlign w:val="center"/>
            <w:shd w:fill="F6F8FA"/>
          </w:tcPr>
          <w:p>
            <w:pPr>
              <w:spacing w:after="0" w:line="247" w:lineRule="auto"/>
            </w:pPr>
            <w:r>
              <w:rPr>
                <w:sz w:val="18"/>
              </w:rPr>
              <w:t>WebAssembly System Interface for portable sandboxed programs</w:t>
            </w:r>
          </w:p>
        </w:tc>
      </w:tr>
    </w:tbl>
    <w:p>
      <w:pPr>
        <w:spacing w:after="20"/>
      </w:pPr>
    </w:p>
    <w:sectPr w:rsidR="00FC693F" w:rsidRPr="0006063C" w:rsidSect="00034616">
      <w:headerReference w:type="default" r:id="rId9"/>
      <w:footerReference w:type="default" r:id="rId10"/>
      <w:pgSz w:w="12240" w:h="15840"/>
      <w:pgMar w:top="1080" w:right="1080" w:bottom="1008"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Version 1.0   •   10 September 2026</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LLM Based Operating System   |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DejaVu Sans" w:hAnsi="DejaVu Sans"/>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DejaVu Sans" w:hAnsi="DejaVu Sans"/>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60" w:line="240" w:lineRule="auto"/>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360"/>
    </w:pPr>
    <w:rPr>
      <w:rFonts w:asciiTheme="majorHAnsi" w:eastAsiaTheme="majorEastAsia" w:hAnsiTheme="majorHAnsi" w:cstheme="majorBidi" w:ascii="DejaVu Sans" w:hAnsi="DejaVu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DejaVu Sans" w:hAnsi="DejaVu Sans"/>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5" w:lineRule="auto" w:after="0"/>
      <w:ind w:left="173"/>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el4.systems/Verification/assumptions.html" TargetMode="External"/><Relationship Id="rId12" Type="http://schemas.openxmlformats.org/officeDocument/2006/relationships/hyperlink" Target="https://arxiv.org/abs/2403.16971" TargetMode="External"/><Relationship Id="rId13" Type="http://schemas.openxmlformats.org/officeDocument/2006/relationships/image" Target="media/image1.png"/><Relationship Id="rId14" Type="http://schemas.openxmlformats.org/officeDocument/2006/relationships/hyperlink" Target="https://www.kernel.org/doc/html/latest/scheduler/sched-ext.html" TargetMode="External"/><Relationship Id="rId15" Type="http://schemas.openxmlformats.org/officeDocument/2006/relationships/image" Target="media/image2.png"/><Relationship Id="rId16" Type="http://schemas.openxmlformats.org/officeDocument/2006/relationships/hyperlink" Target="https://huggingface.co/Qwen/Qwen3-8B" TargetMode="External"/><Relationship Id="rId17" Type="http://schemas.openxmlformats.org/officeDocument/2006/relationships/hyperlink" Target="https://huggingface.co/microsoft/Phi-4-mini-instruct" TargetMode="External"/><Relationship Id="rId18" Type="http://schemas.openxmlformats.org/officeDocument/2006/relationships/hyperlink" Target="https://ryzenai.docs.amd.com/en/latest/llm_linux.html" TargetMode="External"/><Relationship Id="rId19" Type="http://schemas.openxmlformats.org/officeDocument/2006/relationships/image" Target="media/image3.png"/><Relationship Id="rId20" Type="http://schemas.openxmlformats.org/officeDocument/2006/relationships/hyperlink" Target="https://newsroom.amd.com/news/amd-expands-ai-leadership-across-client-graphics/" TargetMode="External"/><Relationship Id="rId21" Type="http://schemas.openxmlformats.org/officeDocument/2006/relationships/hyperlink" Target="https://www.amd.com/en/products/processors/laptop/ryzen-pro/ai-max-pro-300-series/amd-ryzen-ai-max-plus-pro-395.html" TargetMode="External"/><Relationship Id="rId22" Type="http://schemas.openxmlformats.org/officeDocument/2006/relationships/hyperlink" Target="https://www.qualcomm.com/content/dam/qcomm-martech/dm-assets/documents/Snapdragon-X2-Elite-Product-Brief.pdf" TargetMode="External"/><Relationship Id="rId23" Type="http://schemas.openxmlformats.org/officeDocument/2006/relationships/hyperlink" Target="https://www.intel.com/content/dam/www/central-libraries/us/en/documents/2024-09/core-ultra-desktop-processors-series-2-product-brief.pdf" TargetMode="External"/><Relationship Id="rId24" Type="http://schemas.openxmlformats.org/officeDocument/2006/relationships/hyperlink" Target="https://cdrdv2-public.intel.com/855291/Intel%C2%AE%20Core%E2%84%A2%20Ultra%20Processors%20Series%203%20for%20Edge%20Overview_2.pdf" TargetMode="External"/><Relationship Id="rId25" Type="http://schemas.openxmlformats.org/officeDocument/2006/relationships/hyperlink" Target="https://docs.openvino.ai/2026/about-openvino/release-notes-openvino/system-requirements.html" TargetMode="External"/><Relationship Id="rId26" Type="http://schemas.openxmlformats.org/officeDocument/2006/relationships/hyperlink" Target="https://docs.openvino.ai/2026/openvino-workflow/running-inference/inference-devices-and-modes/npu-device.html" TargetMode="External"/><Relationship Id="rId27" Type="http://schemas.openxmlformats.org/officeDocument/2006/relationships/hyperlink" Target="https://www.qualcomm.com/developer/blog/2026/03/run-nexa-ai-agents-locally-on-snapdragon-pc-with-hexagon-npu" TargetMode="External"/><Relationship Id="rId28" Type="http://schemas.openxmlformats.org/officeDocument/2006/relationships/hyperlink" Target="https://huggingface.co/Qwen/Qwen3.5-9B" TargetMode="External"/><Relationship Id="rId29" Type="http://schemas.openxmlformats.org/officeDocument/2006/relationships/hyperlink" Target="https://huggingface.co/Qwen/Qwen3.5-4B" TargetMode="External"/><Relationship Id="rId30" Type="http://schemas.openxmlformats.org/officeDocument/2006/relationships/hyperlink" Target="https://github.com/ggml-org/llama.cpp/blob/master/docs/build.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Based Operating System Engineering Specification</dc:title>
  <dc:subject>Feasibility HLD LLD functional requirements and hardware sizing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