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Practical Implementation of an LLM Integrated Operating Environment</w:t>
      </w:r>
    </w:p>
    <w:p>
      <w:pPr>
        <w:pStyle w:val="Subtitle"/>
      </w:pPr>
      <w:r>
        <w:t>Architecture feasibility and reproducible evaluation for Ubuntu and Windows deployments</w:t>
      </w:r>
    </w:p>
    <w:p>
      <w:r>
        <w:t>Prepared for Hakim Mosleh and the LLM computer project</w:t>
      </w:r>
    </w:p>
    <w:p>
      <w:r>
        <w:t>Technical research paper | Version 1.0 | 20 September 2026</w:t>
      </w:r>
    </w:p>
    <w:p>
      <w:r>
        <w:t>Study type: architecture research, analytical feasibility assessment, and a bounded executable systems experiment.</w:t>
      </w:r>
    </w:p>
    <w:p>
      <w:pPr>
        <w:pStyle w:val="Heading1"/>
      </w:pPr>
      <w:r>
        <w:t>Abstract</w:t>
      </w:r>
    </w:p>
    <w:p>
      <w:r>
        <w:t>An operating environment controlled through natural language can reduce the need for users to select applications, locate files manually, and coordinate intermediate results. Practical deployment nevertheless requires deterministic control of permissions, storage, resources, and recovery. This paper develops an implementation of that separation for an Ubuntu-based LLM operating environment and its Windows deployment variation. The architecture retains the Linux kernel and compiled device drivers while introducing an unprivileged planner, a capability broker, a durable workflow engine, a versioned artifact service, and resource admission for local inference. Native Ubuntu, Windows Subsystem for Linux 2, full virtual machines, and dual boot share application contracts while declaring different hardware and trust boundaries. A targeted review establishes substantial overlap with AIOS, agentic Windows, and Apple Intelligence; the proposed contribution is the integration and evaluation of lifecycle guarantees rather than a claim that conversational computing is new. Analytical memory budgets show why compact local models and separately qualified large-model services must remain distinct. A supplementary Python implementation exercises real filesystem and SQLite operations, process termination at publication boundaries, duplicate requests, version conflicts, and logical access revocation. In 1,000 injected process exits, retries produced 1,000 final versions and receipts with no missing committed objects; concurrent duplicate requests and stale-version writes also met their test oracles. The experiment contains no LLM, Windows host, bootable image, or production sandbox, and therefore supports only the storage and control semantics tested. A preregisterable evaluation protocol specifies the additional experiments required to establish task accuracy, user benefit, security, hardware performance, and deployment parity. The evidence supports proceeding with a bounded local document-workflow product; general application replacement and unrestricted autonomous operation remain unsubstantiated.</w:t>
      </w:r>
    </w:p>
    <w:p>
      <w:r>
        <w:t>Keywords: large language models; operating environments; agent orchestration; semantic file organization; WSL 2; durable workflows; local inference; reproducible systems research.</w:t>
      </w:r>
    </w:p>
    <w:p>
      <w:r>
        <w:br w:type="page"/>
      </w:r>
    </w:p>
    <w:p>
      <w:pPr>
        <w:pStyle w:val="Heading1"/>
      </w:pPr>
      <w:r>
        <w:t>1 Research objective and scope</w:t>
      </w:r>
    </w:p>
    <w:p>
      <w:pPr>
        <w:pStyle w:val="Heading2"/>
      </w:pPr>
      <w:r>
        <w:t>1 1 The implementation question</w:t>
      </w:r>
    </w:p>
    <w:p>
      <w:r>
        <w:t>The research question is whether a user can describe an intended outcome, allow the operating environment to assemble supported functions, and obtain durable editable results without manually coordinating separate applications. Representative requests are to collect recent invoices, calculate a spending workbook, save a sales presentation for a customer, and retrieve that customer's latest presentation later. These requests involve perception, interpretation, computation, storage, and identity. A fluent response alone satisfies none of the required persistent effects.</w:t>
      </w:r>
    </w:p>
    <w:p>
      <w:r>
        <w:t>This paper treats an LLM operating environment as a distribution or hosted workspace in which conversational planning is a primary interaction method and task execution is integrated with system services. It does not require model inference to implement interrupts, virtual memory, filesystem journals, or driver execution. Those mechanisms remain conventional compiled software. This definition makes both the native Ubuntu edition and the Windows-hosted edition implementable using established platform interfaces.</w:t>
      </w:r>
    </w:p>
    <w:p>
      <w:r>
        <w:t>The work builds on three project documents. D1 is the original LLM Based Operating System Engineering Specification, version 1.0, dated 10 September 2026. D2 is the controlling Ubuntu Based LLM Operating System Engineering Requirements, version 2.0, dated 13 September 2026, containing A001 to A140, Q01 to Q20, and T01 to T62. D3 is the Windows Deployment Requirements Variation, VAR WIN 01, version 1.0, dated 19 September 2026, containing W001 to W044 and V01 to V18. This paper interprets and evaluates those designs. Proposed refinements here do not silently amend their normative requirements.</w:t>
      </w:r>
    </w:p>
    <w:p>
      <w:pPr>
        <w:pStyle w:val="Heading2"/>
      </w:pPr>
      <w:r>
        <w:t>1 2 Contributions and claim boundaries</w:t>
      </w:r>
    </w:p>
    <w:p>
      <w:r>
        <w:t>The first contribution is a concrete decomposition of interpretation, authorization, execution, and publication that remains usable when inference fails. The second is a deployment contract that keeps artifact identity and workflow outcomes consistent across environments without claiming identical host privileges. The third is a reproducible storage microstudy and a wider validation protocol tied to the existing requirements. The fourth is an explicit account of where memory capacity, model quality, application coverage, and support obligations restrict feasibility.</w:t>
      </w:r>
    </w:p>
    <w:p>
      <w:r>
        <w:t>These are engineering research contributions. The paper does not establish patent novelty, publish a new foundation model, claim a novel database protocol, or report a completed consumer operating system. Performance from the supplementary experiment is a measurement of a small Python implementation on one managed Linux environment. It is not an Ubuntu distribution benchmark, a Windows benchmark, or evidence of an LLM completing a business workflow.</w:t>
      </w:r>
    </w:p>
    <w:p>
      <w:pPr>
        <w:pStyle w:val="Heading2"/>
      </w:pPr>
      <w:r>
        <w:t>1 3 Research questions</w:t>
      </w:r>
    </w:p>
    <w:tbl>
      <w:tblPr>
        <w:tblW w:type="auto" w:w="0"/>
        <w:jc w:val="center"/>
        <w:tblLayout w:type="fixed"/>
        <w:tblLook w:firstColumn="1" w:firstRow="1" w:lastColumn="0" w:lastRow="0" w:noHBand="0" w:noVBand="1" w:val="04A0"/>
      </w:tblPr>
      <w:tblGrid>
        <w:gridCol w:w="1584"/>
        <w:gridCol w:w="4752"/>
        <w:gridCol w:w="3658"/>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Question</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Testable proposition</w:t>
            </w:r>
          </w:p>
        </w:tc>
        <w:tc>
          <w:tcPr>
            <w:tcW w:type="dxa" w:w="365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Evidence in this paper</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RQ1 Architecture</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An untrusted planner can request effects through a bounded service contract without receiving direct storage or host authority</w:t>
            </w:r>
          </w:p>
        </w:tc>
        <w:tc>
          <w:tcPr>
            <w:tcW w:type="dxa" w:w="365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Architecture and logical argument; production enforcement untested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RQ2 Publication</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Retries and process interruption need not create duplicate logical commits or committed references to absent bytes</w:t>
            </w:r>
          </w:p>
        </w:tc>
        <w:tc>
          <w:tcPr>
            <w:tcW w:type="dxa" w:w="365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Executed microstudy on synthetic data</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RQ3 Deployment</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Common workflow semantics can be retained across native, WSL, and VM profiles</w:t>
            </w:r>
          </w:p>
        </w:tc>
        <w:tc>
          <w:tcPr>
            <w:tcW w:type="dxa" w:w="365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Interface design and platform evidence; cross-profile execution pending</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RQ4 Resource fit</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Compact and large models require different measured admission profiles</w:t>
            </w:r>
          </w:p>
        </w:tc>
        <w:tc>
          <w:tcPr>
            <w:tcW w:type="dxa" w:w="365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Arithmetic analysis; inference measurements pending</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RQ5 User outcomes</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Supported workflows can reduce user effort while retaining correct results</w:t>
            </w:r>
          </w:p>
        </w:tc>
        <w:tc>
          <w:tcPr>
            <w:tcW w:type="dxa" w:w="365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Proposed controlled user study</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RQ6 Filing autonomy</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Selective classification can achieve useful coverage at an acceptable error rate</w:t>
            </w:r>
          </w:p>
        </w:tc>
        <w:tc>
          <w:tcPr>
            <w:tcW w:type="dxa" w:w="365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Proposed held-out corpus and calibration study</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RQ7 Security</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Model-generated plans cannot expand the authority granted to a workflow</w:t>
            </w:r>
          </w:p>
        </w:tc>
        <w:tc>
          <w:tcPr>
            <w:tcW w:type="dxa" w:w="365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Threat model and test plan; logical checks only in the microstudy</w:t>
            </w:r>
          </w:p>
        </w:tc>
      </w:tr>
    </w:tbl>
    <w:p>
      <w:pPr>
        <w:spacing w:after="0"/>
      </w:pPr>
    </w:p>
    <w:p>
      <w:pPr>
        <w:pStyle w:val="Heading1"/>
      </w:pPr>
      <w:r>
        <w:t>2 Method and evidence classification</w:t>
      </w:r>
    </w:p>
    <w:p>
      <w:pPr>
        <w:pStyle w:val="Heading2"/>
      </w:pPr>
      <w:r>
        <w:t>2 1 Source selection</w:t>
      </w:r>
    </w:p>
    <w:p>
      <w:r>
        <w:t>The literature review is targeted rather than systematic. It examines primary research on agent runtimes, computer-use evaluation, prompt injection, and inference memory management, together with official implementation documentation for the selected platforms. Searches and page verification were performed on 19 September 2026. The initial search terms covered AIOS, OSWorld, AgentDojo, ReAct, PagedAttention, WSL distribution packaging, Windows file events, SQLite commit semantics, and Linux resource controls. Product statements are attributed to their publishers and retained as announced or documented capabilities rather than independent effectiveness measurements.</w:t>
      </w:r>
    </w:p>
    <w:p>
      <w:r>
        <w:t>Sources were included when they supplied an architectural precedent, a supported platform mechanism, or an evaluation method relevant to a requirement. News summaries and unverified benchmark claims were excluded from the technical argument. The review is not exhaustive and cannot establish that no competing system implements the same combination. Mutable documentation and repositories must be pinned to release identifiers during implementation; access dates alone do not make builds reproducible.</w:t>
      </w:r>
    </w:p>
    <w:p>
      <w:pPr>
        <w:pStyle w:val="Heading2"/>
      </w:pPr>
      <w:r>
        <w:t>2 2 Evidence levels</w:t>
      </w:r>
    </w:p>
    <w:p>
      <w:r>
        <w:t>Four evidence levels are kept separate. Published evidence describes mechanisms or results from cited sources. Analytical evidence consists of calculations with stated assumptions. Executed evidence refers only to the supplementary scripts and their recorded output. Proposed evidence consists of future experiments and acceptance criteria. Tables and conclusions identify the relevant level. No proposed acceptance threshold is presented as achieved system performance.</w:t>
      </w:r>
    </w:p>
    <w:p>
      <w:r>
        <w:t>The microstudy intentionally isolates durable publication from language understanding. Synthetic records provide exact metadata and a deterministic oracle. This allows faults in transaction ordering and retry handling to be examined without confounding extraction errors. It also means that successful retrieval in this experiment is not a measurement of semantic search, OCR, or classification accuracy.</w:t>
      </w:r>
    </w:p>
    <w:p>
      <w:pPr>
        <w:pStyle w:val="Heading2"/>
      </w:pPr>
      <w:r>
        <w:t>2 3 Scientific interpretation</w:t>
      </w:r>
    </w:p>
    <w:p>
      <w:r>
        <w:t>Feasibility is decomposed into mechanism availability, resource sufficiency, end-to-end correctness, and operational supportability. A mechanism can exist while a product remains impractical because of weak model accuracy, unacceptable latency, incomplete adapters, or recovery failures. The paper therefore avoids a single percentage for overall feasibility. Confidence is attached to specific claims and their supporting evidence.</w:t>
      </w:r>
    </w:p>
    <w:p>
      <w:pPr>
        <w:pStyle w:val="Heading1"/>
      </w:pPr>
      <w:r>
        <w:t>3 Related work and differentiation</w:t>
      </w:r>
    </w:p>
    <w:p>
      <w:pPr>
        <w:pStyle w:val="Heading2"/>
      </w:pPr>
      <w:r>
        <w:t>3 1 Agent runtimes and reasoning with tools</w:t>
      </w:r>
    </w:p>
    <w:p>
      <w:r>
        <w:t xml:space="preserve">AIOS separates agent-facing services such as scheduling, context, storage, and access control into a common runtime. Its research and implementation are direct precedents for shared agent infrastructure </w:t>
      </w:r>
      <w:r>
        <w:t>[</w:t>
      </w:r>
      <w:hyperlink r:id="rId11">
        <w:r>
          <w:rPr>
            <w:color w:val="245578"/>
          </w:rPr>
          <w:t>1</w:t>
        </w:r>
      </w:hyperlink>
      <w:r>
        <w:t xml:space="preserve">, </w:t>
      </w:r>
      <w:hyperlink r:id="rId12">
        <w:r>
          <w:rPr>
            <w:color w:val="245578"/>
          </w:rPr>
          <w:t>2</w:t>
        </w:r>
      </w:hyperlink>
      <w:r>
        <w:t>]</w:t>
      </w:r>
      <w:r>
        <w:t>. The repository also describes local and remote deployment and a semantic-file terminal. Our design overlaps with this direction. Its additional research focus is the contract between that runtime and an installed desktop product, including deployment-specific trust, durable artifact publication, migration, and qualification. A shared-runtime diagram alone is not evidence of differentiation.</w:t>
      </w:r>
    </w:p>
    <w:p>
      <w:r>
        <w:t xml:space="preserve">ReAct demonstrates an approach that combines language-model reasoning with environmental actions </w:t>
      </w:r>
      <w:r>
        <w:t>[</w:t>
      </w:r>
      <w:hyperlink r:id="rId13">
        <w:r>
          <w:rPr>
            <w:color w:val="245578"/>
          </w:rPr>
          <w:t>3</w:t>
        </w:r>
      </w:hyperlink>
      <w:r>
        <w:t>]</w:t>
      </w:r>
      <w:r>
        <w:t>. That work motivates iterative planning with tool feedback, but it does not confer authority on generated instructions. In the proposed environment, the planner supplies structured intentions and the executor returns typed observations. The user-facing record contains actions, sources, decisions, and receipts sufficient to inspect the task; private model reasoning need not be stored or exposed.</w:t>
      </w:r>
    </w:p>
    <w:p>
      <w:pPr>
        <w:pStyle w:val="Heading2"/>
      </w:pPr>
      <w:r>
        <w:t>3 2 Computer use and evaluation</w:t>
      </w:r>
    </w:p>
    <w:p>
      <w:r>
        <w:t xml:space="preserve">OSWorld evaluates open-ended computer tasks in real application environments using executable task checks </w:t>
      </w:r>
      <w:r>
        <w:t>[</w:t>
      </w:r>
      <w:hyperlink r:id="rId14">
        <w:r>
          <w:rPr>
            <w:color w:val="245578"/>
          </w:rPr>
          <w:t>4</w:t>
        </w:r>
      </w:hyperlink>
      <w:r>
        <w:t>]</w:t>
      </w:r>
      <w:r>
        <w:t>. It motivates checking the final state of files and applications rather than grading the persuasiveness of a transcript. The paper does not reuse the original benchmark's historical success rates as a measure of September 2026 systems. A future comparison must fix model, interface, task, and evaluation versions. Our internal tasks complement a public benchmark because artifact durability and recovery are not interchangeable with GUI task completion.</w:t>
      </w:r>
    </w:p>
    <w:p>
      <w:r>
        <w:t xml:space="preserve">AgentDojo supplies an evaluation environment for prompt-injection attacks and defenses in tool-using agents </w:t>
      </w:r>
      <w:r>
        <w:t>[</w:t>
      </w:r>
      <w:hyperlink r:id="rId15">
        <w:r>
          <w:rPr>
            <w:color w:val="245578"/>
          </w:rPr>
          <w:t>5</w:t>
        </w:r>
      </w:hyperlink>
      <w:r>
        <w:t>]</w:t>
      </w:r>
      <w:r>
        <w:t>. This supports treating retrieved documents and tool responses as adversarial inputs. A model that resists a test collection may still be vulnerable to a new attack. Independent effect authorization therefore remains part of the design even if a chosen model performs well on attack benchmarks.</w:t>
      </w:r>
    </w:p>
    <w:p>
      <w:pPr>
        <w:pStyle w:val="Heading2"/>
      </w:pPr>
      <w:r>
        <w:t>3 3 Commercial operating environments</w:t>
      </w:r>
    </w:p>
    <w:p>
      <w:r>
        <w:t xml:space="preserve">Microsoft documents experimental agent workspaces, separate agent accounts, scoped access to folders, and connectors that bridge agents to Windows applications </w:t>
      </w:r>
      <w:r>
        <w:t>[</w:t>
      </w:r>
      <w:hyperlink r:id="rId16">
        <w:r>
          <w:rPr>
            <w:color w:val="245578"/>
          </w:rPr>
          <w:t>6</w:t>
        </w:r>
      </w:hyperlink>
      <w:r>
        <w:t>]</w:t>
      </w:r>
      <w:r>
        <w:t>. These capabilities substantially overlap with the proposed permission and background-task concepts. Microsoft has platform-level integration advantages. Our Windows edition must demonstrate value through supported workflows, local deployment choices, and artifact continuity rather than claiming that Windows only provides a chat window.</w:t>
      </w:r>
    </w:p>
    <w:p>
      <w:r>
        <w:t xml:space="preserve">Apple's June 2026 Siri AI announcement describes personal-context retrieval, screen awareness, systemwide actions, and device and Private Cloud Compute models </w:t>
      </w:r>
      <w:r>
        <w:t>[</w:t>
      </w:r>
      <w:hyperlink r:id="rId17">
        <w:r>
          <w:rPr>
            <w:color w:val="245578"/>
          </w:rPr>
          <w:t>7</w:t>
        </w:r>
      </w:hyperlink>
      <w:r>
        <w:t>]</w:t>
      </w:r>
      <w:r>
        <w:t>. Its announcement distinguishes developer testing from a subsequent user beta. This provides another direct overlap with conversational computing. The proposed product's selectable deployment profiles and Ubuntu base are differences in product control and distribution; they do not establish better task quality or privacy by themselves.</w:t>
      </w:r>
    </w:p>
    <w:tbl>
      <w:tblPr>
        <w:tblW w:type="auto" w:w="0"/>
        <w:jc w:val="center"/>
        <w:tblLayout w:type="fixed"/>
        <w:tblLook w:firstColumn="1" w:firstRow="1" w:lastColumn="0" w:lastRow="0" w:noHBand="0" w:noVBand="1" w:val="04A0"/>
      </w:tblPr>
      <w:tblGrid>
        <w:gridCol w:w="1944"/>
        <w:gridCol w:w="2736"/>
        <w:gridCol w:w="2736"/>
        <w:gridCol w:w="2578"/>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pPr>
            <w:r>
              <w:rPr>
                <w:b/>
                <w:sz w:val="19"/>
              </w:rPr>
              <w:t>System or design</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pPr>
            <w:r>
              <w:rPr>
                <w:b/>
                <w:sz w:val="19"/>
              </w:rPr>
              <w:t>Established overlap</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pPr>
            <w:r>
              <w:rPr>
                <w:b/>
                <w:sz w:val="19"/>
              </w:rPr>
              <w:t>Different emphasis</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pPr>
            <w:r>
              <w:rPr>
                <w:b/>
                <w:sz w:val="19"/>
              </w:rPr>
              <w:t>Evidence limit</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AIOS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Shared agent services, model backends, semantic-file interface</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This design includes installed image lifecycle and explicit Windows adaptation</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Public research and repository scope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Windows agentic features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Background agents, scoped permissions, app and file actions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This design specifies an Ubuntu core and local-first workflow portability</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Vendor documentation; preview labels retained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Apple Intelligence</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Personal context, systemwide actions, local and server models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This design targets Ubuntu and Windows-hosted use with qualified model choices</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Vendor announcement, not independent performance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Proposed environment</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Conversational workflows, artifact history, deterministic execution</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Integrated file and task lifecycle across declared profiles</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Requirements plus the bounded experiment in this paper</w:t>
            </w:r>
          </w:p>
        </w:tc>
      </w:tr>
    </w:tbl>
    <w:p>
      <w:pPr>
        <w:spacing w:after="0"/>
      </w:pPr>
    </w:p>
    <w:p>
      <w:r>
        <w:t>The defensible hypothesis is that consistent artifact identity, recovery, and deployment flexibility improve a defined user's workflow. That hypothesis can be tested. Claims of being the first LLM OS or universally replacing applications cannot be supported by this review.</w:t>
      </w:r>
    </w:p>
    <w:p>
      <w:pPr>
        <w:pStyle w:val="Heading1"/>
      </w:pPr>
      <w:r>
        <w:t>4 System model and architectural invariants</w:t>
      </w:r>
    </w:p>
    <w:p>
      <w:pPr>
        <w:pStyle w:val="Heading2"/>
      </w:pPr>
      <w:r>
        <w:t>4 1 Components and authority</w:t>
      </w:r>
    </w:p>
    <w:p>
      <w:r>
        <w:t>The native baseline uses qualified Ubuntu 24.04 LTS packages, a supported Linux kernel track, systemd supervision, and a Wayland desktop session. D2 separately provides a qualification path for a later Ubuntu baseline. The desktop is a conventional system even when the model is unavailable. A conversational shell submits requests to an authenticated gateway; it does not contain the authorization engine.</w:t>
      </w:r>
    </w:p>
    <w:p>
      <w:r>
        <w:t>The planner transforms the request and authorized context into a typed workflow graph. A policy broker checks identity and issues limited capabilities. A resource service admits execution only when the required host and device memory domains fit. A workflow engine dispatches signed skills, records progress, and reconciles retries. Artifact services commit immutable versions and expose ordinary export paths. An index is a derived retrieval structure, not the authoritative copy of a user's work.</w:t>
      </w:r>
    </w:p>
    <w:tbl>
      <w:tblPr>
        <w:tblW w:type="auto" w:w="0"/>
        <w:jc w:val="center"/>
        <w:tblLayout w:type="fixed"/>
        <w:tblLook w:firstColumn="1" w:firstRow="1" w:lastColumn="0" w:lastRow="0" w:noHBand="0" w:noVBand="1" w:val="04A0"/>
      </w:tblPr>
      <w:tblGrid>
        <w:gridCol w:w="2304"/>
        <w:gridCol w:w="4104"/>
        <w:gridCol w:w="358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Component</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Concrete implementation direction</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Authority boundary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Shell and session</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Accessible desktop or workspace UI with manual file operations</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User session only; no raw device control</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Planner and gateway</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Local inference with schema-constrained plans and authenticated requests</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Plans remain untrusted input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Policy broker</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Narrow typed API and scoped capabilities</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Current identity, target, operation, expiry and version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Workflow engine</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Persistent task graph and step journal</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Dispatch only after policy and resource checks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Skill supervisor</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Isolated processes and qualified constrained runtimes</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Declared files, network, devices and resource budgets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Artifact service</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Object bytes, SQLite metadata and durable receipts on one desktop</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Owns publication and immutable version identity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Resource service</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Per-domain leases plus backend measurements</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Admission and reclamation; no invented memory capacity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Platform adapters</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Native Linux, WSL companion and VM integration</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Only operations exposed by that deployment profile</w:t>
            </w:r>
          </w:p>
        </w:tc>
      </w:tr>
    </w:tbl>
    <w:p>
      <w:pPr>
        <w:spacing w:after="0"/>
      </w:pPr>
    </w:p>
    <w:p>
      <w:pPr>
        <w:keepNext/>
        <w:jc w:val="center"/>
      </w:pPr>
      <w:r>
        <w:drawing>
          <wp:inline xmlns:a="http://schemas.openxmlformats.org/drawingml/2006/main" xmlns:pic="http://schemas.openxmlformats.org/drawingml/2006/picture">
            <wp:extent cx="6080760" cy="4086998"/>
            <wp:docPr id="1" name="Picture 1" descr="Figure 1 Proposed architecture and authority boundaries"/>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6080760" cy="4086998"/>
                    </a:xfrm>
                    <a:prstGeom prst="rect"/>
                  </pic:spPr>
                </pic:pic>
              </a:graphicData>
            </a:graphic>
          </wp:inline>
        </w:drawing>
      </w:r>
    </w:p>
    <w:p>
      <w:pPr>
        <w:pStyle w:val="Caption"/>
      </w:pPr>
      <w:r>
        <w:t>Figure 1. The proposed control path separates model interpretation from effect authority. Dashed connections denote observations and result references. This architecture figure describes the target system; the microstudy implements only part of the artifact and policy logic.</w:t>
      </w:r>
    </w:p>
    <w:p>
      <w:pPr>
        <w:pStyle w:val="Heading2"/>
      </w:pPr>
      <w:r>
        <w:t>4 2 Invariants</w:t>
      </w:r>
    </w:p>
    <w:p>
      <w:r>
        <w:t>I1 is authority confinement: an executed effect must be covered by a current grant for the caller, operation, target and version. Prompt text cannot create a grant. I2 is publication integrity: an acknowledged version references validated bytes that the publication procedure has committed. I3 is replay consistency: an idempotency key identifies one operation fingerprint and its receipt; changing arguments while retaining that key returns a conflict. I4 is version consistency: a write based on a stale expected version cannot silently overwrite a concurrent update.</w:t>
      </w:r>
    </w:p>
    <w:p>
      <w:r>
        <w:t>I5 is resource admission: each physical memory domain fits independently after reservations and operating margins. I6 is independent recovery: cancellation, export and recovery do not require a model answer. I7 is deployment honesty: a capability is advertised only when its controlling platform exposes it and the exact configuration is qualified. I8 is explicit incompleteness: an interrupted or partially executed workflow cannot be labelled complete merely because the planner generated its final message.</w:t>
      </w:r>
    </w:p>
    <w:p>
      <w:r>
        <w:t>These are specification invariants, not formal proofs of the complete implementation. Their enforcement depends on authenticated principals, trusted brokers, correctly configured isolation, and platform semantics. Section 10 tests bounded instances of I2 to I4 and logical cases of I1. It does not certify I1 against a hostile process or implement all eight invariants.</w:t>
      </w:r>
    </w:p>
    <w:p>
      <w:pPr>
        <w:pStyle w:val="Heading2"/>
      </w:pPr>
      <w:r>
        <w:t>4 3 Task state and external effects</w:t>
      </w:r>
    </w:p>
    <w:p>
      <w:r>
        <w:t>A task progresses through accepted, planned, authorized, admitted, executing, and committed states. Failure can produce rejected, cancelled, failed, or reconciliation-required outcomes. Completed steps retain their receipts. An external operation with an unknown response is reconciled using a provider operation identifier before retrying. If a provider lacks an idempotency or lookup mechanism, exactly-once external execution cannot be guaranteed by the local database. The UI must expose that uncertainty and require a suitable recovery decision.</w:t>
      </w:r>
    </w:p>
    <w:p>
      <w:r>
        <w:t>Authorization and cancellation have a defined linearization point at dispatch or commit. A grant revoked before this point blocks the effect; an already committed effect is handled through an explicit compensating operation where one exists. Cancellation cannot retroactively unsend a message or reverse an external payment. The initial product should emphasize reversible local artifact operations and tightly scoped connectors.</w:t>
      </w:r>
    </w:p>
    <w:p>
      <w:pPr>
        <w:pStyle w:val="Heading1"/>
      </w:pPr>
      <w:r>
        <w:t>5 Artifact model and automatic file organization</w:t>
      </w:r>
    </w:p>
    <w:p>
      <w:pPr>
        <w:pStyle w:val="Heading2"/>
      </w:pPr>
      <w:r>
        <w:t>5 1 Data representation</w:t>
      </w:r>
    </w:p>
    <w:p>
      <w:r>
        <w:t>An artifact has a stable identifier, owner, source identity, type, and a sequence of committed versions. A version records the byte digest, format, metadata, creation provenance, source references and authorization domain. Classification is a separate assertion with model or rule version, timestamp and confidence evidence. Changing a tag does not rewrite the underlying bytes. Customer identities use explicit records and aliases; an ambiguous name must not silently select another customer's material.</w:t>
      </w:r>
    </w:p>
    <w:p>
      <w:r>
        <w:t>The production schema should distinguish document date, received time, filesystem modification time, and artifact commit time. A query for invoices from the past week must declare which time field and timezone it uses. A query for the latest sales presentation must distinguish latest committed draft, latest approved version, and latest externally modified file. These decisions should be shown as concise filters and saved preferences rather than hidden interpretation.</w:t>
      </w:r>
    </w:p>
    <w:p>
      <w:pPr>
        <w:pStyle w:val="Heading2"/>
      </w:pPr>
      <w:r>
        <w:t>5 2 Ingestion pipeline</w:t>
      </w:r>
    </w:p>
    <w:p>
      <w:r>
        <w:t>An enrolled location has separate permissions for reading, indexing, copying, and organizing. A file event identifies a candidate; it does not prove a complete download. The ingest service waits for a stable readable version, records the source identity, extracts content in a restricted parser, and computes a digest. Classification combines deterministic rules, extracted fields, and a qualified model. Unsupported or uncertain content enters a review queue with its original file preserved.</w:t>
      </w:r>
    </w:p>
    <w:p>
      <w:r>
        <w:t>The storage policy selects indexing in place, copying into managed storage, or moving under an authorized rule. Semantic collections should be available without physical relocation. A cross-filesystem move is implemented as copy, validate, commit destination, and conditionally retire the unchanged source. Failure during retirement leaves an explicit duplicate to reconcile. No mechanism can make an arbitrary pair of independent filesystems participate in one atomic rename.</w:t>
      </w:r>
    </w:p>
    <w:p>
      <w:r>
        <w:t xml:space="preserve">On Windows, the companion collects events in enrolled folders and persists a bounded queue. FileSystemWatcher is an event source with documented overflow and duplicate-event considerations </w:t>
      </w:r>
      <w:r>
        <w:t>[</w:t>
      </w:r>
      <w:hyperlink r:id="rId19">
        <w:r>
          <w:rPr>
            <w:color w:val="245578"/>
          </w:rPr>
          <w:t>8</w:t>
        </w:r>
      </w:hyperlink>
      <w:r>
        <w:t>]</w:t>
      </w:r>
      <w:r>
        <w:t xml:space="preserve">. Change journals can help reconciliation on supported volumes, subject to permissions and journal continuity </w:t>
      </w:r>
      <w:r>
        <w:t>[</w:t>
      </w:r>
      <w:hyperlink r:id="rId20">
        <w:r>
          <w:rPr>
            <w:color w:val="245578"/>
          </w:rPr>
          <w:t>9</w:t>
        </w:r>
      </w:hyperlink>
      <w:r>
        <w:t>]</w:t>
      </w:r>
      <w:r>
        <w:t>. The broker must retain a rescan path when events are lost or a journal rolls over. Correctness rests on reconciling final file states, not on receiving every notification exactly once.</w:t>
      </w:r>
    </w:p>
    <w:p>
      <w:pPr>
        <w:pStyle w:val="Heading2"/>
      </w:pPr>
      <w:r>
        <w:t>5 3 Publication protocol</w:t>
      </w:r>
    </w:p>
    <w:p>
      <w:r>
        <w:t xml:space="preserve">For local managed storage, the proposed publication ordering is: validate the current grant and expected version; write bytes to a private staging file; flush the file; publish the immutable object; flush relevant directories; atomically commit version metadata and a receipt; then acknowledge success. Linux documentation distinguishes file synchronization from directory-entry synchronization </w:t>
      </w:r>
      <w:r>
        <w:t>[</w:t>
      </w:r>
      <w:hyperlink r:id="rId21">
        <w:r>
          <w:rPr>
            <w:color w:val="245578"/>
          </w:rPr>
          <w:t>10</w:t>
        </w:r>
      </w:hyperlink>
      <w:r>
        <w:t>]</w:t>
      </w:r>
      <w:r>
        <w:t xml:space="preserve">. SQLite supplies atomic metadata transactions, but cannot by itself make an unrelated object-file write atomic with its transaction </w:t>
      </w:r>
      <w:r>
        <w:t>[</w:t>
      </w:r>
      <w:hyperlink r:id="rId22">
        <w:r>
          <w:rPr>
            <w:color w:val="245578"/>
          </w:rPr>
          <w:t>11</w:t>
        </w:r>
      </w:hyperlink>
      <w:r>
        <w:t xml:space="preserve">, </w:t>
      </w:r>
      <w:hyperlink r:id="rId23">
        <w:r>
          <w:rPr>
            <w:color w:val="245578"/>
          </w:rPr>
          <w:t>12</w:t>
        </w:r>
      </w:hyperlink>
      <w:r>
        <w:t>]</w:t>
      </w:r>
      <w:r>
        <w:t>. The application must order the operations and recover unreferenced staged data.</w:t>
      </w:r>
    </w:p>
    <w:p>
      <w:pPr>
        <w:keepNext/>
        <w:jc w:val="center"/>
      </w:pPr>
      <w:r>
        <w:drawing>
          <wp:inline xmlns:a="http://schemas.openxmlformats.org/drawingml/2006/main" xmlns:pic="http://schemas.openxmlformats.org/drawingml/2006/picture">
            <wp:extent cx="6080760" cy="4086998"/>
            <wp:docPr id="2" name="Picture 2" descr="Figure 2 Publication ordering and recovery"/>
            <wp:cNvGraphicFramePr>
              <a:graphicFrameLocks noChangeAspect="1"/>
            </wp:cNvGraphicFramePr>
            <a:graphic>
              <a:graphicData uri="http://schemas.openxmlformats.org/drawingml/2006/picture">
                <pic:pic>
                  <pic:nvPicPr>
                    <pic:cNvPr id="0" name="publication.png"/>
                    <pic:cNvPicPr/>
                  </pic:nvPicPr>
                  <pic:blipFill>
                    <a:blip r:embed="rId24"/>
                    <a:stretch>
                      <a:fillRect/>
                    </a:stretch>
                  </pic:blipFill>
                  <pic:spPr>
                    <a:xfrm>
                      <a:off x="0" y="0"/>
                      <a:ext cx="6080760" cy="4086998"/>
                    </a:xfrm>
                    <a:prstGeom prst="rect"/>
                  </pic:spPr>
                </pic:pic>
              </a:graphicData>
            </a:graphic>
          </wp:inline>
        </w:drawing>
      </w:r>
    </w:p>
    <w:p>
      <w:pPr>
        <w:pStyle w:val="Caption"/>
      </w:pPr>
      <w:r>
        <w:t>Figure 2. Four injected process-exit points surround object publication and metadata commit. Recovery can discard unreferenced staged objects. A committed receipt permits replay after an acknowledgement is lost. The ordering assumes correct filesystem and database behaviour; power-loss qualification is a separate experiment.</w:t>
      </w:r>
    </w:p>
    <w:p>
      <w:r>
        <w:t>The proof sketch is conditional. Before metadata commit, an object may exist without a version reference, which is safe if it is inaccessible to ordinary users and later collected. After metadata commit, publication ordering ensures that the intended byte object has already passed the required synchronization calls. A replay returns the same receipt after checking current authorization and operation fingerprint. Holding the writer lock through publication, as the microstudy does, serializes revocation with the effect but restricts write throughput. A production optimization must preserve the ordering while reducing lock duration through durable intents or an equivalent protocol.</w:t>
      </w:r>
    </w:p>
    <w:p>
      <w:pPr>
        <w:pStyle w:val="Heading2"/>
      </w:pPr>
      <w:r>
        <w:t>5 4 Retrieval and editable outputs</w:t>
      </w:r>
    </w:p>
    <w:p>
      <w:r>
        <w:t>Retrieval first applies current authorization, exact metadata predicates, and version rules. Lexical and vector retrieval can then rank candidates within the permitted scope. Embedding similarity must not override a date constraint or grant access. Returned results identify sources and versions so users can inspect them. Index deletion must not delete authoritative content; rebuilding must reproduce the permitted artifact references.</w:t>
      </w:r>
    </w:p>
    <w:p>
      <w:r>
        <w:t>A spending workbook uses parsed decimal amounts and a deterministic calculation engine. Currency, tax, invoice versus credit-note semantics, and duplicate invoice identifiers need explicit handling. A presentation generator emits an editable document model with retained sources, then renders it for validation. The product may use document libraries and installed application adapters internally while allowing users to request the outcome directly. Claims of replacing all spreadsheet, CAD, design, or media-editing capabilities would exceed this scope.</w:t>
      </w:r>
    </w:p>
    <w:p>
      <w:pPr>
        <w:pStyle w:val="Heading2"/>
      </w:pPr>
      <w:r>
        <w:t>5 5 Selective classification</w:t>
      </w:r>
    </w:p>
    <w:p>
      <w:r>
        <w:t>The filing policy should maximize useful automatic coverage subject to a measured error constraint. Model self-reported confidence is not a calibrated probability. Thresholds must be selected on a separate calibration set and evaluated on unseen customers, layouts, and time periods. Separate wrong-type, wrong-customer, wrong-date, and destructive-operation errors because their consequences differ. Automatic copying or tagging can use a different threshold from source retirement.</w:t>
      </w:r>
    </w:p>
    <w:p>
      <w:r>
        <w:t>D3 QW06 proposes at least 95 percent correct assignments among automatically assigned items on 200 held-out documents, together with zero incorrect destructive moves in that test. This is a pilot gate, not a production safety proof. Under independent Bernoulli assumptions, zero errors in 200 trials gives a one-sided 95 percent upper error bound of approximately 1.49 percent. Zero errors in 2,995 trials are needed for a bound below 0.1 percent. Real documents are correlated, so supplier- and template-level clustering must be accounted for; neither calculation establishes an acceptable universal harm rate.</w:t>
      </w:r>
    </w:p>
    <w:p>
      <w:pPr>
        <w:pStyle w:val="Heading1"/>
      </w:pPr>
      <w:r>
        <w:t>6 Native and Windows implementation profiles</w:t>
      </w:r>
    </w:p>
    <w:p>
      <w:pPr>
        <w:pStyle w:val="Heading2"/>
      </w:pPr>
      <w:r>
        <w:t>6 1 Shared contracts</w:t>
      </w:r>
    </w:p>
    <w:p>
      <w:r>
        <w:t>The same schema versions, artifact identifiers, workflow states, model manifests, and effect receipts should be used across profiles. DescribePlatform reports each operation as available, unavailable or unqualified and identifies the authority that controls it. The signed release record binds model, runtime, driver, kernel or host build, sandbox configuration and adapter versions. A successful test on one tuple does not certify every machine with similar RAM.</w:t>
      </w:r>
    </w:p>
    <w:tbl>
      <w:tblPr>
        <w:tblW w:type="auto" w:w="0"/>
        <w:jc w:val="center"/>
        <w:tblLayout w:type="fixed"/>
        <w:tblLook w:firstColumn="1" w:firstRow="1" w:lastColumn="0" w:lastRow="0" w:noHBand="0" w:noVBand="1" w:val="04A0"/>
      </w:tblPr>
      <w:tblGrid>
        <w:gridCol w:w="1944"/>
        <w:gridCol w:w="2736"/>
        <w:gridCol w:w="2736"/>
        <w:gridCol w:w="2578"/>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pPr>
            <w:r>
              <w:rPr>
                <w:b/>
                <w:sz w:val="19"/>
              </w:rPr>
              <w:t>Profile</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pPr>
            <w:r>
              <w:rPr>
                <w:b/>
                <w:sz w:val="19"/>
              </w:rPr>
              <w:t>Kernel and desktop control</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pPr>
            <w:r>
              <w:rPr>
                <w:b/>
                <w:sz w:val="19"/>
              </w:rPr>
              <w:t>Package and state</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pPr>
            <w:r>
              <w:rPr>
                <w:b/>
                <w:sz w:val="19"/>
              </w:rPr>
              <w:t>Required additional validation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Native Ubuntu</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Qualified Linux kernel and product desktop</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Bootable image, protected data, signed model packs</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Boot recovery, hardware, updates, suspend and local isolation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WSL 2</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Microsoft WSL kernel; Windows desktop</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Dedicated distribution, workspace UI and Windows companion</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Host broker, lifecycle, resource coexistence and Windows permissions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Full VM</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Ubuntu guest kernel; host controls physical devices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Qualified VM image or ISO and guest data</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Guest boot, host termination, clone identity and exposed accelerators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Dual boot</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Ubuntu or Windows controls hardware while active</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Native installation plus coexistence and recovery logic</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Partition safety, encryption interaction, boot updates and exchange files</w:t>
            </w:r>
          </w:p>
        </w:tc>
      </w:tr>
    </w:tbl>
    <w:p>
      <w:pPr>
        <w:spacing w:after="0"/>
      </w:pPr>
    </w:p>
    <w:p>
      <w:pPr>
        <w:pStyle w:val="Heading2"/>
      </w:pPr>
      <w:r>
        <w:t>6 2 Native Ubuntu</w:t>
      </w:r>
    </w:p>
    <w:p>
      <w:r>
        <w:t>D2's native product image is assembled from pinned Ubuntu packages and product services. Read-only A/B system slots, signed activation, and health-gated rollback are product deliverables rather than features obtained merely by installing Ubuntu Desktop. User data and model storage must have independent capacity and lifecycle policies. Failed model startup cannot prevent manual login, file export, diagnostics, or recovery. Hardware certification covers a small explicit set of boards before expansion.</w:t>
      </w:r>
    </w:p>
    <w:p>
      <w:r>
        <w:t xml:space="preserve">Linux cgroup v2 supplies CPU, memory and I/O control mechanisms </w:t>
      </w:r>
      <w:r>
        <w:t>[</w:t>
      </w:r>
      <w:hyperlink r:id="rId25">
        <w:r>
          <w:rPr>
            <w:color w:val="245578"/>
          </w:rPr>
          <w:t>13</w:t>
        </w:r>
      </w:hyperlink>
      <w:r>
        <w:t>]</w:t>
      </w:r>
      <w:r>
        <w:t>. Inference device allocations still require backend accounting because host memory counters do not automatically describe all GPU memory. The product's resource ledger adds admission and ownership on top of these controls. Standard driver code remains responsible for hardware execution; the planner can request an allowlisted policy change, not fabricate privileged driver operations.</w:t>
      </w:r>
    </w:p>
    <w:p>
      <w:pPr>
        <w:pStyle w:val="Heading2"/>
      </w:pPr>
      <w:r>
        <w:t>6 3 Windows Subsystem for Linux</w:t>
      </w:r>
    </w:p>
    <w:p>
      <w:r>
        <w:t xml:space="preserve">Microsoft supports custom WSL distributions through a root filesystem and distribution configuration; its current documentation describes the .wsl packaging route </w:t>
      </w:r>
      <w:r>
        <w:t>[</w:t>
      </w:r>
      <w:hyperlink r:id="rId26">
        <w:r>
          <w:rPr>
            <w:color w:val="245578"/>
          </w:rPr>
          <w:t>14</w:t>
        </w:r>
      </w:hyperlink>
      <w:r>
        <w:t>]</w:t>
      </w:r>
      <w:r>
        <w:t xml:space="preserve">. The product should use a distinct distribution identity, create a nonroot account, preserve existing user distributions, and avoid changing global settings without a defined maintenance action. WSLg provides integrated Linux application windows, while relying on the Windows desktop </w:t>
      </w:r>
      <w:r>
        <w:t>[</w:t>
      </w:r>
      <w:hyperlink r:id="rId27">
        <w:r>
          <w:rPr>
            <w:color w:val="245578"/>
          </w:rPr>
          <w:t>15</w:t>
        </w:r>
      </w:hyperlink>
      <w:r>
        <w:t>]</w:t>
      </w:r>
      <w:r>
        <w:t>. The WSL edition therefore presents a workspace rather than claiming independent desktop or boot ownership.</w:t>
      </w:r>
    </w:p>
    <w:p>
      <w:r>
        <w:t xml:space="preserve">Systemd can supervise services within WSL </w:t>
      </w:r>
      <w:r>
        <w:t>[</w:t>
      </w:r>
      <w:hyperlink r:id="rId28">
        <w:r>
          <w:rPr>
            <w:color w:val="245578"/>
          </w:rPr>
          <w:t>16</w:t>
        </w:r>
      </w:hyperlink>
      <w:r>
        <w:t>]</w:t>
      </w:r>
      <w:r>
        <w:t xml:space="preserve">, but its services alone are not a guarantee that the instance remains alive </w:t>
      </w:r>
      <w:r>
        <w:t>[</w:t>
      </w:r>
      <w:hyperlink r:id="rId29">
        <w:r>
          <w:rPr>
            <w:color w:val="245578"/>
          </w:rPr>
          <w:t>17</w:t>
        </w:r>
      </w:hyperlink>
      <w:r>
        <w:t>]</w:t>
      </w:r>
      <w:r>
        <w:t>. An opt-in Windows session companion must coordinate startup, health, background work and recovery from sleep or runtime termination. Events accumulated while WSL is stopped must be replayed or reconciled after restart. No local deployment processes new work while its host is powered off.</w:t>
      </w:r>
    </w:p>
    <w:p>
      <w:r>
        <w:t>A Windows file broker authenticates both ends of the local connection and maps the Windows principal to the product principal. Every effect rechecks the target, current permissions and expected source version. Reparse points, case collisions, locked files, cloud placeholders and moved folders are part of the support matrix. Workers must not inherit arbitrary host-drive access or unrestricted Windows executable interoperability. A localhost TCP address is a transport location, not an authentication mechanism.</w:t>
      </w:r>
    </w:p>
    <w:p>
      <w:r>
        <w:t xml:space="preserve">Metadata and journals belong on qualified private Linux storage; the Windows broker supplies document bytes and metadata through a controlled interface. Microsoft recommends locating files in the filesystem of the tools that work on them for performance </w:t>
      </w:r>
      <w:r>
        <w:t>[</w:t>
      </w:r>
      <w:hyperlink r:id="rId30">
        <w:r>
          <w:rPr>
            <w:color w:val="245578"/>
          </w:rPr>
          <w:t>18</w:t>
        </w:r>
      </w:hyperlink>
      <w:r>
        <w:t>]</w:t>
      </w:r>
      <w:r>
        <w:t>. That recommendation supports the placement choice but does not prove durability of a particular VHDX and host-storage configuration. Host free-space exhaustion, backup consistency and encryption must be tested independently.</w:t>
      </w:r>
    </w:p>
    <w:p>
      <w:r>
        <w:t xml:space="preserve">CUDA on WSL exposes a supported compute path on qualified configurations, with documented driver and feature limitations </w:t>
      </w:r>
      <w:r>
        <w:t>[</w:t>
      </w:r>
      <w:hyperlink r:id="rId31">
        <w:r>
          <w:rPr>
            <w:color w:val="245578"/>
          </w:rPr>
          <w:t>19</w:t>
        </w:r>
      </w:hyperlink>
      <w:r>
        <w:t>]</w:t>
      </w:r>
      <w:r>
        <w:t>. A display-capable virtual GPU does not establish general compute access, and accelerator support must not be inferred from a Windows device listing. CPU execution remains a qualification path, subject to measured interactive performance. If the required isolated runtime for generated native code is unavailable, that operation must be disabled or constrained to a separately qualified execution environment.</w:t>
      </w:r>
    </w:p>
    <w:p>
      <w:pPr>
        <w:pStyle w:val="Heading2"/>
      </w:pPr>
      <w:r>
        <w:t>6 4 Virtual machines and dual boot</w:t>
      </w:r>
    </w:p>
    <w:p>
      <w:r>
        <w:t>A full VM can show the complete guest desktop and exercise Linux guest boot and recovery. It still trusts the Windows host and hypervisor, and compute-device exposure must be qualified separately. VM checkpoints do not by themselves coordinate external effects, identity, or application-consistent backups. A restored guest must not replay a previously completed external commitment. Cloned templates require fresh machine identities and credentials.</w:t>
      </w:r>
    </w:p>
    <w:p>
      <w:r>
        <w:t>Dual boot shares the native software stack but introduces a different installation risk. Prefer a separate disk in early qualification. The installer needs explicit partition effects, verified recovery information, and tests with encryption, hibernation, boot-order changes and updates from both systems. Files written in Windows are processed by Linux after it starts and safely accesses an authorized exchange location. Dual boot does not provide simultaneous background coordination across inactive operating systems.</w:t>
      </w:r>
    </w:p>
    <w:p>
      <w:pPr>
        <w:pStyle w:val="Heading2"/>
      </w:pPr>
      <w:r>
        <w:t>6 5 Migration and update consistency</w:t>
      </w:r>
    </w:p>
    <w:p>
      <w:r>
        <w:t>Migration exports a versioned bundle containing object bytes, authoritative metadata, workflow receipts, identity mappings, and required keys or key-wrapping metadata. The destination validates digests and grants before activation. The source remains recoverable and only one writer is activated for a migrated workspace. An index can be rebuilt; authoritative version history cannot be replaced by a fresh filename scan.</w:t>
      </w:r>
    </w:p>
    <w:p>
      <w:r>
        <w:t>WSL updates use a verified candidate distribution and a controlled state migration, as required by W023. After the new version accepts writes, reverting to an older database snapshot would lose acknowledged work. Recovery must use compatible current-state migration or forward repair. Native A/B root rollback similarly cannot be assumed to roll back user data safely. Bootable software and recoverable user state have separate version contracts.</w:t>
      </w:r>
    </w:p>
    <w:p>
      <w:pPr>
        <w:pStyle w:val="Heading1"/>
      </w:pPr>
      <w:r>
        <w:t>7 Local inference and resource feasibility</w:t>
      </w:r>
    </w:p>
    <w:p>
      <w:pPr>
        <w:pStyle w:val="Heading2"/>
      </w:pPr>
      <w:r>
        <w:t>7 1 Backend and model selection</w:t>
      </w:r>
    </w:p>
    <w:p>
      <w:r>
        <w:t xml:space="preserve">D2 selects llama.cpp as the initial consumer backend and vLLM for compatible server deployments. The llama.cpp project documents CPU and accelerator inference paths </w:t>
      </w:r>
      <w:r>
        <w:t>[</w:t>
      </w:r>
      <w:hyperlink r:id="rId32">
        <w:r>
          <w:rPr>
            <w:color w:val="245578"/>
          </w:rPr>
          <w:t>20</w:t>
        </w:r>
      </w:hyperlink>
      <w:r>
        <w:t>]</w:t>
      </w:r>
      <w:r>
        <w:t xml:space="preserve">. vLLM documents parallel serving configurations that can distribute compatible models across devices or nodes </w:t>
      </w:r>
      <w:r>
        <w:t>[</w:t>
      </w:r>
      <w:hyperlink r:id="rId33">
        <w:r>
          <w:rPr>
            <w:color w:val="245578"/>
          </w:rPr>
          <w:t>21</w:t>
        </w:r>
      </w:hyperlink>
      <w:r>
        <w:t>]</w:t>
      </w:r>
      <w:r>
        <w:t>. These are available implementation components, not certification of every model, quantization, context length, or hardware combination.</w:t>
      </w:r>
    </w:p>
    <w:p>
      <w:r>
        <w:t>The embedded 4 to 6 billion parameter model is a candidate for routing, extraction and bounded planning. A larger specialist may improve task quality on a qualified machine, but model size is not a quality guarantee. Freeze task-specific evaluation before choosing a model. Packaging must include a model's actual weights, tokenizer, chat template, permitted runtime and redistribution terms. Offline operation means those assets are locally available and every declared offline workflow passes with networking blocked.</w:t>
      </w:r>
    </w:p>
    <w:p>
      <w:pPr>
        <w:pStyle w:val="Heading2"/>
      </w:pPr>
      <w:r>
        <w:t>7 2 Memory accounting</w:t>
      </w:r>
    </w:p>
    <w:p>
      <w:pPr>
        <w:keepNext/>
      </w:pPr>
      <w:r>
        <w:t>Equation 1 gives the raw weight storage for a model with P parameters stored at b bits per parameter. It excludes quantization metadata, tensors retained at higher precision, runtime buffers, context state, and loading copies.</w:t>
      </w:r>
    </w:p>
    <w:p>
      <w:pPr>
        <w:spacing w:after="180"/>
        <w:jc w:val="center"/>
      </w:pPr>
      <m:oMath>
        <m:sSub>
          <m:e>
            <m:r>
              <m:t>W</m:t>
            </m:r>
          </m:e>
          <m:sub>
            <m:r>
              <m:t>raw</m:t>
            </m:r>
          </m:sub>
        </m:sSub>
        <m:r>
          <m:t> = </m:t>
        </m:r>
        <m:f>
          <m:num>
            <m:r>
              <m:t>P × b</m:t>
            </m:r>
          </m:num>
          <m:den>
            <m:r>
              <m:t>8</m:t>
            </m:r>
          </m:den>
        </m:f>
        <m:r>
          <m:t> bytes     (1)</m:t>
        </m:r>
      </m:oMath>
    </w:p>
    <w:p>
      <w:pPr>
        <w:keepNext/>
      </w:pPr>
      <w:r>
        <w:t>Equation 2 gives the logical key and value cache for a uniform transformer with full attention. L is layer count, T retained tokens per sequence, H is the number of key/value heads, d head dimension, e bytes per element, and S concurrent sequences. Hybrid architectures require their own estimator.</w:t>
      </w:r>
    </w:p>
    <w:p>
      <w:pPr>
        <w:spacing w:after="180"/>
        <w:jc w:val="center"/>
      </w:pPr>
      <m:oMath>
        <m:r>
          <m:t>K = 2 × L × T × H × d × e × S bytes     (2)</m:t>
        </m:r>
      </m:oMath>
    </w:p>
    <w:p>
      <w:pPr>
        <w:keepNext/>
      </w:pPr>
      <w:r>
        <w:t>Equation 3 is the admission condition for each physical memory domain j. Account for weight residency W, context state K, runtime scratch A, transfer and loading buffers B, existing allocations E, and protected reserve R. Use the maximum concurrent demand over the load and serving phases. Host RAM and GPU VRAM are separate domains unless an actual shared allocation is identified.</w:t>
      </w:r>
    </w:p>
    <w:p>
      <w:pPr>
        <w:spacing w:after="180"/>
        <w:jc w:val="center"/>
      </w:pPr>
      <m:oMath>
        <m:sSub>
          <m:e>
            <m:r>
              <m:t>W</m:t>
            </m:r>
          </m:e>
          <m:sub>
            <m:r>
              <m:t>j</m:t>
            </m:r>
          </m:sub>
        </m:sSub>
        <m:r>
          <m:t> + </m:t>
        </m:r>
        <m:sSub>
          <m:e>
            <m:r>
              <m:t>K</m:t>
            </m:r>
          </m:e>
          <m:sub>
            <m:r>
              <m:t>j</m:t>
            </m:r>
          </m:sub>
        </m:sSub>
        <m:r>
          <m:t> + </m:t>
        </m:r>
        <m:sSub>
          <m:e>
            <m:r>
              <m:t>A</m:t>
            </m:r>
          </m:e>
          <m:sub>
            <m:r>
              <m:t>j</m:t>
            </m:r>
          </m:sub>
        </m:sSub>
        <m:r>
          <m:t> + </m:t>
        </m:r>
        <m:sSub>
          <m:e>
            <m:r>
              <m:t>B</m:t>
            </m:r>
          </m:e>
          <m:sub>
            <m:r>
              <m:t>j</m:t>
            </m:r>
          </m:sub>
        </m:sSub>
        <m:r>
          <m:t> + </m:t>
        </m:r>
        <m:sSub>
          <m:e>
            <m:r>
              <m:t>E</m:t>
            </m:r>
          </m:e>
          <m:sub>
            <m:r>
              <m:t>j</m:t>
            </m:r>
          </m:sub>
        </m:sSub>
        <m:r>
          <m:t> + </m:t>
        </m:r>
        <m:sSub>
          <m:e>
            <m:r>
              <m:t>R</m:t>
            </m:r>
          </m:e>
          <m:sub>
            <m:r>
              <m:t>j</m:t>
            </m:r>
          </m:sub>
        </m:sSub>
        <m:r>
          <m:t> ≤ </m:t>
        </m:r>
        <m:sSub>
          <m:e>
            <m:r>
              <m:t>M</m:t>
            </m:r>
          </m:e>
          <m:sub>
            <m:r>
              <m:t>j</m:t>
            </m:r>
          </m:sub>
        </m:sSub>
        <m:r>
          <m:t>     for every j     (3)</m:t>
        </m:r>
      </m:oMath>
    </w:p>
    <w:tbl>
      <w:tblPr>
        <w:tblW w:type="auto" w:w="0"/>
        <w:jc w:val="center"/>
        <w:tblLayout w:type="fixed"/>
        <w:tblLook w:firstColumn="1" w:firstRow="1" w:lastColumn="0" w:lastRow="0" w:noHBand="0" w:noVBand="1" w:val="04A0"/>
      </w:tblPr>
      <w:tblGrid>
        <w:gridCol w:w="1656"/>
        <w:gridCol w:w="1944"/>
        <w:gridCol w:w="2592"/>
        <w:gridCol w:w="3802"/>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jc w:val="center"/>
            </w:pPr>
            <w:r>
              <w:rPr>
                <w:b/>
                <w:sz w:val="19"/>
              </w:rPr>
              <w:t>Model parameters</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jc w:val="center"/>
            </w:pPr>
            <w:r>
              <w:rPr>
                <w:b/>
                <w:sz w:val="19"/>
              </w:rPr>
              <w:t>Raw 4 bit weights in GiB</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jc w:val="center"/>
            </w:pPr>
            <w:r>
              <w:rPr>
                <w:b/>
                <w:sz w:val="19"/>
              </w:rPr>
              <w:t>Weight allowance with 20 percent overhead in GiB</w:t>
            </w:r>
          </w:p>
        </w:tc>
        <w:tc>
          <w:tcPr>
            <w:tcW w:type="dxa" w:w="38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Interpretation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4B</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1.86</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2.24</w:t>
            </w:r>
          </w:p>
        </w:tc>
        <w:tc>
          <w:tcPr>
            <w:tcW w:type="dxa" w:w="38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Compact candidate before context and runtime</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jc w:val="center"/>
            </w:pPr>
            <w:r>
              <w:rPr>
                <w:b w:val="0"/>
                <w:sz w:val="19"/>
              </w:rPr>
              <w:t>6B</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jc w:val="center"/>
            </w:pPr>
            <w:r>
              <w:rPr>
                <w:b w:val="0"/>
                <w:sz w:val="19"/>
              </w:rPr>
              <w:t>2.79</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jc w:val="center"/>
            </w:pPr>
            <w:r>
              <w:rPr>
                <w:b w:val="0"/>
                <w:sz w:val="19"/>
              </w:rPr>
              <w:t>3.35</w:t>
            </w:r>
          </w:p>
        </w:tc>
        <w:tc>
          <w:tcPr>
            <w:tcW w:type="dxa" w:w="38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Compact candidate requiring whole-system admission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14B</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6.52</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7.82</w:t>
            </w:r>
          </w:p>
        </w:tc>
        <w:tc>
          <w:tcPr>
            <w:tcW w:type="dxa" w:w="38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Larger desktop option on qualified hardware</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jc w:val="center"/>
            </w:pPr>
            <w:r>
              <w:rPr>
                <w:b w:val="0"/>
                <w:sz w:val="19"/>
              </w:rPr>
              <w:t>32B</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jc w:val="center"/>
            </w:pPr>
            <w:r>
              <w:rPr>
                <w:b w:val="0"/>
                <w:sz w:val="19"/>
              </w:rPr>
              <w:t>14.90</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jc w:val="center"/>
            </w:pPr>
            <w:r>
              <w:rPr>
                <w:b w:val="0"/>
                <w:sz w:val="19"/>
              </w:rPr>
              <w:t>17.88</w:t>
            </w:r>
          </w:p>
        </w:tc>
        <w:tc>
          <w:tcPr>
            <w:tcW w:type="dxa" w:w="38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Workstation-oriented resident budget</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70B</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32.60</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39.12</w:t>
            </w:r>
          </w:p>
        </w:tc>
        <w:tc>
          <w:tcPr>
            <w:tcW w:type="dxa" w:w="38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Large workstation or server option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jc w:val="center"/>
            </w:pPr>
            <w:r>
              <w:rPr>
                <w:b w:val="0"/>
                <w:sz w:val="19"/>
              </w:rPr>
              <w:t>200B</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jc w:val="center"/>
            </w:pPr>
            <w:r>
              <w:rPr>
                <w:b w:val="0"/>
                <w:sz w:val="19"/>
              </w:rPr>
              <w:t>93.13</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jc w:val="center"/>
            </w:pPr>
            <w:r>
              <w:rPr>
                <w:b w:val="0"/>
                <w:sz w:val="19"/>
              </w:rPr>
              <w:t>111.76</w:t>
            </w:r>
          </w:p>
        </w:tc>
        <w:tc>
          <w:tcPr>
            <w:tcW w:type="dxa" w:w="38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Separate large-model qualification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400B</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186.26</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223.52</w:t>
            </w:r>
          </w:p>
        </w:tc>
        <w:tc>
          <w:tcPr>
            <w:tcW w:type="dxa" w:w="38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Server-scale capacity before context and runtime</w:t>
            </w:r>
          </w:p>
        </w:tc>
      </w:tr>
    </w:tbl>
    <w:p>
      <w:pPr>
        <w:spacing w:after="0"/>
      </w:pPr>
    </w:p>
    <w:p>
      <w:r>
        <w:t>Table values are arithmetic planning examples, not measured models. The 20 percent factor is a declared allowance inherited from D2 and must be replaced by actual manifests and peaks. A mixture-of-experts model may reduce active compute per token while still requiring access to its full weight set or a specifically measured paging implementation.</w:t>
      </w:r>
    </w:p>
    <w:p>
      <w:pPr>
        <w:pStyle w:val="Heading2"/>
      </w:pPr>
      <w:r>
        <w:t>7 3 Illustrative complete budgets</w:t>
      </w:r>
    </w:p>
    <w:p>
      <w:r>
        <w:t>For the D2 compact example, a 6B 4 bit weight allowance of 3.35 GiB combines with 3.00 GiB for kernel, desktop and controls, 1.00 GiB for logical context, 1.50 GiB runtime scratch, 1.00 GiB display or auxiliary staging, 2.00 GiB for applications and workers, and 2.00 GiB protected reserve. The planned total is 13.85 GiB on a 16 GiB native profile. This leaves little room for a larger vision model, longer context or concurrent generated-code workers. It is a budget to test, not a supported configuration certificate.</w:t>
      </w:r>
    </w:p>
    <w:p>
      <w:r>
        <w:t>D3's Windows planning profile instead begins with 32 GiB host memory and a 12 to 16 GiB guest budget for compact operation, with a measured reserve for Windows and ordinary foreground work. A 16 GiB Windows laptop is an evaluation target until the combined workload passes. Guest memory limits alone do not prevent host pressure from other applications or other WSL distributions.</w:t>
      </w:r>
    </w:p>
    <w:p>
      <w:r>
        <w:t>For 400B, D2's illustrative 4 bit host-resident calculation totals about 391.27 GiB on a 512 GiB host: 223.52 GiB weights, 15.75 GiB logical context, 32 GiB runtime, 32 GiB loading allowance, 24 GiB other services, and 64 GiB reserve. The context example assumes 126 layers, 8 key/value heads, head width 128, two-byte elements, 32,768 tokens and one sequence. Different architectures invalidate that value. Fit alone says nothing about interactive speed.</w:t>
      </w:r>
    </w:p>
    <w:p>
      <w:pPr>
        <w:pStyle w:val="Heading2"/>
      </w:pPr>
      <w:r>
        <w:t>7 4 Bandwidth and scheduling</w:t>
      </w:r>
    </w:p>
    <w:p>
      <w:pPr>
        <w:keepNext/>
      </w:pPr>
      <w:r>
        <w:t>For an illustrative single-sequence dense decode that streams the weight set on each step, Equation 4 gives an optimistic bandwidth ceiling. It omits compute, communication, context traffic and inefficiencies. Batching, weight reuse, speculative execution and sparse activation can change the applicable model; this is not a universal bound.</w:t>
      </w:r>
    </w:p>
    <w:p>
      <w:pPr>
        <w:spacing w:after="180"/>
        <w:jc w:val="center"/>
      </w:pPr>
      <m:oMath>
        <m:r>
          <m:t>Decode rate ≤ </m:t>
        </m:r>
        <m:f>
          <m:num>
            <m:r>
              <m:t>Effective weight read bandwidth</m:t>
            </m:r>
          </m:num>
          <m:den>
            <m:r>
              <m:t>Weight bytes read per token</m:t>
            </m:r>
          </m:den>
        </m:f>
        <m:r>
          <m:t>     (4)</m:t>
        </m:r>
      </m:oMath>
    </w:p>
    <w:p>
      <w:r>
        <w:t xml:space="preserve">A 240 GB packed weight set read through an effective 200 GB per second path yields approximately 0.83 tokens per second under that assumption. At 1 TB per second the result is approximately 4.17 tokens per second. Both are calculated examples, not benchmarks. SSD capacity must therefore not be described as equivalent to fast resident inference memory. PagedAttention addresses organization and sharing of attention state in serving systems </w:t>
      </w:r>
      <w:r>
        <w:t>[</w:t>
      </w:r>
      <w:hyperlink r:id="rId34">
        <w:r>
          <w:rPr>
            <w:color w:val="245578"/>
          </w:rPr>
          <w:t>22</w:t>
        </w:r>
      </w:hyperlink>
      <w:r>
        <w:t>]</w:t>
      </w:r>
      <w:r>
        <w:t>; it does not remove the weight-residency and bandwidth requirements of a selected model.</w:t>
      </w:r>
    </w:p>
    <w:p>
      <w:r>
        <w:t>Admission must protect shell responsiveness, cancellation and file operations. Under pressure, stop new background admission, evict eligible caches, and reduce future concurrency. Do not silently shorten an already accepted request or change its model. If execution cannot continue, preserve committed outputs and report an interruption. D2 Q02 and Q03 remain proposed interactive targets; the microstudy below does not measure them.</w:t>
      </w:r>
    </w:p>
    <w:p>
      <w:pPr>
        <w:pStyle w:val="Heading1"/>
      </w:pPr>
      <w:r>
        <w:t>8 Security and dependable execution</w:t>
      </w:r>
    </w:p>
    <w:p>
      <w:pPr>
        <w:pStyle w:val="Heading2"/>
      </w:pPr>
      <w:r>
        <w:t>8 1 Threat model</w:t>
      </w:r>
    </w:p>
    <w:p>
      <w:r>
        <w:t>The adversary may control document content, web pages, retrieved snippets, filenames, tool responses, or generated code. The model may hallucinate a filename, operation or permission. Ordinary workers may crash or attempt excessive resource use. The native trusted base includes the kernel, broker, artifact service, approved launch helpers and signing mechanism. The Windows profiles additionally trust Windows and the host virtualization layer. Host administrator compromise is outside the protection claim of a guest workspace.</w:t>
      </w:r>
    </w:p>
    <w:tbl>
      <w:tblPr>
        <w:tblW w:type="auto" w:w="0"/>
        <w:jc w:val="center"/>
        <w:tblLayout w:type="fixed"/>
        <w:tblLook w:firstColumn="1" w:firstRow="1" w:lastColumn="0" w:lastRow="0" w:noHBand="0" w:noVBand="1" w:val="04A0"/>
      </w:tblPr>
      <w:tblGrid>
        <w:gridCol w:w="2304"/>
        <w:gridCol w:w="4104"/>
        <w:gridCol w:w="358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Threat</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Required control</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Residual issue to evaluate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Document prompt injection</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Treat content as data; grants checked outside the model</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An authorized action may still use incorrect content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Confused identity or target</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Authenticated principal, object identity and expected version</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Alias resolution and user intent can remain ambiguous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Path or reparse-point race</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Broker handles, current ACL checks and identity revalidation</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Platform-specific race behaviour needs adversarial testing</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Generated code escape</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Qualified sandbox or microVM; no ambient secrets or host access</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Isolation implementation and kernel vulnerabilities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Resource exhaustion</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Admission, quotas, deadlines and independently responsive controls</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GPU telemetry gaps and host pressure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Lost response or duplicate event</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Operation fingerprint, receipt and reconciliation</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External providers without idempotency support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Malicious or incompatible update</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Signatures, versioned policy and migration checks</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Signing-key compromise and maintenance capacity</w:t>
            </w:r>
          </w:p>
        </w:tc>
      </w:tr>
    </w:tbl>
    <w:p>
      <w:pPr>
        <w:spacing w:after="0"/>
      </w:pPr>
    </w:p>
    <w:p>
      <w:pPr>
        <w:pStyle w:val="Heading2"/>
      </w:pPr>
      <w:r>
        <w:t>8 2 Authorization and user control</w:t>
      </w:r>
    </w:p>
    <w:p>
      <w:r>
        <w:t>A capability binds principal, operation, artifact or source identity, maximum scope, expected version, expiry, and an operation digest. It must be checked immediately before the effect. A request to read a document does not authorize emailing it; a request to save a presentation does not authorize deleting all older presentations. The user can preauthorize a narrow recurring filing rule, so routine tasks do not require repetitive confirmations. Destructive or external commitments retain explicit, reviewable authority.</w:t>
      </w:r>
    </w:p>
    <w:p>
      <w:r>
        <w:t xml:space="preserve">Control policies reduce what an attacker can cause, but they cannot make a semantically incorrect output correct. For example, an attacker could influence an invoice summary while remaining within a read-only grant. Content validation, field provenance, and review of consequential outputs remain necessary. Anthropic's prompt-injection research explicitly describes continuing risk despite improved defenses </w:t>
      </w:r>
      <w:r>
        <w:t>[</w:t>
      </w:r>
      <w:hyperlink r:id="rId35">
        <w:r>
          <w:rPr>
            <w:color w:val="245578"/>
          </w:rPr>
          <w:t>23</w:t>
        </w:r>
      </w:hyperlink>
      <w:r>
        <w:t>]</w:t>
      </w:r>
      <w:r>
        <w:t>. Security must be measured as both attack resistance and preserved legitimate task utility.</w:t>
      </w:r>
    </w:p>
    <w:p>
      <w:pPr>
        <w:pStyle w:val="Heading2"/>
      </w:pPr>
      <w:r>
        <w:t>8 3 Isolation and operational requirements</w:t>
      </w:r>
    </w:p>
    <w:p>
      <w:r>
        <w:t>D2 A114 requires a qualified microVM boundary for untrusted native generated code or a separately qualified constrained runtime. Ordinary containers are not silently substituted for that threat model. WSL capability probing must establish the available isolation composition before enabling such skills. The bounded artifact prototype runs as a trusted process and implements none of this isolation. Its denied requests therefore demonstrate logical authorization handling, not a secure boundary against malicious code.</w:t>
      </w:r>
    </w:p>
    <w:p>
      <w:r>
        <w:t>Production telemetry records state transitions, operation digests, actual receipts and resource peaks while avoiding raw private content by default. Exportable diagnostics need redaction tests. Secret handles belong to a credential broker and must not become model context. Signing, vulnerability response, backup restoration, migration, and support of declared hardware are ongoing product work after the first successful demonstration.</w:t>
      </w:r>
    </w:p>
    <w:p>
      <w:pPr>
        <w:pStyle w:val="Heading1"/>
      </w:pPr>
      <w:r>
        <w:t>9 Executable reference study</w:t>
      </w:r>
    </w:p>
    <w:p>
      <w:pPr>
        <w:pStyle w:val="Heading2"/>
      </w:pPr>
      <w:r>
        <w:t>9 1 Purpose and implementation</w:t>
      </w:r>
    </w:p>
    <w:p>
      <w:r>
        <w:t>The supplementary implementation tests a small part of the proposed artifact service using Python's standard library. It includes private staging and object directories, SHA-256 content digests, SQLite metadata, version-checked publication, durable receipts, logical grants, and exact structured retrieval. It implements no planner, classifier, OCR, Windows file monitor, native desktop, authenticated network service, model runtime, encryption, or sandbox. All callers in the experiment are trusted test processes. No real customer files are used.</w:t>
      </w:r>
    </w:p>
    <w:p>
      <w:r>
        <w:t>The artifact identifier derives from the owner and logical source identity. Version records identify immutable payload digests. A receipt binds an owner and idempotency key to a fingerprint of the source, payload, metadata, and expected version. The code accepts three synthetic document categories and validates an ISO calendar date. These checks restrict test inputs; they do not verify the truth of document content. The prototype stores metadata supplied by the fixture generator.</w:t>
      </w:r>
    </w:p>
    <w:p>
      <w:r>
        <w:t>The publication transaction uses BEGIN IMMEDIATE, WAL journal mode, and synchronous FULL. It holds the database writer lock through byte publication, which gives a simple serialization point for grants and expected versions. This is a conservative reference implementation rather than an optimized storage engine. A private temporary root is created for each experiment family. Test execution never reads, moves, or removes user documents. Cleanup operates only on generated fixtures, with publishers stopped.</w:t>
      </w:r>
    </w:p>
    <w:p>
      <w:pPr>
        <w:pStyle w:val="Heading2"/>
      </w:pPr>
      <w:r>
        <w:t>9 2 Workloads and oracle</w:t>
      </w:r>
    </w:p>
    <w:p>
      <w:r>
        <w:t>Five fresh-store runs each publish 200 unique 16,384-byte records and immediately replay every request with the same arguments. Synthetic payloads are padded JSON records, not PDFs or Office files. Publication timings start after initial store setup and grant creation; they include fingerprint calculation, transaction handling, byte publication, synchronization calls and metadata commit. They exclude application startup, language processing, event detection and document parsing. No separate warmup is removed from these runs.</w:t>
      </w:r>
    </w:p>
    <w:p>
      <w:r>
        <w:t>The crash experiment executes 1,000 child processes, evenly divided over four fixed termination points. The child calls os._exit(73), bypassing normal exception cleanup. Termination occurs after the staged file is flushed, after object publication and directory synchronization, before metadata commit, or immediately after commit and before a response. The parent checks whether a receipt exists, runs quiescent cleanup, and retries the identical operation in a new process. The test expects no receipt before commit and exactly one receipt after commit, followed by one final version for every logical request.</w:t>
      </w:r>
    </w:p>
    <w:p>
      <w:r>
        <w:t>The concurrency experiment submits 32 identical requests using up to eight simultaneous subprocess calls. It then submits 32 different writes against the same expected version. The first experiment expects one new commit and 31 replays; the second expects one winning update and 31 version conflicts. The schedule is determined by the runtime and is recorded only through outcomes; the experiment is not an exhaustive concurrency proof.</w:t>
      </w:r>
    </w:p>
    <w:p>
      <w:r>
        <w:t>The logical-policy experiment creates 100 artifacts. Each altered-payload reuse of an existing idempotency key must fail. After revocation, replay by the original owner must fail, as must a request by a second principal without a grant. A separate corpus contains 300 records across three categories, two customers and 30 dates. An independently constructed fixture predicate determines the expected members for one exact date/customer query. The query uses structured filters, so it contains no language-model inference.</w:t>
      </w:r>
    </w:p>
    <w:p>
      <w:pPr>
        <w:pStyle w:val="Heading2"/>
      </w:pPr>
      <w:r>
        <w:t>9 3 Environment and reproducibility</w:t>
      </w:r>
    </w:p>
    <w:tbl>
      <w:tblPr>
        <w:tblW w:type="auto" w:w="0"/>
        <w:jc w:val="center"/>
        <w:tblLayout w:type="fixed"/>
        <w:tblLook w:firstColumn="1" w:firstRow="1" w:lastColumn="0" w:lastRow="0" w:noHBand="0" w:noVBand="1" w:val="04A0"/>
      </w:tblPr>
      <w:tblGrid>
        <w:gridCol w:w="2880"/>
        <w:gridCol w:w="7114"/>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Environment field</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Recorded value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Execution date</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19 September 2026 UTC</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Python and SQLite</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Python 3.12.14; SQLite 3.53.1</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Reported operating environment</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Linux 6.18.44 x86_64; glibc 2.39</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Reported processor</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Intel Xeon Platinum 8272CL at 2.60 GHz</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Visible logical processors</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9</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Reported experiment filesystem</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overlayfs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Physical storage and power-loss behaviour</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Not exposed by the managed environment</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Record payload</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16 KiB generated fixture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Wall time for the complete suite</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353.421 seconds</w:t>
            </w:r>
          </w:p>
        </w:tc>
      </w:tr>
    </w:tbl>
    <w:p>
      <w:pPr>
        <w:spacing w:after="0"/>
      </w:pPr>
    </w:p>
    <w:p>
      <w:r>
        <w:t>The environment reports a virtualized or container setting. CPU labels and visible processor counts do not identify dedicated physical resources. Overlay storage and host caching prevent interpreting synchronization timings as physical-device durability latency. The environment manifest records the script hashes, and the supplement retains every measured publication and replay latency and every crash phase outcome. Repeating the suite on another machine should reproduce logical outcomes; timing equality is neither expected nor required.</w:t>
      </w:r>
    </w:p>
    <w:p>
      <w:r>
        <w:t>The scripts require Python 3.10 or later with SQLite and a Linux filesystem interface that supports directory synchronization. They use no external Python packages. Execution directly under Windows is not supported by this demonstrator. Execution under WSL is a future experiment and must record that environment rather than being inferred from Linux compatibility. Appendix A provides the exact reproduction command and file inventory.</w:t>
      </w:r>
    </w:p>
    <w:p>
      <w:pPr>
        <w:pStyle w:val="Heading1"/>
      </w:pPr>
      <w:r>
        <w:t>10 Measured results and interpretation</w:t>
      </w:r>
    </w:p>
    <w:p>
      <w:pPr>
        <w:pStyle w:val="Heading2"/>
      </w:pPr>
      <w:r>
        <w:t>10 1 Correctness outcomes</w:t>
      </w:r>
    </w:p>
    <w:tbl>
      <w:tblPr>
        <w:tblW w:type="auto" w:w="0"/>
        <w:jc w:val="center"/>
        <w:tblLayout w:type="fixed"/>
        <w:tblLook w:firstColumn="1" w:firstRow="1" w:lastColumn="0" w:lastRow="0" w:noHBand="0" w:noVBand="1" w:val="04A0"/>
      </w:tblPr>
      <w:tblGrid>
        <w:gridCol w:w="1944"/>
        <w:gridCol w:w="2736"/>
        <w:gridCol w:w="2736"/>
        <w:gridCol w:w="2578"/>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Experiment</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Executed workload</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Observed result</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Supported interpretation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Ordinary publication</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1,000 new records over five stores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1,000 committed versions</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The tested publication path completed for these fixtures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Sequential replay</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1,000 identical resubmissions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1,000 replays without new versions</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Receipt lookup avoided duplicate logical commits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Process termination</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1,000 exits at four boundaries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1,000 final versions and receipts after retry</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The tested interruption points recovered consistently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Committed-object validation</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Final crash store inspected</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Zero missing or digest-invalid objects; zero foreign-key violations; integrity check returned ok</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Metadata and bytes agreed in the inspected state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Concurrent duplicate request</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32 requests with one key and fingerprint</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One new commit and 31 replays</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Concurrent duplicates resolved consistently in this schedule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Concurrent version race</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32 different writes against version 1</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One update and 31 conflicts</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Stale writers did not silently overwrite the winner</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Changed arguments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100 reused keys with changed payloads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100 conflicts</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Keys were bound to an operation fingerprint</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Logical permission denial</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100 revoked replays and 100 unauthorized-principal writes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200 denials</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These broker-level checks rejected the test cases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Structured retrieval</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300 records and one held-out exact query</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Expected 10 records; returned the same 10</w:t>
            </w:r>
          </w:p>
        </w:tc>
        <w:tc>
          <w:tcPr>
            <w:tcW w:type="dxa" w:w="25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Date, type and customer predicates matched the fixture oracle</w:t>
            </w:r>
          </w:p>
        </w:tc>
      </w:tr>
    </w:tbl>
    <w:p>
      <w:pPr>
        <w:spacing w:after="0"/>
      </w:pPr>
    </w:p>
    <w:p>
      <w:r>
        <w:t>There were 250 process exits at each injection point. The 750 precommit exits left no committed receipt before retry. The 250 postcommit exits left a receipt even though the caller received no response; retry returned that receipt. These observations support the proposed separation between publication and acknowledgement. The suite found no violation of the tested storage assertions. They do not constitute exhaustive fault coverage.</w:t>
      </w:r>
    </w:p>
    <w:p>
      <w:r>
        <w:t>Permission results require a narrow interpretation. The test caller passes a principal string to a trusted function. There is no login system and no defense against a caller modifying the database or store directory directly. The outcomes therefore test policy logic under a trusted execution assumption. Likewise, the exact query result provides no estimate of classification accuracy or natural-language understanding.</w:t>
      </w:r>
    </w:p>
    <w:p>
      <w:pPr>
        <w:pStyle w:val="Heading2"/>
      </w:pPr>
      <w:r>
        <w:t>10 2 Publication timing</w:t>
      </w:r>
    </w:p>
    <w:tbl>
      <w:tblPr>
        <w:tblW w:type="auto" w:w="0"/>
        <w:jc w:val="center"/>
        <w:tblLayout w:type="fixed"/>
        <w:tblLook w:firstColumn="1" w:firstRow="1" w:lastColumn="0" w:lastRow="0" w:noHBand="0" w:noVBand="1" w:val="04A0"/>
      </w:tblPr>
      <w:tblGrid>
        <w:gridCol w:w="864"/>
        <w:gridCol w:w="1584"/>
        <w:gridCol w:w="2592"/>
        <w:gridCol w:w="2592"/>
        <w:gridCol w:w="2362"/>
      </w:tblGrid>
      <w:tr>
        <w:trPr>
          <w:cantSplit/>
          <w:tblHeader/>
        </w:trPr>
        <w:tc>
          <w:tcPr>
            <w:tcW w:type="dxa" w:w="86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jc w:val="center"/>
            </w:pPr>
            <w:r>
              <w:rPr>
                <w:b/>
                <w:sz w:val="19"/>
              </w:rPr>
              <w:t>Run</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jc w:val="center"/>
            </w:pPr>
            <w:r>
              <w:rPr>
                <w:b/>
                <w:sz w:val="19"/>
              </w:rPr>
              <w:t>New commits</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jc w:val="center"/>
            </w:pPr>
            <w:r>
              <w:rPr>
                <w:b/>
                <w:sz w:val="19"/>
              </w:rPr>
              <w:t>Median publication in ms</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jc w:val="center"/>
            </w:pPr>
            <w:r>
              <w:rPr>
                <w:b/>
                <w:sz w:val="19"/>
              </w:rPr>
              <w:t>P95 publication in ms</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pPr>
            <w:r>
              <w:rPr>
                <w:b/>
                <w:sz w:val="19"/>
              </w:rPr>
              <w:t>Median replay in ms</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jc w:val="center"/>
            </w:pPr>
            <w:r>
              <w:rPr>
                <w:b w:val="0"/>
                <w:sz w:val="19"/>
              </w:rPr>
              <w:t>1</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jc w:val="center"/>
            </w:pPr>
            <w:r>
              <w:rPr>
                <w:b w:val="0"/>
                <w:sz w:val="19"/>
              </w:rPr>
              <w:t>200</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jc w:val="center"/>
            </w:pPr>
            <w:r>
              <w:rPr>
                <w:b w:val="0"/>
                <w:sz w:val="19"/>
              </w:rPr>
              <w:t>0.271</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jc w:val="center"/>
            </w:pPr>
            <w:r>
              <w:rPr>
                <w:b w:val="0"/>
                <w:sz w:val="19"/>
              </w:rPr>
              <w:t>0.422</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0.091</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jc w:val="center"/>
            </w:pPr>
            <w:r>
              <w:rPr>
                <w:b w:val="0"/>
                <w:sz w:val="19"/>
              </w:rPr>
              <w:t>2</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jc w:val="center"/>
            </w:pPr>
            <w:r>
              <w:rPr>
                <w:b w:val="0"/>
                <w:sz w:val="19"/>
              </w:rPr>
              <w:t>200</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jc w:val="center"/>
            </w:pPr>
            <w:r>
              <w:rPr>
                <w:b w:val="0"/>
                <w:sz w:val="19"/>
              </w:rPr>
              <w:t>0.290</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jc w:val="center"/>
            </w:pPr>
            <w:r>
              <w:rPr>
                <w:b w:val="0"/>
                <w:sz w:val="19"/>
              </w:rPr>
              <w:t>0.405</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0.094</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jc w:val="center"/>
            </w:pPr>
            <w:r>
              <w:rPr>
                <w:b w:val="0"/>
                <w:sz w:val="19"/>
              </w:rPr>
              <w:t>3</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jc w:val="center"/>
            </w:pPr>
            <w:r>
              <w:rPr>
                <w:b w:val="0"/>
                <w:sz w:val="19"/>
              </w:rPr>
              <w:t>200</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jc w:val="center"/>
            </w:pPr>
            <w:r>
              <w:rPr>
                <w:b w:val="0"/>
                <w:sz w:val="19"/>
              </w:rPr>
              <w:t>0.282</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jc w:val="center"/>
            </w:pPr>
            <w:r>
              <w:rPr>
                <w:b w:val="0"/>
                <w:sz w:val="19"/>
              </w:rPr>
              <w:t>0.420</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0.094</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jc w:val="center"/>
            </w:pPr>
            <w:r>
              <w:rPr>
                <w:b w:val="0"/>
                <w:sz w:val="19"/>
              </w:rPr>
              <w:t>4</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jc w:val="center"/>
            </w:pPr>
            <w:r>
              <w:rPr>
                <w:b w:val="0"/>
                <w:sz w:val="19"/>
              </w:rPr>
              <w:t>200</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jc w:val="center"/>
            </w:pPr>
            <w:r>
              <w:rPr>
                <w:b w:val="0"/>
                <w:sz w:val="19"/>
              </w:rPr>
              <w:t>0.278</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jc w:val="center"/>
            </w:pPr>
            <w:r>
              <w:rPr>
                <w:b w:val="0"/>
                <w:sz w:val="19"/>
              </w:rPr>
              <w:t>0.395</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0.093</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5</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200</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0.285</w:t>
            </w:r>
          </w:p>
        </w:tc>
        <w:tc>
          <w:tcPr>
            <w:tcW w:type="dxa" w:w="25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jc w:val="center"/>
            </w:pPr>
            <w:r>
              <w:rPr>
                <w:b w:val="0"/>
                <w:sz w:val="19"/>
              </w:rPr>
              <w:t>0.429</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0.093</w:t>
            </w:r>
          </w:p>
        </w:tc>
      </w:tr>
    </w:tbl>
    <w:p>
      <w:pPr>
        <w:spacing w:after="0"/>
      </w:pPr>
    </w:p>
    <w:p>
      <w:pPr>
        <w:keepNext/>
        <w:jc w:val="center"/>
      </w:pPr>
      <w:r>
        <w:drawing>
          <wp:inline xmlns:a="http://schemas.openxmlformats.org/drawingml/2006/main" xmlns:pic="http://schemas.openxmlformats.org/drawingml/2006/picture">
            <wp:extent cx="6080760" cy="2809533"/>
            <wp:docPr id="3" name="Picture 3" descr="Figure 3 Measured publication timing in the reference environment"/>
            <wp:cNvGraphicFramePr>
              <a:graphicFrameLocks noChangeAspect="1"/>
            </wp:cNvGraphicFramePr>
            <a:graphic>
              <a:graphicData uri="http://schemas.openxmlformats.org/drawingml/2006/picture">
                <pic:pic>
                  <pic:nvPicPr>
                    <pic:cNvPr id="0" name="latency.png"/>
                    <pic:cNvPicPr/>
                  </pic:nvPicPr>
                  <pic:blipFill>
                    <a:blip r:embed="rId36"/>
                    <a:stretch>
                      <a:fillRect/>
                    </a:stretch>
                  </pic:blipFill>
                  <pic:spPr>
                    <a:xfrm>
                      <a:off x="0" y="0"/>
                      <a:ext cx="6080760" cy="2809533"/>
                    </a:xfrm>
                    <a:prstGeom prst="rect"/>
                  </pic:spPr>
                </pic:pic>
              </a:graphicData>
            </a:graphic>
          </wp:inline>
        </w:drawing>
      </w:r>
    </w:p>
    <w:p>
      <w:pPr>
        <w:pStyle w:val="Caption"/>
      </w:pPr>
      <w:r>
        <w:t>Figure 3. Median and nearest-rank P95 publication latency for five fresh-store runs. These are Python publication-call timings for 16 KiB synthetic records on managed overlay storage. They exclude model inference, parsing and process startup. They must not be used as disk-performance, WSL-performance or end-to-end workflow claims.</w:t>
      </w:r>
    </w:p>
    <w:p>
      <w:r>
        <w:t>The median of the five publication medians was approximately 0.282 ms. This establishes that the measured control path was small in this environment; it does not predict laptop behaviour. A durable physical-storage comparison requires disclosed storage devices, cache and flush semantics, repeated cold and warm measurements, and power-interruption testing. No performance claim against SQLite alternatives, existing operating systems, or commercial AI products is made.</w:t>
      </w:r>
    </w:p>
    <w:p>
      <w:pPr>
        <w:pStyle w:val="Heading2"/>
      </w:pPr>
      <w:r>
        <w:t>10 3 What the study does and does not establish</w:t>
      </w:r>
    </w:p>
    <w:p>
      <w:r>
        <w:t>The executable artifact demonstrates that the proposed receipt, version-check and publication ordering can be expressed in working code and tested against real process termination. It provides an inspectable foundation for a production service. It does not demonstrate Windows-host integration, real document extraction, model-guided execution, hardware admission, encrypted recovery, hostile-code isolation, or bootable packaging. D3 W044 explicitly requires real inference and end-to-end user journeys, so these results cannot satisfy that requirement.</w:t>
      </w:r>
    </w:p>
    <w:p>
      <w:r>
        <w:t>The 1,000 crash trials are designed fault-injection cases, not independent samples of failures occurring in the field. A binomial confidence interval for a natural failure rate would be inappropriate. The suite does not inject torn sectors, host crashes, disk-full errors, filesystem corruption, invalid flush behaviour, or loss of the underlying machine. The final integrity check is useful evidence within the tested conditions and is not a universal durability guarantee.</w:t>
      </w:r>
    </w:p>
    <w:p>
      <w:pPr>
        <w:pStyle w:val="Heading1"/>
      </w:pPr>
      <w:r>
        <w:t>11 Full system evaluation protocol</w:t>
      </w:r>
    </w:p>
    <w:p>
      <w:pPr>
        <w:pStyle w:val="Heading2"/>
      </w:pPr>
      <w:r>
        <w:t>11 1 Study registration and reproducibility</w:t>
      </w:r>
    </w:p>
    <w:p>
      <w:r>
        <w:t>Before collecting product results, register the supported workflows, models, task budgets, datasets, success criteria and exclusion rules. Record the exact source revision, image digest, model digest, quantization, context, runtime, driver, sandbox profile, and hardware topology. Freeze evaluation tasks before tuning model prompts or confidence thresholds. Publish all failures, timeouts, refusals, retries and manual interventions; a task that cannot be completed must remain in its denominator.</w:t>
      </w:r>
    </w:p>
    <w:p>
      <w:r>
        <w:t>Use a training or development split for prompts and adapters, a separate calibration split for filing thresholds, and a held-out evaluation split. Split by customer, supplier or layout family where possible to reduce leakage. A later temporal split is needed to evaluate drift. Keep synthetic tests for deterministic edge cases but add consented, de-identified real documents before asserting practical filing quality. The supplement supplies a proposed evaluation manifest to make these choices explicit.</w:t>
      </w:r>
    </w:p>
    <w:p>
      <w:pPr>
        <w:pStyle w:val="Heading2"/>
      </w:pPr>
      <w:r>
        <w:t>11 2 Baselines and ablations</w:t>
      </w:r>
    </w:p>
    <w:p>
      <w:r>
        <w:t>Compare the same tasks under a manual application workflow, a deterministic rules-and-search baseline, and the integrated environment. A hosted-model variant may be included only as a separately labelled configuration with its network and data implications. Commercial assistants may be evaluated when access and configuration can be disclosed, but marketing descriptions are not substitutes for such tests. Keep equivalent task information, output requirements and time budgets across conditions.</w:t>
      </w:r>
    </w:p>
    <w:p>
      <w:r>
        <w:t>Ablations should remove one proposed mechanism at a time. Compare metadata-only retrieval with metadata plus semantic ranking; a fixed model with task-based model routing; and proposed plans with and without validation in a safe disposable environment. A storage-only synthetic ablation may remove receipt deduplication or alter publication ordering to show whether the test suite detects known defects. Do not deploy an unsafe variant on real user data. The current supplement does not execute these ablations or establish their effect sizes.</w:t>
      </w:r>
    </w:p>
    <w:p>
      <w:pPr>
        <w:pStyle w:val="Heading2"/>
      </w:pPr>
      <w:r>
        <w:t>11 3 Outcome and filing metrics</w:t>
      </w:r>
    </w:p>
    <w:p>
      <w:r>
        <w:t>Task success means the required artifacts, calculations, identities and external states match the task oracle within the declared budget. Report success with and without user correction, total completion time, active user time, number of clarifications, incorrect outputs, and recovery effort. Calculation checks should compare formula semantics and values, not just rendered screenshots. Document checks should verify editability, source provenance and reopenability in declared applications.</w:t>
      </w:r>
    </w:p>
    <w:p>
      <w:r>
        <w:t>For filing, report per-category precision and recall, automatic-assignment coverage, review rate, customer-identity errors, date-extraction errors and unsafe moves. Coverage is the fraction of eligible documents automatically assigned; precision is the fraction of those assignments that are correct. A system that routes everything to review can achieve a misleadingly high precision on very few assignments, so publish both. Do not merge unsupported formats into the denominator of a narrow supported-format claim, but publish their frequency separately.</w:t>
      </w:r>
    </w:p>
    <w:p>
      <w:pPr>
        <w:keepNext/>
      </w:pPr>
      <w:r>
        <w:t>For uncertainty, report Wilson intervals for independently sampled binary outcomes and cluster bootstrap intervals when documents share customers or templates. Predefine the clustering unit and bootstrap method. For zero observed independent errors, the exact one-sided upper bound in Equation 5 can be used as a planning calculation, with alpha equal to 0.05 for 95 percent confidence. This equation does not apply to the deterministic crash suite.</w:t>
      </w:r>
    </w:p>
    <w:p>
      <w:pPr>
        <w:spacing w:after="180"/>
        <w:jc w:val="center"/>
      </w:pPr>
      <m:oMath>
        <m:sSub>
          <m:e>
            <m:r>
              <m:t>p</m:t>
            </m:r>
          </m:e>
          <m:sub>
            <m:r>
              <m:t>upper</m:t>
            </m:r>
          </m:sub>
        </m:sSub>
        <m:r>
          <m:t> = 1 − </m:t>
        </m:r>
        <m:sSup>
          <m:e>
            <m:r>
              <m:t>α</m:t>
            </m:r>
          </m:e>
          <m:sup>
            <m:r>
              <m:t>1/n</m:t>
            </m:r>
          </m:sup>
        </m:sSup>
        <m:r>
          <m:t>     (5)</m:t>
        </m:r>
      </m:oMath>
    </w:p>
    <w:p>
      <w:pPr>
        <w:pStyle w:val="Heading2"/>
      </w:pPr>
      <w:r>
        <w:t>11 4 User study</w:t>
      </w:r>
    </w:p>
    <w:p>
      <w:r>
        <w:t>A proposed formative study can recruit approximately 24 to 36 participants with a range of technical familiarity, after consent and appropriate organizational review. That size is a planning range, not a power justification. First run a small pilot to estimate the variance of within-person task-time differences, then determine the confirmatory sample size from a declared minimum useful improvement, target power and error rate.</w:t>
      </w:r>
    </w:p>
    <w:p>
      <w:r>
        <w:t>Use a counterbalanced within-participant design with matched but different task instances. Randomize condition order and provide comparable training. Participants should not repeat the exact same source document in both conditions. A mixed-effects analysis can account for participant and task family. Predefine one primary outcome, such as successful completion within budget with active user time, and report failure rate separately so faster failures cannot be misinterpreted as productivity. Secondary ratings cover trust, clarity of progress and ability to recover from mistakes.</w:t>
      </w:r>
    </w:p>
    <w:p>
      <w:pPr>
        <w:pStyle w:val="Heading2"/>
      </w:pPr>
      <w:r>
        <w:t>11 5 Deployment and hardware experiments</w:t>
      </w:r>
    </w:p>
    <w:p>
      <w:r>
        <w:t>Test native Ubuntu and WSL on the same physical machine where possible, with separately recorded power mode and foreground load. Use fresh workspaces and identical task fixtures. VM measurements must disclose vCPU allocation, memory limits, storage placement, hypervisor and acceleration. Dual-boot qualification covers safe installation and continuity rather than claiming concurrent parity with WSL. Do not average all profiles into one undifferentiated score.</w:t>
      </w:r>
    </w:p>
    <w:p>
      <w:r>
        <w:t>Measure cold load, time to first token, decode rate, peak host memory, device memory, task latency, shell response, cancellation, energy per successful task and sustained thermal behaviour. D2 Q02 defines a compact-profile target of P95 time to first token at most 3 seconds for its specified workload and at least 15 decode tokens per second for 95 percent of completed requests. Those targets are preserved as proposed gates, not inferred from model size. Add the Windows foreground-workload checks in QW04.</w:t>
      </w:r>
    </w:p>
    <w:p>
      <w:pPr>
        <w:pStyle w:val="Heading2"/>
      </w:pPr>
      <w:r>
        <w:t>11 6 Fault and adversarial experiments</w:t>
      </w:r>
    </w:p>
    <w:p>
      <w:r>
        <w:t>Extend process crashes to host restart, abrupt guest termination, disk-full conditions, locked files, watcher overflow, interrupted downloads, conflicting edits, credential revocation, update interruption, and backup restoration. Compare every acknowledged version against its digest and provenance. Test recovery with the model stopped. For Windows, include junction races, cloud placeholders, renamed enrolled folders, and an existing unrelated WSL distribution.</w:t>
      </w:r>
    </w:p>
    <w:p>
      <w:r>
        <w:t>Run prompt-injection attacks through document text, image content, tool replies and cached retrieval. Measure both prohibited-effect success and legitimate-task success. Include attacks against already-authorized but semantically wrong effects. Test sandbox escape and unrestricted Windows interoperability separately from language-model robustness. If a security-critical test fails, restrict or withdraw the affected capability while investigating; successful average task completion cannot compensate for an unauthorized destructive operation.</w:t>
      </w:r>
    </w:p>
    <w:tbl>
      <w:tblPr>
        <w:tblW w:type="auto" w:w="0"/>
        <w:jc w:val="center"/>
        <w:tblLayout w:type="fixed"/>
        <w:tblLook w:firstColumn="1" w:firstRow="1" w:lastColumn="0" w:lastRow="0" w:noHBand="0" w:noVBand="1" w:val="04A0"/>
      </w:tblPr>
      <w:tblGrid>
        <w:gridCol w:w="2304"/>
        <w:gridCol w:w="4104"/>
        <w:gridCol w:w="358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Evaluation family</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Proposed evidence required</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Claim enabled after passing</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Language and artifact tasks</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Real inference, unseen tasks, independent output oracles</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Bounded task-completion capability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Filing and retrieval</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Held-out documents, confidence calibration, precision and coverage</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Declared automatic filing scope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Native qualification</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Boot, drivers, isolation, signed updates and model-free recovery</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Supported native hardware profile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WSL qualification</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Host broker, lifecycle, permissions and foreground coexistence</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Supported Windows-hosted workspace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Fault recovery</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Process and host faults, full disks, conflicts, restored backups</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Recovery guarantees within tested fault model</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Security</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Adversarial content and enforced process boundaries</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Scoped security claims, not universal immunity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User benefit</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Controlled comparison with complete failure accounting</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Evidence of improvement for the studied population</w:t>
            </w:r>
          </w:p>
        </w:tc>
      </w:tr>
    </w:tbl>
    <w:p>
      <w:pPr>
        <w:spacing w:after="0"/>
      </w:pPr>
    </w:p>
    <w:p>
      <w:pPr>
        <w:pStyle w:val="Heading1"/>
      </w:pPr>
      <w:r>
        <w:t>12 Implementation programme and requirements traceability</w:t>
      </w:r>
    </w:p>
    <w:p>
      <w:pPr>
        <w:pStyle w:val="Heading2"/>
      </w:pPr>
      <w:r>
        <w:t>12 1 Development sequence</w:t>
      </w:r>
    </w:p>
    <w:p>
      <w:r>
        <w:t>Begin with the common artifact and workflow contracts on a patched Ubuntu development system. Build a vertical slice that accepts a request, obtains a real model plan, validates it, executes an invoice-to-workbook task, commits the output, and retrieves it in a later session. Keep ordinary manual access working. The slice must exercise permissions, failure reporting and artifact identity before adding a broad list of skills.</w:t>
      </w:r>
    </w:p>
    <w:p>
      <w:r>
        <w:t>Next add the Windows companion and a dedicated WSL distribution while using the same service contracts. Deliver actual folder enrollment, durable event collection, brokered file operations, startup recovery and resource coexistence. A VM package can provide the complete desktop for engineering and demonstration, but it should carry its own qualification status. Native image hardening, dual-boot safety, large-model certificates and cluster operations should each have independent release gates.</w:t>
      </w:r>
    </w:p>
    <w:p>
      <w:r>
        <w:t>The critical skills include Linux platform engineering, Windows integration, inference and evaluation, storage systems, UI and accessibility, security, release engineering and quality assurance. Some roles can be combined during a prototype; sustained production support requires explicit ownership. A defensible schedule and cost estimate should follow the first vertical slice and platform probes. This paper does not manufacture a completion date from requirement counts.</w:t>
      </w:r>
    </w:p>
    <w:p>
      <w:pPr>
        <w:pStyle w:val="Heading2"/>
      </w:pPr>
      <w:r>
        <w:t>12 2 Gate definitions</w:t>
      </w:r>
    </w:p>
    <w:tbl>
      <w:tblPr>
        <w:tblW w:type="auto" w:w="0"/>
        <w:jc w:val="center"/>
        <w:tblLayout w:type="fixed"/>
        <w:tblLook w:firstColumn="1" w:firstRow="1" w:lastColumn="0" w:lastRow="0" w:noHBand="0" w:noVBand="1" w:val="04A0"/>
      </w:tblPr>
      <w:tblGrid>
        <w:gridCol w:w="2304"/>
        <w:gridCol w:w="4104"/>
        <w:gridCol w:w="358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pPr>
            <w:r>
              <w:rPr>
                <w:b/>
                <w:sz w:val="19"/>
              </w:rPr>
              <w:t>Gate</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pPr>
            <w:r>
              <w:rPr>
                <w:b/>
                <w:sz w:val="19"/>
              </w:rPr>
              <w:t>Required implementation output</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Next/>
              <w:keepLines/>
              <w:spacing w:after="0" w:line="245" w:lineRule="auto"/>
            </w:pPr>
            <w:r>
              <w:rPr>
                <w:b/>
                <w:sz w:val="19"/>
              </w:rPr>
              <w:t>Evidence before expanding scope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G0 Mechanism prototype</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Real local inference plus one complete artifact workflow</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Task oracle, measured resource profile and usable manual recovery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G1 Document workspace</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Filing, retrieval, editable documents and version history</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Held-out corpus, end-to-end task results and interruption recovery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G2 Windows workspace</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Signed package, companion, broker and durable event handling</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WSL lifecycle, authorization and host-coexistence suites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G3 Native product</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Bootable signed image, updates, backup and qualified hardware</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Next/>
              <w:keepLines/>
              <w:spacing w:after="0" w:line="245" w:lineRule="auto"/>
            </w:pPr>
            <w:r>
              <w:rPr>
                <w:b w:val="0"/>
                <w:sz w:val="19"/>
              </w:rPr>
              <w:t>Applicable A1 tests and failure-recovery evidence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G4 Additional deployments</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VM and dual-boot support with migration</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Next/>
              <w:keepLines/>
              <w:spacing w:after="0" w:line="245" w:lineRule="auto"/>
            </w:pPr>
            <w:r>
              <w:rPr>
                <w:b w:val="0"/>
                <w:sz w:val="19"/>
              </w:rPr>
              <w:t>Profile-specific tests and explicit support matrix</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G5 Large model and cluster options</w:t>
            </w:r>
          </w:p>
        </w:tc>
        <w:tc>
          <w:tcPr>
            <w:tcW w:type="dxa" w:w="41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Real execution on declared server configurations</w:t>
            </w:r>
          </w:p>
        </w:tc>
        <w:tc>
          <w:tcPr>
            <w:tcW w:type="dxa" w:w="358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Applicable A2 and A3 evidence; separate capacity and latency certificates</w:t>
            </w:r>
          </w:p>
        </w:tc>
      </w:tr>
    </w:tbl>
    <w:p>
      <w:pPr>
        <w:spacing w:after="0"/>
      </w:pPr>
    </w:p>
    <w:p>
      <w:pPr>
        <w:pStyle w:val="Heading2"/>
      </w:pPr>
      <w:r>
        <w:t>12 3 Traceability to the source requirements</w:t>
      </w:r>
    </w:p>
    <w:p>
      <w:r>
        <w:t>The following mapping identifies the main requirements addressed by the research. It is a focused traceability map, not a claim that all 140 baseline and 44 variation requirements have been implemented.</w:t>
      </w:r>
    </w:p>
    <w:tbl>
      <w:tblPr>
        <w:tblW w:type="auto" w:w="0"/>
        <w:jc w:val="center"/>
        <w:tblLayout w:type="fixed"/>
        <w:tblLook w:firstColumn="1" w:firstRow="1" w:lastColumn="0" w:lastRow="0" w:noHBand="0" w:noVBand="1" w:val="04A0"/>
      </w:tblPr>
      <w:tblGrid>
        <w:gridCol w:w="1944"/>
        <w:gridCol w:w="4536"/>
        <w:gridCol w:w="3514"/>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Requirement references</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Research treatment</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Current evidence status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A049 to A056</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Typed skills, graph validation, receipts, cancellation and sessions</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Architecture; receipt subset executed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A057 to A064</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Artifact identity, publication, permissions, versions and recovery</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Publication and version subset executed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A065 to A068</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Conversational and manual interaction, capture and reference resolution</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Proposed implementation and evaluation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A069 to A072</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Deterministic calculations, editable outputs and bounded generation</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Proposed production skills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A073 to A078</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Hardware policies, application adapters and platform boundaries</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Architecture and support limits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A079 to A086</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Authorization, untrusted content, secrets and local execution</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Threat model; logical grant subset executed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A087 to A092</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Large-model and distributed execution</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Analytical budgets and future qualification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A093 to A100</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Observability, updates, diagnostics and evidence</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Release protocol and result recording</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A101 to A110</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Ubuntu image, boot, encryption and updates</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Native implementation programme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A111 to A118</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Resource enforcement, sandboxing and qualified devices</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Platform design; no sandbox test claimed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W001 to W012</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Profile contracts, WSL packaging, lifecycle and host boundaries</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Official platform mechanisms plus proposed integration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W013 to W020</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Windows ingestion, filing, identity and application adapters</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Protocol design; actual Windows broker pending</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W021 to W024</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Hosted confinement, encryption, updates and recovery</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Capability gates and recovery design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W025 to W034</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Native coexistence and VM requirements</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Deployment qualification programme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W043 and W044</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Host trust disclosure and real end-to-end acceptance</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Explicit limitations; acceptance not yet met</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Q02 Q03 QW01 QW04 QW06</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Interaction, filing, coexistence and accuracy</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Retained targets; full-system measurements pending</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T28 T30 T32 T33 T34 and V07 V08</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Retries, policy, artifacts, commit ordering, external edits and filing</w:t>
            </w:r>
          </w:p>
        </w:tc>
        <w:tc>
          <w:tcPr>
            <w:tcW w:type="dxa" w:w="35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Related subset only; supplementary study does not certify these full tests</w:t>
            </w:r>
          </w:p>
        </w:tc>
      </w:tr>
    </w:tbl>
    <w:p>
      <w:pPr>
        <w:spacing w:after="0"/>
      </w:pPr>
    </w:p>
    <w:p>
      <w:pPr>
        <w:pStyle w:val="Heading2"/>
      </w:pPr>
      <w:r>
        <w:t>12 4 Refinements proposed for adoption</w:t>
      </w:r>
    </w:p>
    <w:p>
      <w:r>
        <w:t>Add a versioned supported-workflow catalogue with formats, languages, connectors, operation coverage and explicit exclusions. Tighten production filing gates beyond the initial QW06 pilot by declaring error severity, calibrated thresholds, required coverage and a statistically justified corpus. Add an independent end-to-end task oracle and require failures and manual corrections in every result report. These changes improve testability without changing the product's intended conversational experience.</w:t>
      </w:r>
    </w:p>
    <w:p>
      <w:r>
        <w:t>Add a measured energy and background-idle budget for always-on filing. Define exact revocation, cancellation and source-retirement linearization points. Publish a capability matrix that distinguishes installed, loadable, execution-certified and interactive-certified features. Track each change as a controlled requirements revision; the existing documents remain the baseline until formally updated.</w:t>
      </w:r>
    </w:p>
    <w:p>
      <w:pPr>
        <w:pStyle w:val="Heading1"/>
      </w:pPr>
      <w:r>
        <w:t>13 Limitations and practical deployment assessment</w:t>
      </w:r>
    </w:p>
    <w:p>
      <w:r>
        <w:t>The principal limitation is the gap between deterministic mechanism feasibility and semantic task reliability. The paper implements and measures a narrow storage subsystem. It provides no real-model accuracy result and no observation of the proposed Windows companion. The retained UI simulator can illustrate interaction but cannot close those evidence gaps. A complete scientific product evaluation requires the experiments in Section 11.</w:t>
      </w:r>
    </w:p>
    <w:p>
      <w:r>
        <w:t>External validity is restricted by synthetic payloads, one managed host, overlay storage, a small record size and deliberately selected crash boundaries. Classification drift, noisy scans, multilingual content, complex Office layouts, accessibility needs and enterprise policy restrictions are not represented. The single-writer prototype also has throughput limits and incomplete lifecycle features, including no online garbage collection, durable event queue, production migration, or backup API.</w:t>
      </w:r>
    </w:p>
    <w:p>
      <w:r>
        <w:t>The comparative assessment relies partly on vendor descriptions. Product status changes rapidly, and absence of a feature from a cited page is not evidence of absence from a product. No competitor was benchmarked in the study. Individual architectural components are established systems techniques. Any future claim of a unique combination requires a separate, broader novelty assessment and evidence of user value.</w:t>
      </w:r>
    </w:p>
    <w:p>
      <w:r>
        <w:t>For practical deployment, native Ubuntu offers the greatest control over qualified hardware and the desktop but imposes image and support responsibilities. WSL offers a plausible adoption path alongside existing Windows applications while adding a host-broker and lifecycle boundary. Full VMs support evaluation and controlled guest environments with additional resource overhead. Dual boot preserves a full native experience at the cost of switching and installation complexity. None of these modes eliminates application-adapter or model-quality work.</w:t>
      </w:r>
    </w:p>
    <w:p>
      <w:r>
        <w:t>A first product should concentrate on supported document workflows, semantic filing with review, versioned retrieval and recoverable task execution. Generated code, broad GUI control, heavy media generation and large-model services should be separately qualified. This scope provides a meaningful test of the proposed interaction model while keeping the success criteria observable.</w:t>
      </w:r>
    </w:p>
    <w:p>
      <w:pPr>
        <w:pStyle w:val="Heading1"/>
      </w:pPr>
      <w:r>
        <w:t>14 Conclusions</w:t>
      </w:r>
    </w:p>
    <w:p>
      <w:r>
        <w:t>The described Ubuntu and Windows deployments have a credible implementation path using conventional kernels, current inference runtimes and deterministic service boundaries. Their feasibility depends on treating the LLM as an interpretation and planning component whose effects are constrained by independently enforced policy, resource and storage contracts. Deployment profiles can share those contracts while retaining different boot, hardware, desktop and trust responsibilities.</w:t>
      </w:r>
    </w:p>
    <w:p>
      <w:r>
        <w:t>The bounded executable study showed consistent receipts, version checks and publication recovery across 1,000 injected process exits and the specified replay and conflict workloads. Those results substantiate one implementable component of the design. They do not establish a working LLM OS or satisfy the project's full acceptance requirements. The next scientific step is a real-model vertical slice evaluated against unseen document tasks on qualified native and Windows hosts, followed by independent security and user studies.</w:t>
      </w:r>
    </w:p>
    <w:p>
      <w:r>
        <w:t>The product opportunity is therefore conditional and testable: deliver correct, inspectable and recoverable outcomes for a useful catalogue of tasks, then expand coverage when evidence supports it. General autonomy, universal application replacement and consumer-scale execution of every large model are outside the conclusions supported here.</w:t>
      </w:r>
    </w:p>
    <w:p>
      <w:pPr>
        <w:pStyle w:val="Heading1"/>
      </w:pPr>
      <w:r>
        <w:t>Appendix A Reproduction and supplementary materials</w:t>
      </w:r>
    </w:p>
    <w:p>
      <w:r>
        <w:t>The accompanying archive contains artifact_store.py, run_experiments.py, the recorded results directory, the paper's Markdown source, editable SVG figures, figure-generation code, a proposed evaluation manifest and a README. The source hashes recorded in environment.json identify the exact experiment scripts used for the reported measurements. Generated fixture stores are temporary and intentionally excluded from the archive; deterministic payload generation is provided in the script.</w:t>
      </w:r>
    </w:p>
    <w:p>
      <w:r>
        <w:t>Run the following command from the extracted supplement directory on Linux. Python must include the standard sqlite3 module. The output directory can be changed to preserve the supplied recorded results. The reproduction process creates and removes only its own temporary experiment directories. It uses no network connection or external model.</w:t>
      </w:r>
    </w:p>
    <w:p>
      <w:pPr>
        <w:spacing w:after="20" w:line="240" w:lineRule="auto"/>
        <w:ind w:left="216"/>
      </w:pPr>
      <w:r>
        <w:rPr>
          <w:rFonts w:ascii="Consolas" w:hAnsi="Consolas"/>
          <w:sz w:val="18"/>
        </w:rPr>
        <w:t>python3 run_experiments.py --out reproduced_results --crash-trials 1000</w:t>
      </w:r>
    </w:p>
    <w:p>
      <w:r>
        <w:t>Compare logical counts and integrity results with results/results.json, and compare source hashes with results/environment.json. Publication and replay latency arrays are in results/latencies.json. Phase outcomes are in results/crash_trials.json. Timing values may differ significantly on physical disks. Passing results do not authorize using the module as a production file service or security broker.</w:t>
      </w:r>
    </w:p>
    <w:p>
      <w:r>
        <w:t>The figure sources are editable SVG files accompanied by their generating script. Word text, tables and equations remain editable. Raster figure previews are embedded in the Word document for reliable rendering; their editable vector sources are supplied separately. The proposed deployment and evaluation manifest is planning material, not an installer or a certificate.</w:t>
      </w:r>
    </w:p>
    <w:p>
      <w:pPr>
        <w:pStyle w:val="Heading1"/>
      </w:pPr>
      <w:r>
        <w:t>Appendix B Proposed implementation contracts</w:t>
      </w:r>
    </w:p>
    <w:p>
      <w:r>
        <w:t>The following example is a target API shape. It illustrates required bindings and is not an endpoint implemented by the supplementary microstudy. The artifact service resolves opaque object identities into broker-owned handles. The model never supplies an unrestricted host command.</w:t>
      </w:r>
    </w:p>
    <w:p>
      <w:pPr>
        <w:spacing w:after="20" w:line="240" w:lineRule="auto"/>
        <w:ind w:left="216"/>
      </w:pPr>
      <w:r>
        <w:rPr>
          <w:rFonts w:ascii="Consolas" w:hAnsi="Consolas"/>
          <w:sz w:val="18"/>
        </w:rPr>
        <w:t>{</w:t>
      </w:r>
    </w:p>
    <w:p>
      <w:pPr>
        <w:spacing w:after="20" w:line="240" w:lineRule="auto"/>
        <w:ind w:left="216"/>
      </w:pPr>
      <w:r>
        <w:rPr>
          <w:rFonts w:ascii="Consolas" w:hAnsi="Consolas"/>
          <w:sz w:val="18"/>
        </w:rPr>
        <w:t xml:space="preserve">  "operation": "artifact.publish",</w:t>
      </w:r>
    </w:p>
    <w:p>
      <w:pPr>
        <w:spacing w:after="20" w:line="240" w:lineRule="auto"/>
        <w:ind w:left="216"/>
      </w:pPr>
      <w:r>
        <w:rPr>
          <w:rFonts w:ascii="Consolas" w:hAnsi="Consolas"/>
          <w:sz w:val="18"/>
        </w:rPr>
        <w:t xml:space="preserve">  "principal_id": "principal_42",</w:t>
      </w:r>
    </w:p>
    <w:p>
      <w:pPr>
        <w:spacing w:after="20" w:line="240" w:lineRule="auto"/>
        <w:ind w:left="216"/>
      </w:pPr>
      <w:r>
        <w:rPr>
          <w:rFonts w:ascii="Consolas" w:hAnsi="Consolas"/>
          <w:sz w:val="18"/>
        </w:rPr>
        <w:t xml:space="preserve">  "capability_id": "cap_87",</w:t>
      </w:r>
    </w:p>
    <w:p>
      <w:pPr>
        <w:spacing w:after="20" w:line="240" w:lineRule="auto"/>
        <w:ind w:left="216"/>
      </w:pPr>
      <w:r>
        <w:rPr>
          <w:rFonts w:ascii="Consolas" w:hAnsi="Consolas"/>
          <w:sz w:val="18"/>
        </w:rPr>
        <w:t xml:space="preserve">  "artifact_id": "artifact_19",</w:t>
      </w:r>
    </w:p>
    <w:p>
      <w:pPr>
        <w:spacing w:after="20" w:line="240" w:lineRule="auto"/>
        <w:ind w:left="216"/>
      </w:pPr>
      <w:r>
        <w:rPr>
          <w:rFonts w:ascii="Consolas" w:hAnsi="Consolas"/>
          <w:sz w:val="18"/>
        </w:rPr>
        <w:t xml:space="preserve">  "expected_version": 3,</w:t>
      </w:r>
    </w:p>
    <w:p>
      <w:pPr>
        <w:spacing w:after="20" w:line="240" w:lineRule="auto"/>
        <w:ind w:left="216"/>
      </w:pPr>
      <w:r>
        <w:rPr>
          <w:rFonts w:ascii="Consolas" w:hAnsi="Consolas"/>
          <w:sz w:val="18"/>
        </w:rPr>
        <w:t xml:space="preserve">  "staged_object_digest": "sha256 value",</w:t>
      </w:r>
    </w:p>
    <w:p>
      <w:pPr>
        <w:spacing w:after="20" w:line="240" w:lineRule="auto"/>
        <w:ind w:left="216"/>
      </w:pPr>
      <w:r>
        <w:rPr>
          <w:rFonts w:ascii="Consolas" w:hAnsi="Consolas"/>
          <w:sz w:val="18"/>
        </w:rPr>
        <w:t xml:space="preserve">  "idempotency_key": "workflow_21_step_4",</w:t>
      </w:r>
    </w:p>
    <w:p>
      <w:pPr>
        <w:spacing w:after="20" w:line="240" w:lineRule="auto"/>
        <w:ind w:left="216"/>
      </w:pPr>
      <w:r>
        <w:rPr>
          <w:rFonts w:ascii="Consolas" w:hAnsi="Consolas"/>
          <w:sz w:val="18"/>
        </w:rPr>
        <w:t xml:space="preserve">  "schema_version": 1,</w:t>
      </w:r>
    </w:p>
    <w:p>
      <w:pPr>
        <w:spacing w:after="20" w:line="240" w:lineRule="auto"/>
        <w:ind w:left="216"/>
      </w:pPr>
      <w:r>
        <w:rPr>
          <w:rFonts w:ascii="Consolas" w:hAnsi="Consolas"/>
          <w:sz w:val="18"/>
        </w:rPr>
        <w:t xml:space="preserve">  "deadline": "2026-10-01T12:30:00Z"</w:t>
      </w:r>
    </w:p>
    <w:p>
      <w:pPr>
        <w:spacing w:after="20" w:line="240" w:lineRule="auto"/>
        <w:ind w:left="216"/>
      </w:pPr>
      <w:r>
        <w:rPr>
          <w:rFonts w:ascii="Consolas" w:hAnsi="Consolas"/>
          <w:sz w:val="18"/>
        </w:rPr>
        <w:t>}</w:t>
      </w:r>
    </w:p>
    <w:p>
      <w:r>
        <w:t>A successful receipt binds that operation fingerprint to a committed version, actual effect time and source references. A failure returns a typed reason such as permission revoked, version conflict, resource unavailable, unsupported format, source changed, or reconciliation required. Retries reuse the same key only when their effect-defining arguments remain unchanged. A modified operation gets a new identity and is evaluated again.</w:t>
      </w:r>
    </w:p>
    <w:p>
      <w:r>
        <w:t>The target skill manifest declares input and output schemas, required capabilities, network endpoints, resource budgets, dependency digests, permitted runtime and tests. A workflow consists of validated directed steps that consume explicit artifact versions and publish explicit outputs. A planner can propose a graph, but only the broker and scheduler can authorize and admit its execution. This contract supports replacing the planner model without delegating new authority.</w:t>
      </w:r>
    </w:p>
    <w:p>
      <w:pPr>
        <w:pStyle w:val="Heading1"/>
      </w:pPr>
      <w:r>
        <w:t>Appendix C Abbreviations and notation</w:t>
      </w:r>
    </w:p>
    <w:tbl>
      <w:tblPr>
        <w:tblW w:type="auto" w:w="0"/>
        <w:jc w:val="center"/>
        <w:tblLayout w:type="fixed"/>
        <w:tblLook w:firstColumn="1" w:firstRow="1" w:lastColumn="0" w:lastRow="0" w:noHBand="0" w:noVBand="1" w:val="04A0"/>
      </w:tblPr>
      <w:tblGrid>
        <w:gridCol w:w="2880"/>
        <w:gridCol w:w="7114"/>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Term</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DFEAF3"/>
          </w:tcPr>
          <w:p>
            <w:pPr>
              <w:keepLines/>
              <w:spacing w:after="0" w:line="245" w:lineRule="auto"/>
            </w:pPr>
            <w:r>
              <w:rPr>
                <w:b/>
                <w:sz w:val="19"/>
              </w:rPr>
              <w:t>Meaning</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ACL</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Access control list</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API</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Application programming interface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A1 A2 A3</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Desktop, large-model and cluster release scopes in D2</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DAG</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Directed acyclic graph describing task dependencies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GiB</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2 to the power 30 bytes; distinct from decimal GB</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GPU</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Graphics processing unit used for graphics or compute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KV cache</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Stored key and value tensors used during model inference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LLM</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Large language model</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NPU</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Neural processing unit</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OCR</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Optical character recognition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P95</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Ninety-fifth percentile; nearest-rank method in the microstudy</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RAM and VRAM</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Host working memory and device video memory</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SHA 256</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Cryptographic digest used to identify payload bytes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VM</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Virtual machine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WAL</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Write-ahead log used by SQLite in the experiment</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WSL 2 and WSLg</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5F7F9"/>
          </w:tcPr>
          <w:p>
            <w:pPr>
              <w:keepLines/>
              <w:spacing w:after="0" w:line="245" w:lineRule="auto"/>
            </w:pPr>
            <w:r>
              <w:rPr>
                <w:b w:val="0"/>
                <w:sz w:val="19"/>
              </w:rPr>
              <w:t>Windows Subsystem for Linux 2 and its GUI integration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P b L T H d e S</w:t>
            </w:r>
          </w:p>
        </w:tc>
        <w:tc>
          <w:tcPr>
            <w:tcW w:type="dxa" w:w="71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keepLines/>
              <w:spacing w:after="0" w:line="245" w:lineRule="auto"/>
            </w:pPr>
            <w:r>
              <w:rPr>
                <w:b w:val="0"/>
                <w:sz w:val="19"/>
              </w:rPr>
              <w:t>Parameters, weight bits, layers, tokens, KV heads, head width, bytes per element and sequences</w:t>
            </w:r>
          </w:p>
        </w:tc>
      </w:tr>
    </w:tbl>
    <w:p>
      <w:pPr>
        <w:spacing w:after="0"/>
      </w:pPr>
    </w:p>
    <w:p>
      <w:r>
        <w:br w:type="page"/>
      </w:r>
    </w:p>
    <w:p>
      <w:pPr>
        <w:pStyle w:val="Heading1"/>
      </w:pPr>
      <w:r>
        <w:t>References</w:t>
      </w:r>
    </w:p>
    <w:p>
      <w:pPr>
        <w:spacing w:after="160"/>
      </w:pPr>
      <w:r>
        <w:rPr>
          <w:sz w:val="19"/>
        </w:rPr>
        <w:t>Primary sources were accessed on 19 September 2026. Research citations use the identified paper version where available. Web documentation and product descriptions remain subject to change. Project documents D1 to D3 are design inputs, not independent validation.</w:t>
      </w:r>
    </w:p>
    <w:p>
      <w:pPr>
        <w:spacing w:after="160"/>
      </w:pPr>
      <w:r>
        <w:rPr>
          <w:sz w:val="19"/>
        </w:rPr>
      </w:r>
      <w:r>
        <w:rPr>
          <w:sz w:val="19"/>
        </w:rPr>
        <w:t>[</w:t>
      </w:r>
      <w:hyperlink r:id="rId11">
        <w:r>
          <w:rPr>
            <w:color w:val="245578"/>
          </w:rPr>
          <w:t>1</w:t>
        </w:r>
      </w:hyperlink>
      <w:r>
        <w:rPr>
          <w:sz w:val="19"/>
        </w:rPr>
        <w:t>]</w:t>
      </w:r>
      <w:r>
        <w:rPr>
          <w:sz w:val="19"/>
        </w:rPr>
        <w:t xml:space="preserve"> Mei K et al. AIOS LLM Agent Operating System. COLM 2025; arXiv 2403.16971, version 5, 2025. </w:t>
      </w:r>
      <w:hyperlink r:id="rId11">
        <w:r>
          <w:rPr>
            <w:color w:val="245578"/>
          </w:rPr>
          <w:t>https://arxiv.org/abs/2403.16971v5</w:t>
        </w:r>
      </w:hyperlink>
      <w:r>
        <w:rPr>
          <w:sz w:val="19"/>
        </w:rPr>
      </w:r>
    </w:p>
    <w:p>
      <w:pPr>
        <w:spacing w:after="160"/>
      </w:pPr>
      <w:r>
        <w:rPr>
          <w:sz w:val="19"/>
        </w:rPr>
      </w:r>
      <w:r>
        <w:rPr>
          <w:sz w:val="19"/>
        </w:rPr>
        <w:t>[</w:t>
      </w:r>
      <w:hyperlink r:id="rId12">
        <w:r>
          <w:rPr>
            <w:color w:val="245578"/>
          </w:rPr>
          <w:t>2</w:t>
        </w:r>
      </w:hyperlink>
      <w:r>
        <w:rPr>
          <w:sz w:val="19"/>
        </w:rPr>
        <w:t>]</w:t>
      </w:r>
      <w:r>
        <w:rPr>
          <w:sz w:val="19"/>
        </w:rPr>
        <w:t xml:space="preserve"> AGI Research. AIOS source repository and documentation. </w:t>
      </w:r>
      <w:hyperlink r:id="rId12">
        <w:r>
          <w:rPr>
            <w:color w:val="245578"/>
          </w:rPr>
          <w:t>https://github.com/agiresearch/AIOS</w:t>
        </w:r>
      </w:hyperlink>
      <w:r>
        <w:rPr>
          <w:sz w:val="19"/>
        </w:rPr>
      </w:r>
    </w:p>
    <w:p>
      <w:pPr>
        <w:spacing w:after="160"/>
      </w:pPr>
      <w:r>
        <w:rPr>
          <w:sz w:val="19"/>
        </w:rPr>
      </w:r>
      <w:r>
        <w:rPr>
          <w:sz w:val="19"/>
        </w:rPr>
        <w:t>[</w:t>
      </w:r>
      <w:hyperlink r:id="rId13">
        <w:r>
          <w:rPr>
            <w:color w:val="245578"/>
          </w:rPr>
          <w:t>3</w:t>
        </w:r>
      </w:hyperlink>
      <w:r>
        <w:rPr>
          <w:sz w:val="19"/>
        </w:rPr>
        <w:t>]</w:t>
      </w:r>
      <w:r>
        <w:rPr>
          <w:sz w:val="19"/>
        </w:rPr>
        <w:t xml:space="preserve"> Yao S et al. ReAct Synergizing Reasoning and Acting in Language Models. ICLR 2023; arXiv 2210.03629. </w:t>
      </w:r>
      <w:hyperlink r:id="rId13">
        <w:r>
          <w:rPr>
            <w:color w:val="245578"/>
          </w:rPr>
          <w:t>https://arxiv.org/abs/2210.03629</w:t>
        </w:r>
      </w:hyperlink>
      <w:r>
        <w:rPr>
          <w:sz w:val="19"/>
        </w:rPr>
      </w:r>
    </w:p>
    <w:p>
      <w:pPr>
        <w:spacing w:after="160"/>
      </w:pPr>
      <w:r>
        <w:rPr>
          <w:sz w:val="19"/>
        </w:rPr>
      </w:r>
      <w:r>
        <w:rPr>
          <w:sz w:val="19"/>
        </w:rPr>
        <w:t>[</w:t>
      </w:r>
      <w:hyperlink r:id="rId14">
        <w:r>
          <w:rPr>
            <w:color w:val="245578"/>
          </w:rPr>
          <w:t>4</w:t>
        </w:r>
      </w:hyperlink>
      <w:r>
        <w:rPr>
          <w:sz w:val="19"/>
        </w:rPr>
        <w:t>]</w:t>
      </w:r>
      <w:r>
        <w:rPr>
          <w:sz w:val="19"/>
        </w:rPr>
        <w:t xml:space="preserve"> Xie T et al. OSWorld Benchmarking Multimodal Agents for Open Ended Tasks in Real Computer Environments. arXiv 2404.07972, version 2, 2024. </w:t>
      </w:r>
      <w:hyperlink r:id="rId14">
        <w:r>
          <w:rPr>
            <w:color w:val="245578"/>
          </w:rPr>
          <w:t>https://arxiv.org/abs/2404.07972v2</w:t>
        </w:r>
      </w:hyperlink>
      <w:r>
        <w:rPr>
          <w:sz w:val="19"/>
        </w:rPr>
      </w:r>
    </w:p>
    <w:p>
      <w:pPr>
        <w:spacing w:after="160"/>
      </w:pPr>
      <w:r>
        <w:rPr>
          <w:sz w:val="19"/>
        </w:rPr>
      </w:r>
      <w:r>
        <w:rPr>
          <w:sz w:val="19"/>
        </w:rPr>
        <w:t>[</w:t>
      </w:r>
      <w:hyperlink r:id="rId15">
        <w:r>
          <w:rPr>
            <w:color w:val="245578"/>
          </w:rPr>
          <w:t>5</w:t>
        </w:r>
      </w:hyperlink>
      <w:r>
        <w:rPr>
          <w:sz w:val="19"/>
        </w:rPr>
        <w:t>]</w:t>
      </w:r>
      <w:r>
        <w:rPr>
          <w:sz w:val="19"/>
        </w:rPr>
        <w:t xml:space="preserve"> Debenedetti E et al. AgentDojo A Dynamic Environment to Evaluate Prompt Injection Attacks and Defenses for LLM Agents. arXiv 2406.13352, 2024. </w:t>
      </w:r>
      <w:hyperlink r:id="rId15">
        <w:r>
          <w:rPr>
            <w:color w:val="245578"/>
          </w:rPr>
          <w:t>https://arxiv.org/abs/2406.13352</w:t>
        </w:r>
      </w:hyperlink>
      <w:r>
        <w:rPr>
          <w:sz w:val="19"/>
        </w:rPr>
      </w:r>
    </w:p>
    <w:p>
      <w:pPr>
        <w:spacing w:after="160"/>
      </w:pPr>
      <w:r>
        <w:rPr>
          <w:sz w:val="19"/>
        </w:rPr>
      </w:r>
      <w:r>
        <w:rPr>
          <w:sz w:val="19"/>
        </w:rPr>
        <w:t>[</w:t>
      </w:r>
      <w:hyperlink r:id="rId16">
        <w:r>
          <w:rPr>
            <w:color w:val="245578"/>
          </w:rPr>
          <w:t>6</w:t>
        </w:r>
      </w:hyperlink>
      <w:r>
        <w:rPr>
          <w:sz w:val="19"/>
        </w:rPr>
        <w:t>]</w:t>
      </w:r>
      <w:r>
        <w:rPr>
          <w:sz w:val="19"/>
        </w:rPr>
        <w:t xml:space="preserve"> Microsoft. Experimental Agentic Features. Windows support documentation. </w:t>
      </w:r>
      <w:hyperlink r:id="rId16">
        <w:r>
          <w:rPr>
            <w:color w:val="245578"/>
          </w:rPr>
          <w:t>https://support.microsoft.com/en-us/windows/ai/ai-features/experimental-agentic-features</w:t>
        </w:r>
      </w:hyperlink>
      <w:r>
        <w:rPr>
          <w:sz w:val="19"/>
        </w:rPr>
      </w:r>
    </w:p>
    <w:p>
      <w:pPr>
        <w:spacing w:after="160"/>
      </w:pPr>
      <w:r>
        <w:rPr>
          <w:sz w:val="19"/>
        </w:rPr>
      </w:r>
      <w:r>
        <w:rPr>
          <w:sz w:val="19"/>
        </w:rPr>
        <w:t>[</w:t>
      </w:r>
      <w:hyperlink r:id="rId17">
        <w:r>
          <w:rPr>
            <w:color w:val="245578"/>
          </w:rPr>
          <w:t>7</w:t>
        </w:r>
      </w:hyperlink>
      <w:r>
        <w:rPr>
          <w:sz w:val="19"/>
        </w:rPr>
        <w:t>]</w:t>
      </w:r>
      <w:r>
        <w:rPr>
          <w:sz w:val="19"/>
        </w:rPr>
        <w:t xml:space="preserve"> Apple. Apple introduces Siri AI a profoundly more capable and personal assistant. June 2026. </w:t>
      </w:r>
      <w:hyperlink r:id="rId17">
        <w:r>
          <w:rPr>
            <w:color w:val="245578"/>
          </w:rPr>
          <w:t>https://www.apple.com/si/newsroom/2026/06/apple-introduces-siri-ai-a-profoundly-more-capable-and-personal-assistant/</w:t>
        </w:r>
      </w:hyperlink>
      <w:r>
        <w:rPr>
          <w:sz w:val="19"/>
        </w:rPr>
      </w:r>
    </w:p>
    <w:p>
      <w:pPr>
        <w:spacing w:after="160"/>
      </w:pPr>
      <w:r>
        <w:rPr>
          <w:sz w:val="19"/>
        </w:rPr>
      </w:r>
      <w:r>
        <w:rPr>
          <w:sz w:val="19"/>
        </w:rPr>
        <w:t>[</w:t>
      </w:r>
      <w:hyperlink r:id="rId19">
        <w:r>
          <w:rPr>
            <w:color w:val="245578"/>
          </w:rPr>
          <w:t>8</w:t>
        </w:r>
      </w:hyperlink>
      <w:r>
        <w:rPr>
          <w:sz w:val="19"/>
        </w:rPr>
        <w:t>]</w:t>
      </w:r>
      <w:r>
        <w:rPr>
          <w:sz w:val="19"/>
        </w:rPr>
        <w:t xml:space="preserve"> Microsoft. FileSystemWatcher Class. .NET documentation. </w:t>
      </w:r>
      <w:hyperlink r:id="rId19">
        <w:r>
          <w:rPr>
            <w:color w:val="245578"/>
          </w:rPr>
          <w:t>https://learn.microsoft.com/en-us/dotnet/api/system.io.filesystemwatcher?view=net-9.0</w:t>
        </w:r>
      </w:hyperlink>
      <w:r>
        <w:rPr>
          <w:sz w:val="19"/>
        </w:rPr>
      </w:r>
    </w:p>
    <w:p>
      <w:pPr>
        <w:spacing w:after="160"/>
      </w:pPr>
      <w:r>
        <w:rPr>
          <w:sz w:val="19"/>
        </w:rPr>
      </w:r>
      <w:r>
        <w:rPr>
          <w:sz w:val="19"/>
        </w:rPr>
        <w:t>[</w:t>
      </w:r>
      <w:hyperlink r:id="rId20">
        <w:r>
          <w:rPr>
            <w:color w:val="245578"/>
          </w:rPr>
          <w:t>9</w:t>
        </w:r>
      </w:hyperlink>
      <w:r>
        <w:rPr>
          <w:sz w:val="19"/>
        </w:rPr>
        <w:t>]</w:t>
      </w:r>
      <w:r>
        <w:rPr>
          <w:sz w:val="19"/>
        </w:rPr>
        <w:t xml:space="preserve"> Microsoft. Change Journals. Windows file I O documentation. </w:t>
      </w:r>
      <w:hyperlink r:id="rId20">
        <w:r>
          <w:rPr>
            <w:color w:val="245578"/>
          </w:rPr>
          <w:t>https://learn.microsoft.com/en-us/windows/win32/fileio/change-journals</w:t>
        </w:r>
      </w:hyperlink>
      <w:r>
        <w:rPr>
          <w:sz w:val="19"/>
        </w:rPr>
      </w:r>
    </w:p>
    <w:p>
      <w:pPr>
        <w:spacing w:after="160"/>
      </w:pPr>
      <w:r>
        <w:rPr>
          <w:sz w:val="19"/>
        </w:rPr>
      </w:r>
      <w:r>
        <w:rPr>
          <w:sz w:val="19"/>
        </w:rPr>
        <w:t>[</w:t>
      </w:r>
      <w:hyperlink r:id="rId21">
        <w:r>
          <w:rPr>
            <w:color w:val="245578"/>
          </w:rPr>
          <w:t>10</w:t>
        </w:r>
      </w:hyperlink>
      <w:r>
        <w:rPr>
          <w:sz w:val="19"/>
        </w:rPr>
        <w:t>]</w:t>
      </w:r>
      <w:r>
        <w:rPr>
          <w:sz w:val="19"/>
        </w:rPr>
        <w:t xml:space="preserve"> Linux man pages project. fsync and fdatasync. Linux system call manual. </w:t>
      </w:r>
      <w:hyperlink r:id="rId21">
        <w:r>
          <w:rPr>
            <w:color w:val="245578"/>
          </w:rPr>
          <w:t>https://man7.org/linux/man-pages/man2/fsync.2.html</w:t>
        </w:r>
      </w:hyperlink>
      <w:r>
        <w:rPr>
          <w:sz w:val="19"/>
        </w:rPr>
      </w:r>
    </w:p>
    <w:p>
      <w:pPr>
        <w:spacing w:after="160"/>
      </w:pPr>
      <w:r>
        <w:rPr>
          <w:sz w:val="19"/>
        </w:rPr>
      </w:r>
      <w:r>
        <w:rPr>
          <w:sz w:val="19"/>
        </w:rPr>
        <w:t>[</w:t>
      </w:r>
      <w:hyperlink r:id="rId22">
        <w:r>
          <w:rPr>
            <w:color w:val="245578"/>
          </w:rPr>
          <w:t>11</w:t>
        </w:r>
      </w:hyperlink>
      <w:r>
        <w:rPr>
          <w:sz w:val="19"/>
        </w:rPr>
        <w:t>]</w:t>
      </w:r>
      <w:r>
        <w:rPr>
          <w:sz w:val="19"/>
        </w:rPr>
        <w:t xml:space="preserve"> SQLite. Atomic Commit In SQLite. This page describes rollback-journal mechanics; the experiment uses WAL as documented in reference 12. </w:t>
      </w:r>
      <w:hyperlink r:id="rId22">
        <w:r>
          <w:rPr>
            <w:color w:val="245578"/>
          </w:rPr>
          <w:t>https://sqlite.org/atomiccommit.html</w:t>
        </w:r>
      </w:hyperlink>
      <w:r>
        <w:rPr>
          <w:sz w:val="19"/>
        </w:rPr>
      </w:r>
    </w:p>
    <w:p>
      <w:pPr>
        <w:spacing w:after="160"/>
      </w:pPr>
      <w:r>
        <w:rPr>
          <w:sz w:val="19"/>
        </w:rPr>
      </w:r>
      <w:r>
        <w:rPr>
          <w:sz w:val="19"/>
        </w:rPr>
        <w:t>[</w:t>
      </w:r>
      <w:hyperlink r:id="rId23">
        <w:r>
          <w:rPr>
            <w:color w:val="245578"/>
          </w:rPr>
          <w:t>12</w:t>
        </w:r>
      </w:hyperlink>
      <w:r>
        <w:rPr>
          <w:sz w:val="19"/>
        </w:rPr>
        <w:t>]</w:t>
      </w:r>
      <w:r>
        <w:rPr>
          <w:sz w:val="19"/>
        </w:rPr>
        <w:t xml:space="preserve"> SQLite. Write Ahead Logging. </w:t>
      </w:r>
      <w:hyperlink r:id="rId23">
        <w:r>
          <w:rPr>
            <w:color w:val="245578"/>
          </w:rPr>
          <w:t>https://sqlite.org/wal.html</w:t>
        </w:r>
      </w:hyperlink>
      <w:r>
        <w:rPr>
          <w:sz w:val="19"/>
        </w:rPr>
      </w:r>
    </w:p>
    <w:p>
      <w:pPr>
        <w:spacing w:after="160"/>
      </w:pPr>
      <w:r>
        <w:rPr>
          <w:sz w:val="19"/>
        </w:rPr>
      </w:r>
      <w:r>
        <w:rPr>
          <w:sz w:val="19"/>
        </w:rPr>
        <w:t>[</w:t>
      </w:r>
      <w:hyperlink r:id="rId25">
        <w:r>
          <w:rPr>
            <w:color w:val="245578"/>
          </w:rPr>
          <w:t>13</w:t>
        </w:r>
      </w:hyperlink>
      <w:r>
        <w:rPr>
          <w:sz w:val="19"/>
        </w:rPr>
        <w:t>]</w:t>
      </w:r>
      <w:r>
        <w:rPr>
          <w:sz w:val="19"/>
        </w:rPr>
        <w:t xml:space="preserve"> Linux kernel contributors. Control Group v2. Kernel administration documentation. </w:t>
      </w:r>
      <w:hyperlink r:id="rId25">
        <w:r>
          <w:rPr>
            <w:color w:val="245578"/>
          </w:rPr>
          <w:t>https://docs.kernel.org/admin-guide/cgroup-v2.html</w:t>
        </w:r>
      </w:hyperlink>
      <w:r>
        <w:rPr>
          <w:sz w:val="19"/>
        </w:rPr>
      </w:r>
    </w:p>
    <w:p>
      <w:pPr>
        <w:spacing w:after="160"/>
      </w:pPr>
      <w:r>
        <w:rPr>
          <w:sz w:val="19"/>
        </w:rPr>
      </w:r>
      <w:r>
        <w:rPr>
          <w:sz w:val="19"/>
        </w:rPr>
        <w:t>[</w:t>
      </w:r>
      <w:hyperlink r:id="rId26">
        <w:r>
          <w:rPr>
            <w:color w:val="245578"/>
          </w:rPr>
          <w:t>14</w:t>
        </w:r>
      </w:hyperlink>
      <w:r>
        <w:rPr>
          <w:sz w:val="19"/>
        </w:rPr>
        <w:t>]</w:t>
      </w:r>
      <w:r>
        <w:rPr>
          <w:sz w:val="19"/>
        </w:rPr>
        <w:t xml:space="preserve"> Microsoft. Build a Custom Linux Distribution for WSL. </w:t>
      </w:r>
      <w:hyperlink r:id="rId26">
        <w:r>
          <w:rPr>
            <w:color w:val="245578"/>
          </w:rPr>
          <w:t>https://learn.microsoft.com/en-us/windows/wsl/build-custom-distro</w:t>
        </w:r>
      </w:hyperlink>
      <w:r>
        <w:rPr>
          <w:sz w:val="19"/>
        </w:rPr>
      </w:r>
    </w:p>
    <w:p>
      <w:pPr>
        <w:spacing w:after="160"/>
      </w:pPr>
      <w:r>
        <w:rPr>
          <w:sz w:val="19"/>
        </w:rPr>
      </w:r>
      <w:r>
        <w:rPr>
          <w:sz w:val="19"/>
        </w:rPr>
        <w:t>[</w:t>
      </w:r>
      <w:hyperlink r:id="rId27">
        <w:r>
          <w:rPr>
            <w:color w:val="245578"/>
          </w:rPr>
          <w:t>15</w:t>
        </w:r>
      </w:hyperlink>
      <w:r>
        <w:rPr>
          <w:sz w:val="19"/>
        </w:rPr>
        <w:t>]</w:t>
      </w:r>
      <w:r>
        <w:rPr>
          <w:sz w:val="19"/>
        </w:rPr>
        <w:t xml:space="preserve"> Microsoft. Run Linux GUI apps on the Windows Subsystem for Linux. </w:t>
      </w:r>
      <w:hyperlink r:id="rId27">
        <w:r>
          <w:rPr>
            <w:color w:val="245578"/>
          </w:rPr>
          <w:t>https://learn.microsoft.com/en-us/windows/wsl/tutorials/gui-apps</w:t>
        </w:r>
      </w:hyperlink>
      <w:r>
        <w:rPr>
          <w:sz w:val="19"/>
        </w:rPr>
      </w:r>
    </w:p>
    <w:p>
      <w:pPr>
        <w:spacing w:after="160"/>
      </w:pPr>
      <w:r>
        <w:rPr>
          <w:sz w:val="19"/>
        </w:rPr>
      </w:r>
      <w:r>
        <w:rPr>
          <w:sz w:val="19"/>
        </w:rPr>
        <w:t>[</w:t>
      </w:r>
      <w:hyperlink r:id="rId28">
        <w:r>
          <w:rPr>
            <w:color w:val="245578"/>
          </w:rPr>
          <w:t>16</w:t>
        </w:r>
      </w:hyperlink>
      <w:r>
        <w:rPr>
          <w:sz w:val="19"/>
        </w:rPr>
        <w:t>]</w:t>
      </w:r>
      <w:r>
        <w:rPr>
          <w:sz w:val="19"/>
        </w:rPr>
        <w:t xml:space="preserve"> Microsoft. Use systemd to manage Linux services with WSL. </w:t>
      </w:r>
      <w:hyperlink r:id="rId28">
        <w:r>
          <w:rPr>
            <w:color w:val="245578"/>
          </w:rPr>
          <w:t>https://learn.microsoft.com/en-us/windows/wsl/systemd</w:t>
        </w:r>
      </w:hyperlink>
      <w:r>
        <w:rPr>
          <w:sz w:val="19"/>
        </w:rPr>
      </w:r>
    </w:p>
    <w:p>
      <w:pPr>
        <w:spacing w:after="160"/>
      </w:pPr>
      <w:r>
        <w:rPr>
          <w:sz w:val="19"/>
        </w:rPr>
      </w:r>
      <w:r>
        <w:rPr>
          <w:sz w:val="19"/>
        </w:rPr>
        <w:t>[</w:t>
      </w:r>
      <w:hyperlink r:id="rId29">
        <w:r>
          <w:rPr>
            <w:color w:val="245578"/>
          </w:rPr>
          <w:t>17</w:t>
        </w:r>
      </w:hyperlink>
      <w:r>
        <w:rPr>
          <w:sz w:val="19"/>
        </w:rPr>
        <w:t>]</w:t>
      </w:r>
      <w:r>
        <w:rPr>
          <w:sz w:val="19"/>
        </w:rPr>
        <w:t xml:space="preserve"> Microsoft. Systemd support is now available in WSL. Windows Command Line blog, 21 September 2022. </w:t>
      </w:r>
      <w:hyperlink r:id="rId29">
        <w:r>
          <w:rPr>
            <w:color w:val="245578"/>
          </w:rPr>
          <w:t>https://devblogs.microsoft.com/commandline/systemd-support-is-now-available-in-wsl/</w:t>
        </w:r>
      </w:hyperlink>
      <w:r>
        <w:rPr>
          <w:sz w:val="19"/>
        </w:rPr>
      </w:r>
    </w:p>
    <w:p>
      <w:pPr>
        <w:spacing w:after="160"/>
      </w:pPr>
      <w:r>
        <w:rPr>
          <w:sz w:val="19"/>
        </w:rPr>
      </w:r>
      <w:r>
        <w:rPr>
          <w:sz w:val="19"/>
        </w:rPr>
        <w:t>[</w:t>
      </w:r>
      <w:hyperlink r:id="rId30">
        <w:r>
          <w:rPr>
            <w:color w:val="245578"/>
          </w:rPr>
          <w:t>18</w:t>
        </w:r>
      </w:hyperlink>
      <w:r>
        <w:rPr>
          <w:sz w:val="19"/>
        </w:rPr>
        <w:t>]</w:t>
      </w:r>
      <w:r>
        <w:rPr>
          <w:sz w:val="19"/>
        </w:rPr>
        <w:t xml:space="preserve"> Microsoft. Working across Windows and Linux file systems. </w:t>
      </w:r>
      <w:hyperlink r:id="rId30">
        <w:r>
          <w:rPr>
            <w:color w:val="245578"/>
          </w:rPr>
          <w:t>https://learn.microsoft.com/en-us/windows/wsl/filesystems</w:t>
        </w:r>
      </w:hyperlink>
      <w:r>
        <w:rPr>
          <w:sz w:val="19"/>
        </w:rPr>
      </w:r>
    </w:p>
    <w:p>
      <w:pPr>
        <w:spacing w:after="160"/>
      </w:pPr>
      <w:r>
        <w:rPr>
          <w:sz w:val="19"/>
        </w:rPr>
      </w:r>
      <w:r>
        <w:rPr>
          <w:sz w:val="19"/>
        </w:rPr>
        <w:t>[</w:t>
      </w:r>
      <w:hyperlink r:id="rId31">
        <w:r>
          <w:rPr>
            <w:color w:val="245578"/>
          </w:rPr>
          <w:t>19</w:t>
        </w:r>
      </w:hyperlink>
      <w:r>
        <w:rPr>
          <w:sz w:val="19"/>
        </w:rPr>
        <w:t>]</w:t>
      </w:r>
      <w:r>
        <w:rPr>
          <w:sz w:val="19"/>
        </w:rPr>
        <w:t xml:space="preserve"> NVIDIA. CUDA on WSL User Guide. </w:t>
      </w:r>
      <w:hyperlink r:id="rId31">
        <w:r>
          <w:rPr>
            <w:color w:val="245578"/>
          </w:rPr>
          <w:t>https://docs.nvidia.com/cuda/wsl-user-guide/index.html</w:t>
        </w:r>
      </w:hyperlink>
      <w:r>
        <w:rPr>
          <w:sz w:val="19"/>
        </w:rPr>
      </w:r>
    </w:p>
    <w:p>
      <w:pPr>
        <w:spacing w:after="160"/>
      </w:pPr>
      <w:r>
        <w:rPr>
          <w:sz w:val="19"/>
        </w:rPr>
      </w:r>
      <w:r>
        <w:rPr>
          <w:sz w:val="19"/>
        </w:rPr>
        <w:t>[</w:t>
      </w:r>
      <w:hyperlink r:id="rId32">
        <w:r>
          <w:rPr>
            <w:color w:val="245578"/>
          </w:rPr>
          <w:t>20</w:t>
        </w:r>
      </w:hyperlink>
      <w:r>
        <w:rPr>
          <w:sz w:val="19"/>
        </w:rPr>
        <w:t>]</w:t>
      </w:r>
      <w:r>
        <w:rPr>
          <w:sz w:val="19"/>
        </w:rPr>
        <w:t xml:space="preserve"> ggml org contributors. llama.cpp LLM inference in C and C plus plus. </w:t>
      </w:r>
      <w:hyperlink r:id="rId32">
        <w:r>
          <w:rPr>
            <w:color w:val="245578"/>
          </w:rPr>
          <w:t>https://github.com/ggml-org/llama.cpp</w:t>
        </w:r>
      </w:hyperlink>
      <w:r>
        <w:rPr>
          <w:sz w:val="19"/>
        </w:rPr>
      </w:r>
    </w:p>
    <w:p>
      <w:pPr>
        <w:spacing w:after="160"/>
      </w:pPr>
      <w:r>
        <w:rPr>
          <w:sz w:val="19"/>
        </w:rPr>
      </w:r>
      <w:r>
        <w:rPr>
          <w:sz w:val="19"/>
        </w:rPr>
        <w:t>[</w:t>
      </w:r>
      <w:hyperlink r:id="rId33">
        <w:r>
          <w:rPr>
            <w:color w:val="245578"/>
          </w:rPr>
          <w:t>21</w:t>
        </w:r>
      </w:hyperlink>
      <w:r>
        <w:rPr>
          <w:sz w:val="19"/>
        </w:rPr>
        <w:t>]</w:t>
      </w:r>
      <w:r>
        <w:rPr>
          <w:sz w:val="19"/>
        </w:rPr>
        <w:t xml:space="preserve"> vLLM contributors. Parallelism and Scaling. Documentation version 0.25.1. </w:t>
      </w:r>
      <w:hyperlink r:id="rId33">
        <w:r>
          <w:rPr>
            <w:color w:val="245578"/>
          </w:rPr>
          <w:t>https://docs.vllm.ai/en/v0.25.1/serving/parallelism_scaling/</w:t>
        </w:r>
      </w:hyperlink>
      <w:r>
        <w:rPr>
          <w:sz w:val="19"/>
        </w:rPr>
      </w:r>
    </w:p>
    <w:p>
      <w:pPr>
        <w:spacing w:after="160"/>
      </w:pPr>
      <w:r>
        <w:rPr>
          <w:sz w:val="19"/>
        </w:rPr>
      </w:r>
      <w:r>
        <w:rPr>
          <w:sz w:val="19"/>
        </w:rPr>
        <w:t>[</w:t>
      </w:r>
      <w:hyperlink r:id="rId34">
        <w:r>
          <w:rPr>
            <w:color w:val="245578"/>
          </w:rPr>
          <w:t>22</w:t>
        </w:r>
      </w:hyperlink>
      <w:r>
        <w:rPr>
          <w:sz w:val="19"/>
        </w:rPr>
        <w:t>]</w:t>
      </w:r>
      <w:r>
        <w:rPr>
          <w:sz w:val="19"/>
        </w:rPr>
        <w:t xml:space="preserve"> Kwon W et al. Efficient Memory Management for Large Language Model Serving with PagedAttention. SOSP 2023; arXiv 2309.06180. </w:t>
      </w:r>
      <w:hyperlink r:id="rId34">
        <w:r>
          <w:rPr>
            <w:color w:val="245578"/>
          </w:rPr>
          <w:t>https://arxiv.org/abs/2309.06180</w:t>
        </w:r>
      </w:hyperlink>
      <w:r>
        <w:rPr>
          <w:sz w:val="19"/>
        </w:rPr>
      </w:r>
    </w:p>
    <w:p>
      <w:pPr>
        <w:spacing w:after="160"/>
      </w:pPr>
      <w:r>
        <w:rPr>
          <w:sz w:val="19"/>
        </w:rPr>
      </w:r>
      <w:r>
        <w:rPr>
          <w:sz w:val="19"/>
        </w:rPr>
        <w:t>[</w:t>
      </w:r>
      <w:hyperlink r:id="rId35">
        <w:r>
          <w:rPr>
            <w:color w:val="245578"/>
          </w:rPr>
          <w:t>23</w:t>
        </w:r>
      </w:hyperlink>
      <w:r>
        <w:rPr>
          <w:sz w:val="19"/>
        </w:rPr>
        <w:t>]</w:t>
      </w:r>
      <w:r>
        <w:rPr>
          <w:sz w:val="19"/>
        </w:rPr>
        <w:t xml:space="preserve"> Anthropic. Mitigating the risk of prompt injections in browser use. 24 November 2025. </w:t>
      </w:r>
      <w:hyperlink r:id="rId35">
        <w:r>
          <w:rPr>
            <w:color w:val="245578"/>
          </w:rPr>
          <w:t>https://www.anthropic.com/research/prompt-injection-defenses</w:t>
        </w:r>
      </w:hyperlink>
      <w:r>
        <w:rPr>
          <w:sz w:val="19"/>
        </w:rPr>
      </w:r>
    </w:p>
    <w:p>
      <w:pPr>
        <w:spacing w:after="160"/>
      </w:pPr>
      <w:r>
        <w:rPr>
          <w:sz w:val="19"/>
        </w:rPr>
        <w:t>[D1] LLM computer project. LLM Based Operating System Engineering Specification. Version 1.0, 10 September 2026. Source file LLM_OS_Feasibility_HLD_LLD_Engineering_Requirements.docx.</w:t>
      </w:r>
    </w:p>
    <w:p>
      <w:pPr>
        <w:spacing w:after="160"/>
      </w:pPr>
      <w:r>
        <w:rPr>
          <w:sz w:val="19"/>
        </w:rPr>
        <w:t>[D2] LLM computer project. Ubuntu Based LLM Operating System Engineering Requirements. Version 2.0, 13 September 2026. Source file Option_A_LLM_OS_Functional_Requirements_Development_Testing_4B_to_400B.docx.</w:t>
      </w:r>
    </w:p>
    <w:p>
      <w:pPr>
        <w:spacing w:after="160"/>
      </w:pPr>
      <w:r>
        <w:rPr>
          <w:sz w:val="19"/>
        </w:rPr>
        <w:t>[D3] LLM computer project. LLM OS Windows Deployment Requirements Variation. VAR WIN 01, version 1.0, 19 September 2026. Source file LLM_OS_Windows_Deployment_Requirements_Variation.docx.</w:t>
      </w:r>
    </w:p>
    <w:sectPr w:rsidR="00FC693F" w:rsidRPr="0006063C" w:rsidSect="00034616">
      <w:headerReference w:type="default" r:id="rId9"/>
      <w:footerReference w:type="default" r:id="rId10"/>
      <w:pgSz w:w="12240" w:h="15840"/>
      <w:pgMar w:top="1008" w:right="1123" w:bottom="936"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LLM OPERATING ENVIRONMENT   |   IMPLEMENTATION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eastAsia="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eastAsia="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eastAsia="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eastAsia="Calibri"/>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403.16971v5" TargetMode="External"/><Relationship Id="rId12" Type="http://schemas.openxmlformats.org/officeDocument/2006/relationships/hyperlink" Target="https://github.com/agiresearch/AIOS" TargetMode="External"/><Relationship Id="rId13" Type="http://schemas.openxmlformats.org/officeDocument/2006/relationships/hyperlink" Target="https://arxiv.org/abs/2210.03629" TargetMode="External"/><Relationship Id="rId14" Type="http://schemas.openxmlformats.org/officeDocument/2006/relationships/hyperlink" Target="https://arxiv.org/abs/2404.07972v2" TargetMode="External"/><Relationship Id="rId15" Type="http://schemas.openxmlformats.org/officeDocument/2006/relationships/hyperlink" Target="https://arxiv.org/abs/2406.13352" TargetMode="External"/><Relationship Id="rId16" Type="http://schemas.openxmlformats.org/officeDocument/2006/relationships/hyperlink" Target="https://support.microsoft.com/en-us/windows/ai/ai-features/experimental-agentic-features" TargetMode="External"/><Relationship Id="rId17" Type="http://schemas.openxmlformats.org/officeDocument/2006/relationships/hyperlink" Target="https://www.apple.com/si/newsroom/2026/06/apple-introduces-siri-ai-a-profoundly-more-capable-and-personal-assistant/" TargetMode="External"/><Relationship Id="rId18" Type="http://schemas.openxmlformats.org/officeDocument/2006/relationships/image" Target="media/image1.png"/><Relationship Id="rId19" Type="http://schemas.openxmlformats.org/officeDocument/2006/relationships/hyperlink" Target="https://learn.microsoft.com/en-us/dotnet/api/system.io.filesystemwatcher?view=net-9.0" TargetMode="External"/><Relationship Id="rId20" Type="http://schemas.openxmlformats.org/officeDocument/2006/relationships/hyperlink" Target="https://learn.microsoft.com/en-us/windows/win32/fileio/change-journals" TargetMode="External"/><Relationship Id="rId21" Type="http://schemas.openxmlformats.org/officeDocument/2006/relationships/hyperlink" Target="https://man7.org/linux/man-pages/man2/fsync.2.html" TargetMode="External"/><Relationship Id="rId22" Type="http://schemas.openxmlformats.org/officeDocument/2006/relationships/hyperlink" Target="https://sqlite.org/atomiccommit.html" TargetMode="External"/><Relationship Id="rId23" Type="http://schemas.openxmlformats.org/officeDocument/2006/relationships/hyperlink" Target="https://sqlite.org/wal.html" TargetMode="External"/><Relationship Id="rId24" Type="http://schemas.openxmlformats.org/officeDocument/2006/relationships/image" Target="media/image2.png"/><Relationship Id="rId25" Type="http://schemas.openxmlformats.org/officeDocument/2006/relationships/hyperlink" Target="https://docs.kernel.org/admin-guide/cgroup-v2.html" TargetMode="External"/><Relationship Id="rId26" Type="http://schemas.openxmlformats.org/officeDocument/2006/relationships/hyperlink" Target="https://learn.microsoft.com/en-us/windows/wsl/build-custom-distro" TargetMode="External"/><Relationship Id="rId27" Type="http://schemas.openxmlformats.org/officeDocument/2006/relationships/hyperlink" Target="https://learn.microsoft.com/en-us/windows/wsl/tutorials/gui-apps" TargetMode="External"/><Relationship Id="rId28" Type="http://schemas.openxmlformats.org/officeDocument/2006/relationships/hyperlink" Target="https://learn.microsoft.com/en-us/windows/wsl/systemd" TargetMode="External"/><Relationship Id="rId29" Type="http://schemas.openxmlformats.org/officeDocument/2006/relationships/hyperlink" Target="https://devblogs.microsoft.com/commandline/systemd-support-is-now-available-in-wsl/" TargetMode="External"/><Relationship Id="rId30" Type="http://schemas.openxmlformats.org/officeDocument/2006/relationships/hyperlink" Target="https://learn.microsoft.com/en-us/windows/wsl/filesystems" TargetMode="External"/><Relationship Id="rId31" Type="http://schemas.openxmlformats.org/officeDocument/2006/relationships/hyperlink" Target="https://docs.nvidia.com/cuda/wsl-user-guide/index.html" TargetMode="External"/><Relationship Id="rId32" Type="http://schemas.openxmlformats.org/officeDocument/2006/relationships/hyperlink" Target="https://github.com/ggml-org/llama.cpp" TargetMode="External"/><Relationship Id="rId33" Type="http://schemas.openxmlformats.org/officeDocument/2006/relationships/hyperlink" Target="https://docs.vllm.ai/en/v0.25.1/serving/parallelism_scaling/" TargetMode="External"/><Relationship Id="rId34" Type="http://schemas.openxmlformats.org/officeDocument/2006/relationships/hyperlink" Target="https://arxiv.org/abs/2309.06180" TargetMode="External"/><Relationship Id="rId35" Type="http://schemas.openxmlformats.org/officeDocument/2006/relationships/hyperlink" Target="https://www.anthropic.com/research/prompt-injection-defenses" TargetMode="External"/><Relationship Id="rId3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Implementation of an LLM Integrated Operating Environment</dc:title>
  <dc:subject>Architecture feasibility and reproducible evaluation for Ubuntu and Windows deployments</dc:subject>
  <dc:creator>LLM computer project</dc:creator>
  <cp:keywords>LLM, operating environment, Ubuntu, WSL, artifact durability, research</cp:keywords>
  <dc:description>generated by python-docx</dc:description>
  <cp:lastModifiedBy/>
  <cp:revision>1</cp:revision>
  <dcterms:created xsi:type="dcterms:W3CDTF">2013-12-23T23:15:00Z</dcterms:created>
  <dcterms:modified xsi:type="dcterms:W3CDTF">2013-12-23T23:15:00Z</dcterms:modified>
  <cp:category/>
</cp:coreProperties>
</file>